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1"/>
        <w:ind w:left="139" w:right="209" w:firstLine="0"/>
        <w:jc w:val="both"/>
        <w:rPr>
          <w:rFonts w:hint="eastAsia" w:ascii="仿宋" w:hAnsi="仿宋" w:eastAsia="仿宋" w:cs="仿宋"/>
          <w:color w:val="232323"/>
          <w:sz w:val="32"/>
          <w:szCs w:val="32"/>
          <w:lang w:eastAsia="zh-CN"/>
        </w:rPr>
      </w:pPr>
      <w:r>
        <w:rPr>
          <w:rFonts w:hint="eastAsia" w:ascii="仿宋" w:hAnsi="仿宋" w:eastAsia="仿宋" w:cs="仿宋"/>
          <w:color w:val="232323"/>
          <w:sz w:val="32"/>
          <w:szCs w:val="32"/>
          <w:lang w:eastAsia="zh-CN"/>
        </w:rPr>
        <w:t>附件：</w:t>
      </w:r>
    </w:p>
    <w:p>
      <w:pPr>
        <w:pStyle w:val="2"/>
        <w:spacing w:before="11"/>
        <w:ind w:left="139" w:right="209" w:firstLine="0"/>
        <w:jc w:val="both"/>
        <w:rPr>
          <w:rFonts w:hint="eastAsia" w:ascii="仿宋" w:hAnsi="仿宋" w:eastAsia="仿宋" w:cs="仿宋"/>
          <w:color w:val="232323"/>
          <w:sz w:val="32"/>
          <w:szCs w:val="32"/>
          <w:lang w:eastAsia="zh-CN"/>
        </w:rPr>
      </w:pPr>
    </w:p>
    <w:p>
      <w:pPr>
        <w:spacing w:before="181"/>
        <w:ind w:left="139" w:right="210" w:firstLine="0"/>
        <w:jc w:val="center"/>
        <w:rPr>
          <w:rFonts w:hint="eastAsia" w:ascii="方正小标宋简体" w:hAnsi="方正小标宋简体" w:eastAsia="方正小标宋简体" w:cs="方正小标宋简体"/>
          <w:b w:val="0"/>
          <w:bCs w:val="0"/>
          <w:color w:val="232323"/>
          <w:sz w:val="44"/>
          <w:szCs w:val="44"/>
        </w:rPr>
      </w:pPr>
      <w:r>
        <w:rPr>
          <w:rFonts w:hint="eastAsia" w:ascii="方正小标宋简体" w:hAnsi="方正小标宋简体" w:eastAsia="方正小标宋简体" w:cs="方正小标宋简体"/>
          <w:b w:val="0"/>
          <w:bCs w:val="0"/>
          <w:color w:val="232323"/>
          <w:sz w:val="44"/>
          <w:szCs w:val="44"/>
        </w:rPr>
        <w:t>关于人民法院与银行业金融机构开展</w:t>
      </w:r>
    </w:p>
    <w:p>
      <w:pPr>
        <w:spacing w:before="181"/>
        <w:ind w:left="139" w:right="210" w:firstLine="0"/>
        <w:jc w:val="center"/>
        <w:rPr>
          <w:b/>
          <w:sz w:val="24"/>
        </w:rPr>
      </w:pPr>
      <w:r>
        <w:rPr>
          <w:rFonts w:hint="eastAsia" w:ascii="方正小标宋简体" w:hAnsi="方正小标宋简体" w:eastAsia="方正小标宋简体" w:cs="方正小标宋简体"/>
          <w:b w:val="0"/>
          <w:bCs w:val="0"/>
          <w:color w:val="232323"/>
          <w:sz w:val="44"/>
          <w:szCs w:val="44"/>
        </w:rPr>
        <w:t>网络执行查控和联合信用惩戒工作的意见</w:t>
      </w:r>
    </w:p>
    <w:p>
      <w:pPr>
        <w:pStyle w:val="2"/>
        <w:spacing w:line="338" w:lineRule="auto"/>
        <w:ind w:right="263" w:firstLine="0"/>
        <w:jc w:val="both"/>
      </w:pP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color w:val="232323"/>
          <w:spacing w:val="0"/>
          <w:sz w:val="32"/>
          <w:szCs w:val="32"/>
        </w:rPr>
        <w:t>为维护司法权威，防范金融风险，保障当事人合法权益，推动社会信用体系建设，根据《中华人民共和国民事诉讼法》《中华人民共和国商业银行法》及《关于建立和完善执行联动机制若干问题的意见》等规定，结合工作实际，最高人民法院和中国银行业监督管理委员会就人民法院和银行业金融机构开展网络执行查控和联合信用惩戒工作，提出如下意见：</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color w:val="232323"/>
          <w:spacing w:val="0"/>
          <w:sz w:val="32"/>
          <w:szCs w:val="32"/>
        </w:rPr>
        <w:t>一、最高人民法院、中国银行业监督管理委员会鼓励和支持各级人民法院与银行业金融机构通过网络信息化方式，开展执行与协助执行、联合对失信被执行人进行信用惩戒等工作。</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color w:val="232323"/>
          <w:spacing w:val="0"/>
          <w:sz w:val="32"/>
          <w:szCs w:val="32"/>
        </w:rPr>
        <w:t>二、最高人民法院、中国银行业监督管理委员会鼓励和支持银行业金融机构与人民法院建立网络执行查控机制，通过网络查询被执行人存款和其他金融资产信息，办理其他协助事项。</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 w:hAnsi="仿宋" w:eastAsia="仿宋" w:cs="仿宋"/>
          <w:color w:val="232323"/>
          <w:spacing w:val="0"/>
          <w:sz w:val="32"/>
          <w:szCs w:val="32"/>
        </w:rPr>
      </w:pPr>
      <w:r>
        <w:rPr>
          <w:rFonts w:hint="eastAsia" w:ascii="仿宋" w:hAnsi="仿宋" w:eastAsia="仿宋" w:cs="仿宋"/>
          <w:color w:val="232323"/>
          <w:spacing w:val="0"/>
          <w:sz w:val="32"/>
          <w:szCs w:val="32"/>
        </w:rPr>
        <w:t>银行业金融机构应当推进电子信息化建设，协助人民法院建立网络执行查控机制。</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color w:val="232323"/>
          <w:spacing w:val="0"/>
          <w:sz w:val="32"/>
          <w:szCs w:val="32"/>
        </w:rPr>
        <w:t>三、中国银行业监督管理委员会督促指导各银行业金融机构确定专门机构和人员负责网络执行查控工作，</w:t>
      </w:r>
      <w:bookmarkStart w:id="0" w:name="_GoBack"/>
      <w:bookmarkEnd w:id="0"/>
      <w:r>
        <w:rPr>
          <w:rFonts w:hint="eastAsia" w:ascii="仿宋" w:hAnsi="仿宋" w:eastAsia="仿宋" w:cs="仿宋"/>
          <w:color w:val="232323"/>
          <w:spacing w:val="0"/>
          <w:sz w:val="32"/>
          <w:szCs w:val="32"/>
        </w:rPr>
        <w:t>及时准确反馈办理结果；鼓励和支持开发批量自动查控功能，实现查询数据的准确和高效。</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color w:val="232323"/>
          <w:spacing w:val="0"/>
          <w:sz w:val="32"/>
          <w:szCs w:val="32"/>
        </w:rPr>
        <w:t>四、中国银行业监督管理委员会鼓励和支持人民法院与银行业金融机构在完备法律手续、保证资金安全的情况下，逐步通过网络实施查询、冻结、扣划等执行措施。</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color w:val="232323"/>
          <w:spacing w:val="0"/>
          <w:sz w:val="32"/>
          <w:szCs w:val="32"/>
        </w:rPr>
        <w:t>银行业金融机构尚未与人民法院建立网络执行查控机制，或者协助事项不能通过网络办理的，应当根据法律、司法解释和有关规定，协助人民法院现场办理。</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color w:val="232323"/>
          <w:spacing w:val="0"/>
          <w:sz w:val="32"/>
          <w:szCs w:val="32"/>
        </w:rPr>
        <w:t>五、中国银行业监督管理委员会鼓励和支持银行业金融机构与人民法院以全国法院执行案件信息系统为基础，建立全国网络执行查控机制。</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color w:val="232323"/>
          <w:spacing w:val="0"/>
          <w:sz w:val="32"/>
          <w:szCs w:val="32"/>
        </w:rPr>
        <w:t>全国网络执行查控机制建设主要采取两种模式。一是“总对总”联网，即最高人民法院通过中国银行业监督管理委员会金融专网通道与各银行业金融机构总行网络对接。各级人民法院通过最高人民法院网络执行查控系统实施查控。二是“点对点”联网，即高级人民法院通过当地银监局金融专网通道与各银行业金融机构省级分行网络对接。本地人民法院通过高级人民法院执行查控系统实施本地查控，外地法院通过最高人民法院网络中转接入当地高级人民法院执行查控系统实施查控。</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 w:hAnsi="仿宋" w:eastAsia="仿宋" w:cs="仿宋"/>
          <w:color w:val="232323"/>
          <w:spacing w:val="0"/>
          <w:sz w:val="32"/>
          <w:szCs w:val="32"/>
        </w:rPr>
      </w:pPr>
      <w:r>
        <w:rPr>
          <w:rFonts w:hint="eastAsia" w:ascii="仿宋" w:hAnsi="仿宋" w:eastAsia="仿宋" w:cs="仿宋"/>
          <w:color w:val="232323"/>
          <w:spacing w:val="0"/>
          <w:sz w:val="32"/>
          <w:szCs w:val="32"/>
        </w:rPr>
        <w:t>各级人民法院与银行业金融机构及其分支机构已协议通过专线或其他网络建立网络查控机制的，可继续按原有模式建设和运行。本意见下发后，采用第二款以外模式建设的，应当经最高人民法院和中国银行业监督管理委员会同意。</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color w:val="232323"/>
          <w:spacing w:val="0"/>
          <w:sz w:val="32"/>
          <w:szCs w:val="32"/>
        </w:rPr>
        <w:t>六、人民法院与银行业金融机构建立了网络执行查控机制的，通过网络执行查控系统对被执行人存款或其他金融资产采取查控措施，按照《最高人民法院关于网络查询、冻结被执行人存款的规定》（法释〔2013〕20 号）执行。</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color w:val="232323"/>
          <w:spacing w:val="0"/>
          <w:sz w:val="32"/>
          <w:szCs w:val="32"/>
        </w:rPr>
        <w:t>七、各级法院应当加强管理，确保依照法律、法规、司法解释以及金融监管规定，查询和使用被执行人银行账户等信息，确保有关人员严格遵守保密规定。</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color w:val="232323"/>
          <w:spacing w:val="0"/>
          <w:sz w:val="32"/>
          <w:szCs w:val="32"/>
        </w:rPr>
        <w:t>八、最高人民法院、中国银行业监督管理委员会鼓励和支持银行业金融机构与人民法院建立联合信用惩戒机制。银行业金融机构与人民法院通过网络传输等方式，共享失信被执行人名单及其他执行案件信息；银行业金融机构依照法律、法规规定，在融资信贷等金融服务领域，对失信被执行人等采取限制贷款、限制办理信用卡等措施。</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color w:val="232323"/>
          <w:spacing w:val="0"/>
          <w:sz w:val="32"/>
          <w:szCs w:val="32"/>
        </w:rPr>
        <w:t>九、上级法院和银行业监管机构应当加强对网络执行查控机制和联合信用惩戒机制建设的监督指导，协调处理两个机制建设和运行中产生的分歧和争议。</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color w:val="232323"/>
          <w:spacing w:val="0"/>
          <w:sz w:val="32"/>
          <w:szCs w:val="32"/>
        </w:rPr>
        <w:t>建立了合作关系的人民法院、银行业金融机构应当安排专人协调处理两个机制运行中发生的争议。协调无果的，可通过上级法院、银行业监管机构协调解决。</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color w:val="232323"/>
          <w:spacing w:val="0"/>
          <w:sz w:val="32"/>
          <w:szCs w:val="32"/>
        </w:rPr>
        <w:t>建立了合作关系的人民法院、银行业金融机构应当制定应急预案，配备专门的技术人员处理两个机制运行中的突发事件，保障系统安全。</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color w:val="232323"/>
          <w:spacing w:val="0"/>
          <w:sz w:val="32"/>
          <w:szCs w:val="32"/>
        </w:rPr>
        <w:t>十、银行业金融机构依法协助人民法院办理网络执行查控措施，当事人或者利害关系人有异议的，银行业金融机构应当告知其根据民事诉讼法第二百二十五条之规定向执行法院提出，但银行业金融机构未按照协助执行通知书办理的除外。</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color w:val="232323"/>
          <w:spacing w:val="0"/>
          <w:sz w:val="32"/>
          <w:szCs w:val="32"/>
        </w:rPr>
        <w:t>十一、人民法院与银行业金融机构关于协助执行的有关规范性文件与本意见不一致的，以本意见为准。</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 w:hAnsi="仿宋" w:eastAsia="仿宋" w:cs="仿宋"/>
          <w:spacing w:val="0"/>
          <w:sz w:val="32"/>
          <w:szCs w:val="32"/>
        </w:rPr>
      </w:pP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right"/>
        <w:textAlignment w:val="auto"/>
        <w:rPr>
          <w:rFonts w:hint="eastAsia" w:ascii="仿宋" w:hAnsi="仿宋" w:eastAsia="仿宋" w:cs="仿宋"/>
          <w:spacing w:val="0"/>
          <w:sz w:val="32"/>
          <w:szCs w:val="32"/>
        </w:rPr>
      </w:pPr>
      <w:r>
        <w:rPr>
          <w:rFonts w:hint="eastAsia" w:ascii="仿宋" w:hAnsi="仿宋" w:eastAsia="仿宋" w:cs="仿宋"/>
          <w:color w:val="232323"/>
          <w:spacing w:val="0"/>
          <w:sz w:val="32"/>
          <w:szCs w:val="32"/>
        </w:rPr>
        <w:t>最高人民法院  中国银行业监督管理委员会</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right"/>
        <w:textAlignment w:val="auto"/>
        <w:rPr>
          <w:rFonts w:hint="eastAsia" w:ascii="仿宋" w:hAnsi="仿宋" w:eastAsia="仿宋" w:cs="仿宋"/>
          <w:spacing w:val="0"/>
          <w:sz w:val="32"/>
          <w:szCs w:val="32"/>
        </w:rPr>
      </w:pPr>
      <w:r>
        <w:rPr>
          <w:rFonts w:hint="eastAsia" w:ascii="仿宋" w:hAnsi="仿宋" w:eastAsia="仿宋" w:cs="仿宋"/>
          <w:color w:val="232323"/>
          <w:spacing w:val="0"/>
          <w:sz w:val="32"/>
          <w:szCs w:val="32"/>
        </w:rPr>
        <w:t>2014 年 10 月 24 日</w:t>
      </w:r>
    </w:p>
    <w:sectPr>
      <w:footerReference r:id="rId3" w:type="default"/>
      <w:pgSz w:w="11910" w:h="16840"/>
      <w:pgMar w:top="1871" w:right="1417" w:bottom="1871" w:left="1417" w:header="720" w:footer="720" w:gutter="0"/>
      <w:pgNumType w:fmt="numberInDash"/>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posOffset>2761615</wp:posOffset>
              </wp:positionH>
              <wp:positionV relativeFrom="paragraph">
                <wp:posOffset>-161290</wp:posOffset>
              </wp:positionV>
              <wp:extent cx="372745" cy="3638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372745" cy="36385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微软雅黑"/>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7.45pt;margin-top:-12.7pt;height:28.65pt;width:29.35pt;mso-position-horizontal-relative:margin;z-index:251658240;mso-width-relative:page;mso-height-relative:page;" filled="f" stroked="f" coordsize="21600,21600" o:gfxdata="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AAAAA&#10;ZHJzL1BLAQIUABQAAAAIAIdO4kDN4dED2gAAAAoBAAAPAAAAAAAAAAEAIAAAACIAAABkcnMvZG93&#10;bnJldi54bWxQSwECFAAUAAAACACHTuJAl5d1ReICAAAkBgAADgAAAAAAAAABACAAAAApAQAAZHJz&#10;L2Uyb0RvYy54bWxQSwUGAAAAAAYABgBZAQAAfQYAAAAA&#10;">
              <v:fill on="f" focussize="0,0"/>
              <v:stroke on="f" weight="0.5pt"/>
              <v:imagedata o:title=""/>
              <o:lock v:ext="edit" aspectratio="f"/>
              <v:textbox inset="0mm,0mm,0mm,0mm">
                <w:txbxContent>
                  <w:p>
                    <w:pPr>
                      <w:pStyle w:val="3"/>
                      <w:rPr>
                        <w:rFonts w:hint="eastAsia" w:eastAsia="微软雅黑"/>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8F27F5"/>
    <w:rsid w:val="550525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zh-CN" w:eastAsia="zh-CN" w:bidi="zh-CN"/>
    </w:rPr>
  </w:style>
  <w:style w:type="character" w:default="1" w:styleId="6">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120" w:right="127" w:firstLine="619"/>
    </w:pPr>
    <w:rPr>
      <w:rFonts w:ascii="微软雅黑" w:hAnsi="微软雅黑" w:eastAsia="微软雅黑" w:cs="微软雅黑"/>
      <w:sz w:val="24"/>
      <w:szCs w:val="24"/>
      <w:lang w:val="zh-CN" w:eastAsia="zh-CN" w:bidi="zh-C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rPr>
      <w:lang w:val="zh-CN" w:eastAsia="zh-CN" w:bidi="zh-CN"/>
    </w:rPr>
  </w:style>
  <w:style w:type="paragraph" w:customStyle="1" w:styleId="9">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ScaleCrop>false</ScaleCrop>
  <LinksUpToDate>false</LinksUpToDate>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2020-05-22T06:24:00Z</dcterms:created>
  <dc:creator>MrOcean</dc:creator>
  <cp:lastModifiedBy> 丽  小木  </cp:lastModifiedBy>
  <dcterms:modified xsi:type="dcterms:W3CDTF">2020-11-09T01:43:09Z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2019-09-10T00:00:00Z</vt:filetime>
  </property>
  <property fmtid="{D5CDD505-2E9C-101B-9397-08002B2CF9AE}" pid="3" name="Creator">
    <vt:lpwstr>Microsoft® Word 2013</vt:lpwstr>
  </property>
  <property fmtid="{D5CDD505-2E9C-101B-9397-08002B2CF9AE}" pid="4" name="LastSaved">
    <vt:filetime>2020-05-22T00:00:00Z</vt:filetime>
  </property>
  <property fmtid="{D5CDD505-2E9C-101B-9397-08002B2CF9AE}" pid="5" name="KSOProductBuildVer">
    <vt:lpwstr>2052-11.1.0.10072</vt:lpwstr>
  </property>
</Properties>
</file>