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附件</w:t>
      </w:r>
      <w:r>
        <w:rPr>
          <w:rFonts w:hint="eastAsia" w:ascii="仿宋" w:hAnsi="仿宋" w:eastAsia="仿宋" w:cs="仿宋"/>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jc w:val="both"/>
        <w:textAlignment w:val="auto"/>
        <w:rPr>
          <w:rFonts w:hint="eastAsia" w:ascii="仿宋" w:hAnsi="仿宋" w:eastAsia="仿宋" w:cs="仿宋"/>
          <w:sz w:val="32"/>
          <w:szCs w:val="32"/>
          <w:lang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44"/>
          <w:szCs w:val="44"/>
        </w:rPr>
      </w:pPr>
      <w:bookmarkStart w:id="0" w:name="bookmark5"/>
      <w:bookmarkStart w:id="1" w:name="bookmark3"/>
      <w:bookmarkStart w:id="2" w:name="bookmark4"/>
      <w:r>
        <w:rPr>
          <w:rFonts w:hint="eastAsia" w:ascii="方正小标宋简体" w:hAnsi="方正小标宋简体" w:eastAsia="方正小标宋简体" w:cs="方正小标宋简体"/>
          <w:sz w:val="44"/>
          <w:szCs w:val="44"/>
        </w:rPr>
        <w:t>关于对家政服务领域相关失信责任主体</w:t>
      </w:r>
      <w:r>
        <w:rPr>
          <w:rFonts w:hint="eastAsia" w:ascii="方正小标宋简体" w:hAnsi="方正小标宋简体" w:eastAsia="方正小标宋简体" w:cs="方正小标宋简体"/>
          <w:sz w:val="44"/>
          <w:szCs w:val="44"/>
        </w:rPr>
        <w:br w:type="textWrapping"/>
      </w:r>
      <w:r>
        <w:rPr>
          <w:rFonts w:hint="eastAsia" w:ascii="方正小标宋简体" w:hAnsi="方正小标宋简体" w:eastAsia="方正小标宋简体" w:cs="方正小标宋简体"/>
          <w:sz w:val="44"/>
          <w:szCs w:val="44"/>
        </w:rPr>
        <w:t>实施</w:t>
      </w:r>
      <w:r>
        <w:rPr>
          <w:rFonts w:hint="eastAsia" w:ascii="方正小标宋简体" w:hAnsi="方正小标宋简体" w:eastAsia="方正小标宋简体" w:cs="方正小标宋简体"/>
          <w:sz w:val="44"/>
          <w:szCs w:val="44"/>
          <w:lang w:eastAsia="zh-CN"/>
        </w:rPr>
        <w:t>联</w:t>
      </w:r>
      <w:r>
        <w:rPr>
          <w:rFonts w:hint="eastAsia" w:ascii="方正小标宋简体" w:hAnsi="方正小标宋简体" w:eastAsia="方正小标宋简体" w:cs="方正小标宋简体"/>
          <w:sz w:val="44"/>
          <w:szCs w:val="44"/>
        </w:rPr>
        <w:t>合惩戒的合作备忘录</w:t>
      </w:r>
      <w:bookmarkEnd w:id="0"/>
      <w:bookmarkEnd w:id="1"/>
      <w:bookmarkEnd w:id="2"/>
    </w:p>
    <w:p>
      <w:pPr>
        <w:keepNext w:val="0"/>
        <w:keepLines w:val="0"/>
        <w:pageBreakBefore w:val="0"/>
        <w:widowControl w:val="0"/>
        <w:kinsoku/>
        <w:wordWrap/>
        <w:overflowPunct/>
        <w:topLinePunct w:val="0"/>
        <w:autoSpaceDE/>
        <w:autoSpaceDN/>
        <w:bidi w:val="0"/>
        <w:adjustRightInd/>
        <w:snapToGrid/>
        <w:spacing w:line="600" w:lineRule="exact"/>
        <w:ind w:left="0" w:leftChars="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为深入学习贯彻习近平新时代中国特色社会主义思想和党的十九大精神，落实《国务院关于印发社会信用体系建设规划纲要</w:t>
      </w:r>
      <w:r>
        <w:rPr>
          <w:rFonts w:hint="eastAsia" w:ascii="仿宋" w:hAnsi="仿宋" w:eastAsia="仿宋" w:cs="仿宋"/>
          <w:sz w:val="32"/>
          <w:szCs w:val="32"/>
          <w:lang w:val="en-US" w:eastAsia="en-US"/>
        </w:rPr>
        <w:t>（2014-2020</w:t>
      </w:r>
      <w:r>
        <w:rPr>
          <w:rFonts w:hint="eastAsia" w:ascii="仿宋" w:hAnsi="仿宋" w:eastAsia="仿宋" w:cs="仿宋"/>
          <w:sz w:val="32"/>
          <w:szCs w:val="32"/>
        </w:rPr>
        <w:t>）的通知》（国发〔2014〕21号）、《国务院关于建立完善守信联合激励和失信</w:t>
      </w:r>
      <w:r>
        <w:rPr>
          <w:rFonts w:hint="eastAsia" w:ascii="仿宋" w:hAnsi="仿宋" w:eastAsia="仿宋" w:cs="仿宋"/>
          <w:sz w:val="32"/>
          <w:szCs w:val="32"/>
          <w:lang w:eastAsia="zh-CN"/>
        </w:rPr>
        <w:t>联</w:t>
      </w:r>
      <w:r>
        <w:rPr>
          <w:rFonts w:hint="eastAsia" w:ascii="仿宋" w:hAnsi="仿宋" w:eastAsia="仿宋" w:cs="仿宋"/>
          <w:sz w:val="32"/>
          <w:szCs w:val="32"/>
        </w:rPr>
        <w:t>合惩戒制度加快推进社会诚信建设的指导意见》（国发〔2016〕33号）、《国务院办公厅关于促进市场公平竞争维护市场正常秩序的若干意见》（国发〔2014〕20号）、《国务院关于推进国内贸易流通现代化建设法治化营商环境的意见》（国发〔2015〕49号）、《关于对国内贸易流通领域严重违法失信主体开展联合惩戒的合作备忘录》（发改财金〔2017〕1943号）、《国家发展改革委人民银行关于加强和规范守信联合激励和失信联合惩戒对象名单管理工作的指导意见》（发改财金规〔2017〕1798号）等有关要求，加快推进家政服务领域社会信用体系建设，建立健全失信联合惩戒机制，国家发展改革委、人民银行、商务部、中央组织部、中央宣传部、中央文明办、最高人民法院、科技部、公安部、财政部、人力资源社会保障部、国土资源部、住房城乡建设部、交通运输部、水利部、海关总署、税务总局、工商总局、新闻出版广电总局、银监会、证监会、保监会、国家公务员局、民航局、全国总工会、共青团中央、全国妇联、铁路总公司等部门就家政服务领域严重违法失信</w:t>
      </w:r>
      <w:r>
        <w:rPr>
          <w:rFonts w:hint="eastAsia" w:ascii="仿宋" w:hAnsi="仿宋" w:eastAsia="仿宋" w:cs="仿宋"/>
          <w:sz w:val="32"/>
          <w:szCs w:val="32"/>
          <w:lang w:eastAsia="zh-CN"/>
        </w:rPr>
        <w:t>责</w:t>
      </w:r>
      <w:r>
        <w:rPr>
          <w:rFonts w:hint="eastAsia" w:ascii="仿宋" w:hAnsi="仿宋" w:eastAsia="仿宋" w:cs="仿宋"/>
          <w:sz w:val="32"/>
          <w:szCs w:val="32"/>
        </w:rPr>
        <w:t>任主体开展联合惩戒工作达成如下一致意见。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sz w:val="32"/>
          <w:szCs w:val="32"/>
        </w:rPr>
      </w:pPr>
      <w:bookmarkStart w:id="3" w:name="bookmark6"/>
      <w:r>
        <w:rPr>
          <w:rFonts w:hint="eastAsia" w:ascii="黑体" w:hAnsi="黑体" w:eastAsia="黑体" w:cs="黑体"/>
          <w:sz w:val="32"/>
          <w:szCs w:val="32"/>
        </w:rPr>
        <w:t>一</w:t>
      </w:r>
      <w:bookmarkEnd w:id="3"/>
      <w:r>
        <w:rPr>
          <w:rFonts w:hint="eastAsia" w:ascii="黑体" w:hAnsi="黑体" w:eastAsia="黑体" w:cs="黑体"/>
          <w:sz w:val="32"/>
          <w:szCs w:val="32"/>
        </w:rPr>
        <w:t>、联合惩戒对象</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r>
        <w:rPr>
          <w:rFonts w:hint="eastAsia" w:ascii="仿宋" w:hAnsi="仿宋" w:eastAsia="仿宋" w:cs="仿宋"/>
          <w:sz w:val="32"/>
          <w:szCs w:val="32"/>
        </w:rPr>
        <w:t>联合惩戒对象主要指在家政服务领域经营活动中违反《家庭服务业管理暂行办法》（商务部令2012年第11号，《家庭服务业管理暂行办法》中</w:t>
      </w:r>
      <w:r>
        <w:rPr>
          <w:rFonts w:hint="eastAsia" w:ascii="仿宋" w:hAnsi="仿宋" w:eastAsia="仿宋" w:cs="仿宋"/>
          <w:sz w:val="32"/>
          <w:szCs w:val="32"/>
          <w:lang w:val="zh-CN" w:eastAsia="zh-CN"/>
        </w:rPr>
        <w:t>“家</w:t>
      </w:r>
      <w:r>
        <w:rPr>
          <w:rFonts w:hint="eastAsia" w:ascii="仿宋" w:hAnsi="仿宋" w:eastAsia="仿宋" w:cs="仿宋"/>
          <w:sz w:val="32"/>
          <w:szCs w:val="32"/>
        </w:rPr>
        <w:t>庭服务业”等同于</w:t>
      </w:r>
      <w:r>
        <w:rPr>
          <w:rFonts w:hint="eastAsia" w:ascii="仿宋" w:hAnsi="仿宋" w:eastAsia="仿宋" w:cs="仿宋"/>
          <w:sz w:val="32"/>
          <w:szCs w:val="32"/>
          <w:lang w:val="zh-CN" w:eastAsia="zh-CN"/>
        </w:rPr>
        <w:t>“家政</w:t>
      </w:r>
      <w:r>
        <w:rPr>
          <w:rFonts w:hint="eastAsia" w:ascii="仿宋" w:hAnsi="仿宋" w:eastAsia="仿宋" w:cs="仿宋"/>
          <w:sz w:val="32"/>
          <w:szCs w:val="32"/>
        </w:rPr>
        <w:t>服务业”），以及其他法律、法规、规章和规范性文件，违背诚实信用原则，经有关主管部门确认存在严</w:t>
      </w:r>
      <w:r>
        <w:rPr>
          <w:rFonts w:hint="eastAsia" w:ascii="仿宋" w:hAnsi="仿宋" w:eastAsia="仿宋" w:cs="仿宋"/>
          <w:sz w:val="32"/>
          <w:szCs w:val="32"/>
          <w:lang w:eastAsia="zh-CN"/>
        </w:rPr>
        <w:t>重</w:t>
      </w:r>
      <w:r>
        <w:rPr>
          <w:rFonts w:hint="eastAsia" w:ascii="仿宋" w:hAnsi="仿宋" w:eastAsia="仿宋" w:cs="仿宋"/>
          <w:sz w:val="32"/>
          <w:szCs w:val="32"/>
        </w:rPr>
        <w:t>失信行为的相关机构及人员等责任主体（以下简称惩戒对象），包括：（1）失信家政服务企业；（2）失信家政服务企业的法定代表人、主要负责人和对失信行为负有直接责任的从业人员（以下统称失信人员</w:t>
      </w:r>
      <w:r>
        <w:rPr>
          <w:rFonts w:hint="eastAsia" w:ascii="仿宋" w:hAnsi="仿宋" w:eastAsia="仿宋" w:cs="仿宋"/>
          <w:sz w:val="32"/>
          <w:szCs w:val="32"/>
          <w:lang w:val="en-US" w:eastAsia="en-US"/>
        </w:rPr>
        <w:t>）</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sz w:val="32"/>
          <w:szCs w:val="32"/>
        </w:rPr>
      </w:pPr>
      <w:bookmarkStart w:id="4" w:name="bookmark7"/>
      <w:r>
        <w:rPr>
          <w:rFonts w:hint="eastAsia" w:ascii="黑体" w:hAnsi="黑体" w:eastAsia="黑体" w:cs="黑体"/>
          <w:sz w:val="32"/>
          <w:szCs w:val="32"/>
        </w:rPr>
        <w:t>二</w:t>
      </w:r>
      <w:bookmarkEnd w:id="4"/>
      <w:r>
        <w:rPr>
          <w:rFonts w:hint="eastAsia" w:ascii="黑体" w:hAnsi="黑体" w:eastAsia="黑体" w:cs="黑体"/>
          <w:sz w:val="32"/>
          <w:szCs w:val="32"/>
        </w:rPr>
        <w:t>、信息共享与联合惩戒的实施方式</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国家发展改革委基于全国信用信息共享平台建立联合奖惩子系统。商务部通过该系统向签署本备忘录的其他部门和单位提供家政服务领域失信责任主体信息并按照有关规定更新动态。各部门按照本备忘录约定内容，依法依规对家政服务领域失信责任主体实施联合惩戒。各部门根据实际情况定期将联合惩戒实施情况通过全国信用信息共享平台联合奖惩子系统反馈至国家发展改革委和商务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黑体" w:hAnsi="黑体" w:eastAsia="黑体" w:cs="黑体"/>
          <w:sz w:val="32"/>
          <w:szCs w:val="32"/>
        </w:rPr>
      </w:pPr>
      <w:bookmarkStart w:id="5" w:name="bookmark8"/>
      <w:r>
        <w:rPr>
          <w:rFonts w:hint="eastAsia" w:ascii="黑体" w:hAnsi="黑体" w:eastAsia="黑体" w:cs="黑体"/>
          <w:sz w:val="32"/>
          <w:szCs w:val="32"/>
        </w:rPr>
        <w:t>三</w:t>
      </w:r>
      <w:bookmarkEnd w:id="5"/>
      <w:r>
        <w:rPr>
          <w:rFonts w:hint="eastAsia" w:ascii="黑体" w:hAnsi="黑体" w:eastAsia="黑体" w:cs="黑体"/>
          <w:sz w:val="32"/>
          <w:szCs w:val="32"/>
        </w:rPr>
        <w:t>、联合惩戒措施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（一）商务主管部门采取的惩戒措施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bookmarkStart w:id="6" w:name="bookmark9"/>
      <w:bookmarkEnd w:id="6"/>
      <w:r>
        <w:rPr>
          <w:rFonts w:hint="eastAsia" w:ascii="仿宋" w:hAnsi="仿宋" w:eastAsia="仿宋" w:cs="仿宋"/>
          <w:sz w:val="32"/>
          <w:szCs w:val="32"/>
          <w:lang w:val="en-US" w:eastAsia="zh-CN"/>
        </w:rPr>
        <w:t>1.</w:t>
      </w:r>
      <w:r>
        <w:rPr>
          <w:rFonts w:hint="eastAsia" w:ascii="仿宋" w:hAnsi="仿宋" w:eastAsia="仿宋" w:cs="仿宋"/>
          <w:sz w:val="32"/>
          <w:szCs w:val="32"/>
        </w:rPr>
        <w:t>失信企业和人员产生新的违法违规行为时，依法依规从严从重处罚。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（实施单位：商务部）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bookmarkStart w:id="7" w:name="bookmark10"/>
      <w:bookmarkEnd w:id="7"/>
      <w:r>
        <w:rPr>
          <w:rFonts w:hint="eastAsia" w:ascii="仿宋" w:hAnsi="仿宋" w:eastAsia="仿宋" w:cs="仿宋"/>
          <w:sz w:val="32"/>
          <w:szCs w:val="32"/>
          <w:lang w:val="en-US" w:eastAsia="zh-CN"/>
        </w:rPr>
        <w:t>2.</w:t>
      </w:r>
      <w:r>
        <w:rPr>
          <w:rFonts w:hint="eastAsia" w:ascii="仿宋" w:hAnsi="仿宋" w:eastAsia="仿宋" w:cs="仿宋"/>
          <w:sz w:val="32"/>
          <w:szCs w:val="32"/>
        </w:rPr>
        <w:t>失信企业和人员不可享受家政服务领域的支持政策</w:t>
      </w:r>
      <w:r>
        <w:rPr>
          <w:rFonts w:hint="eastAsia" w:ascii="仿宋" w:hAnsi="仿宋" w:eastAsia="仿宋" w:cs="仿宋"/>
          <w:sz w:val="32"/>
          <w:szCs w:val="32"/>
          <w:lang w:eastAsia="zh-CN"/>
        </w:rPr>
        <w:t>，</w:t>
      </w:r>
      <w:r>
        <w:rPr>
          <w:rFonts w:hint="eastAsia" w:ascii="仿宋" w:hAnsi="仿宋" w:eastAsia="仿宋" w:cs="仿宋"/>
          <w:sz w:val="32"/>
          <w:szCs w:val="32"/>
        </w:rPr>
        <w:t>如培训补贴、企业培育、保险补贴等。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（实施单位：商务部）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楷体" w:hAnsi="楷体" w:eastAsia="楷体" w:cs="楷体"/>
          <w:sz w:val="32"/>
          <w:szCs w:val="32"/>
        </w:rPr>
      </w:pPr>
      <w:r>
        <w:rPr>
          <w:rFonts w:hint="eastAsia" w:ascii="楷体" w:hAnsi="楷体" w:eastAsia="楷体" w:cs="楷体"/>
          <w:sz w:val="32"/>
          <w:szCs w:val="32"/>
        </w:rPr>
        <w:t>（二）跨部门联合惩戒措施</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bookmarkStart w:id="8" w:name="bookmark11"/>
      <w:bookmarkEnd w:id="8"/>
      <w:r>
        <w:rPr>
          <w:rFonts w:hint="eastAsia" w:ascii="仿宋" w:hAnsi="仿宋" w:eastAsia="仿宋" w:cs="仿宋"/>
          <w:sz w:val="32"/>
          <w:szCs w:val="32"/>
          <w:lang w:val="en-US" w:eastAsia="zh-CN"/>
        </w:rPr>
        <w:t>3.</w:t>
      </w:r>
      <w:r>
        <w:rPr>
          <w:rFonts w:hint="eastAsia" w:ascii="仿宋" w:hAnsi="仿宋" w:eastAsia="仿宋" w:cs="仿宋"/>
          <w:sz w:val="32"/>
          <w:szCs w:val="32"/>
        </w:rPr>
        <w:t>各行政管理部门在主管领域内限制、暂停或取消对惩戒对象的政策性资金支持。</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（实施单位：地方各级人民政府、财政部、国家发展改革委等有关部门）</w:t>
      </w:r>
    </w:p>
    <w:p>
      <w:pPr>
        <w:keepNext w:val="0"/>
        <w:keepLines w:val="0"/>
        <w:pageBreakBefore w:val="0"/>
        <w:widowControl w:val="0"/>
        <w:kinsoku/>
        <w:wordWrap/>
        <w:overflowPunct/>
        <w:topLinePunct w:val="0"/>
        <w:autoSpaceDE/>
        <w:autoSpaceDN/>
        <w:bidi w:val="0"/>
        <w:adjustRightInd/>
        <w:snapToGrid/>
        <w:spacing w:line="600" w:lineRule="exact"/>
        <w:ind w:left="638" w:leftChars="266" w:firstLine="0" w:firstLineChars="0"/>
        <w:jc w:val="both"/>
        <w:textAlignment w:val="auto"/>
        <w:rPr>
          <w:rFonts w:hint="eastAsia" w:ascii="仿宋" w:hAnsi="仿宋" w:eastAsia="仿宋" w:cs="仿宋"/>
          <w:sz w:val="32"/>
          <w:szCs w:val="32"/>
        </w:rPr>
      </w:pPr>
      <w:bookmarkStart w:id="9" w:name="bookmark12"/>
      <w:bookmarkEnd w:id="9"/>
      <w:r>
        <w:rPr>
          <w:rFonts w:hint="eastAsia" w:ascii="仿宋" w:hAnsi="仿宋" w:eastAsia="仿宋" w:cs="仿宋"/>
          <w:sz w:val="32"/>
          <w:szCs w:val="32"/>
          <w:lang w:val="en-US" w:eastAsia="zh-CN"/>
        </w:rPr>
        <w:t>4.</w:t>
      </w:r>
      <w:r>
        <w:rPr>
          <w:rFonts w:hint="eastAsia" w:ascii="仿宋" w:hAnsi="仿宋" w:eastAsia="仿宋" w:cs="仿宋"/>
          <w:sz w:val="32"/>
          <w:szCs w:val="32"/>
        </w:rPr>
        <w:t>在一定期限内依法禁止其作为供应商参与政府采购活动。 （实施单位：财政部）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bookmarkStart w:id="10" w:name="bookmark13"/>
      <w:bookmarkEnd w:id="10"/>
      <w:r>
        <w:rPr>
          <w:rFonts w:hint="eastAsia" w:ascii="仿宋" w:hAnsi="仿宋" w:eastAsia="仿宋" w:cs="仿宋"/>
          <w:sz w:val="32"/>
          <w:szCs w:val="32"/>
          <w:lang w:val="en-US" w:eastAsia="zh-CN"/>
        </w:rPr>
        <w:t>5.</w:t>
      </w:r>
      <w:r>
        <w:rPr>
          <w:rFonts w:hint="eastAsia" w:ascii="仿宋" w:hAnsi="仿宋" w:eastAsia="仿宋" w:cs="仿宋"/>
          <w:sz w:val="32"/>
          <w:szCs w:val="32"/>
        </w:rPr>
        <w:t>限制取得政府供应的土地。</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（实施单位：国土资源部）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bookmarkStart w:id="11" w:name="bookmark14"/>
      <w:bookmarkEnd w:id="11"/>
      <w:r>
        <w:rPr>
          <w:rFonts w:hint="eastAsia" w:ascii="仿宋" w:hAnsi="仿宋" w:eastAsia="仿宋" w:cs="仿宋"/>
          <w:sz w:val="32"/>
          <w:szCs w:val="32"/>
          <w:lang w:val="en-US" w:eastAsia="zh-CN"/>
        </w:rPr>
        <w:t>6.</w:t>
      </w:r>
      <w:r>
        <w:rPr>
          <w:rFonts w:hint="eastAsia" w:ascii="仿宋" w:hAnsi="仿宋" w:eastAsia="仿宋" w:cs="仿宋"/>
          <w:sz w:val="32"/>
          <w:szCs w:val="32"/>
        </w:rPr>
        <w:t>依法限制或者禁止参与基础设施和公用事业特许经营。</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（实施单位：国家发展改革委、财政部、住房城乡建设部、交通运输部、水利部）</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 w:hAnsi="仿宋" w:eastAsia="仿宋" w:cs="仿宋"/>
          <w:sz w:val="32"/>
          <w:szCs w:val="32"/>
        </w:rPr>
      </w:pPr>
      <w:bookmarkStart w:id="12" w:name="bookmark15"/>
      <w:bookmarkEnd w:id="12"/>
      <w:r>
        <w:rPr>
          <w:rFonts w:hint="eastAsia" w:ascii="仿宋" w:hAnsi="仿宋" w:eastAsia="仿宋" w:cs="仿宋"/>
          <w:sz w:val="32"/>
          <w:szCs w:val="32"/>
          <w:lang w:val="en-US" w:eastAsia="zh-CN"/>
        </w:rPr>
        <w:t>7.</w:t>
      </w:r>
      <w:r>
        <w:rPr>
          <w:rFonts w:hint="eastAsia" w:ascii="仿宋" w:hAnsi="仿宋" w:eastAsia="仿宋" w:cs="仿宋"/>
          <w:sz w:val="32"/>
          <w:szCs w:val="32"/>
        </w:rPr>
        <w:t xml:space="preserve">依法限制参与工程建设项目招投标等有关公共资源交易活动。 </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（实施单位：国家发展改革委等有关部门）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限制发起设立或参股金融机构以及小额贷款公司、融资担保</w:t>
      </w:r>
      <w:bookmarkStart w:id="13" w:name="bookmark16"/>
      <w:bookmarkEnd w:id="13"/>
      <w:r>
        <w:rPr>
          <w:rFonts w:hint="eastAsia" w:ascii="仿宋" w:hAnsi="仿宋" w:eastAsia="仿宋" w:cs="仿宋"/>
          <w:sz w:val="32"/>
          <w:szCs w:val="32"/>
        </w:rPr>
        <w:t>公司、创业投资公司、互联网融资平台、银行卡清算机构、非银行支付机构等。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（实施单位：人民银行、银监会、保监会、财政部、地方政府确定的融资性担保公司监管机构）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bookmarkStart w:id="14" w:name="bookmark17"/>
      <w:bookmarkEnd w:id="14"/>
      <w:r>
        <w:rPr>
          <w:rFonts w:hint="eastAsia" w:ascii="仿宋" w:hAnsi="仿宋" w:eastAsia="仿宋" w:cs="仿宋"/>
          <w:sz w:val="32"/>
          <w:szCs w:val="32"/>
          <w:lang w:val="en-US" w:eastAsia="zh-CN"/>
        </w:rPr>
        <w:t>9.</w:t>
      </w:r>
      <w:r>
        <w:rPr>
          <w:rFonts w:hint="eastAsia" w:ascii="仿宋" w:hAnsi="仿宋" w:eastAsia="仿宋" w:cs="仿宋"/>
          <w:sz w:val="32"/>
          <w:szCs w:val="32"/>
        </w:rPr>
        <w:t>限制新的科技扶持项目，并依据有关规定暂停审批其新的科技项目扶持资金申报等。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（实施单位：科技部）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bookmarkStart w:id="15" w:name="bookmark18"/>
      <w:bookmarkEnd w:id="15"/>
      <w:r>
        <w:rPr>
          <w:rFonts w:hint="eastAsia" w:ascii="仿宋" w:hAnsi="仿宋" w:eastAsia="仿宋" w:cs="仿宋"/>
          <w:sz w:val="32"/>
          <w:szCs w:val="32"/>
          <w:lang w:val="en-US" w:eastAsia="zh-CN"/>
        </w:rPr>
        <w:t>10.</w:t>
      </w:r>
      <w:r>
        <w:rPr>
          <w:rFonts w:hint="eastAsia" w:ascii="仿宋" w:hAnsi="仿宋" w:eastAsia="仿宋" w:cs="仿宋"/>
          <w:sz w:val="32"/>
          <w:szCs w:val="32"/>
          <w:lang w:val="zh-CN" w:eastAsia="zh-CN"/>
        </w:rPr>
        <w:t>对广</w:t>
      </w:r>
      <w:r>
        <w:rPr>
          <w:rFonts w:hint="eastAsia" w:ascii="仿宋" w:hAnsi="仿宋" w:eastAsia="仿宋" w:cs="仿宋"/>
          <w:sz w:val="32"/>
          <w:szCs w:val="32"/>
        </w:rPr>
        <w:t>播电台、电视台、报刊音像出版单位等媒体发布其广告依法加强管理。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（实施单位：新闻出版广电总局）</w:t>
      </w:r>
    </w:p>
    <w:p>
      <w:pPr>
        <w:keepNext w:val="0"/>
        <w:keepLines w:val="0"/>
        <w:pageBreakBefore w:val="0"/>
        <w:widowControl w:val="0"/>
        <w:numPr>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sz w:val="32"/>
          <w:szCs w:val="32"/>
        </w:rPr>
      </w:pPr>
      <w:bookmarkStart w:id="16" w:name="bookmark19"/>
      <w:bookmarkEnd w:id="16"/>
      <w:r>
        <w:rPr>
          <w:rFonts w:hint="eastAsia" w:ascii="仿宋" w:hAnsi="仿宋" w:eastAsia="仿宋" w:cs="仿宋"/>
          <w:sz w:val="32"/>
          <w:szCs w:val="32"/>
          <w:lang w:val="en-US" w:eastAsia="zh-CN"/>
        </w:rPr>
        <w:t>11.</w:t>
      </w:r>
      <w:r>
        <w:rPr>
          <w:rFonts w:hint="eastAsia" w:ascii="仿宋" w:hAnsi="仿宋" w:eastAsia="仿宋" w:cs="仿宋"/>
          <w:sz w:val="32"/>
          <w:szCs w:val="32"/>
        </w:rPr>
        <w:t xml:space="preserve">列入税收管理重点监控对象，提高监督检查频次。 </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（实施单位：税务总局）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bookmarkStart w:id="17" w:name="bookmark20"/>
      <w:bookmarkEnd w:id="17"/>
      <w:r>
        <w:rPr>
          <w:rFonts w:hint="eastAsia" w:ascii="仿宋" w:hAnsi="仿宋" w:eastAsia="仿宋" w:cs="仿宋"/>
          <w:sz w:val="32"/>
          <w:szCs w:val="32"/>
          <w:lang w:val="en-US" w:eastAsia="zh-CN"/>
        </w:rPr>
        <w:t>12.</w:t>
      </w:r>
      <w:r>
        <w:rPr>
          <w:rFonts w:hint="eastAsia" w:ascii="仿宋" w:hAnsi="仿宋" w:eastAsia="仿宋" w:cs="仿宋"/>
          <w:sz w:val="32"/>
          <w:szCs w:val="32"/>
        </w:rPr>
        <w:t>在申请信贷融资、财产保险或办理信用卡等金融服务时，金融机构将其失信行为作为审核的重要参考。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（实施单位：人民银行、银监会、保监会）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bookmarkStart w:id="18" w:name="bookmark21"/>
      <w:bookmarkEnd w:id="18"/>
      <w:r>
        <w:rPr>
          <w:rFonts w:hint="eastAsia" w:ascii="仿宋" w:hAnsi="仿宋" w:eastAsia="仿宋" w:cs="仿宋"/>
          <w:sz w:val="32"/>
          <w:szCs w:val="32"/>
          <w:lang w:val="en-US" w:eastAsia="zh-CN"/>
        </w:rPr>
        <w:t>13.</w:t>
      </w:r>
      <w:r>
        <w:rPr>
          <w:rFonts w:hint="eastAsia" w:ascii="仿宋" w:hAnsi="仿宋" w:eastAsia="仿宋" w:cs="仿宋"/>
          <w:sz w:val="32"/>
          <w:szCs w:val="32"/>
        </w:rPr>
        <w:t>将违法失信信息作为公开发行其他公司信用类债券核准或注册的参考。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（实施单位：证监会）</w:t>
      </w:r>
    </w:p>
    <w:p>
      <w:pPr>
        <w:keepNext w:val="0"/>
        <w:keepLines w:val="0"/>
        <w:pageBreakBefore w:val="0"/>
        <w:widowControl w:val="0"/>
        <w:numPr>
          <w:numId w:val="0"/>
        </w:numPr>
        <w:kinsoku/>
        <w:wordWrap/>
        <w:overflowPunct/>
        <w:topLinePunct w:val="0"/>
        <w:autoSpaceDE/>
        <w:autoSpaceDN/>
        <w:bidi w:val="0"/>
        <w:adjustRightInd/>
        <w:snapToGrid/>
        <w:spacing w:line="600" w:lineRule="exact"/>
        <w:ind w:right="0" w:rightChars="0" w:firstLine="640" w:firstLineChars="200"/>
        <w:jc w:val="both"/>
        <w:textAlignment w:val="auto"/>
        <w:rPr>
          <w:rFonts w:hint="eastAsia" w:ascii="仿宋" w:hAnsi="仿宋" w:eastAsia="仿宋" w:cs="仿宋"/>
          <w:sz w:val="32"/>
          <w:szCs w:val="32"/>
        </w:rPr>
      </w:pPr>
      <w:bookmarkStart w:id="19" w:name="bookmark22"/>
      <w:bookmarkEnd w:id="19"/>
      <w:r>
        <w:rPr>
          <w:rFonts w:hint="eastAsia" w:ascii="仿宋" w:hAnsi="仿宋" w:eastAsia="仿宋" w:cs="仿宋"/>
          <w:sz w:val="32"/>
          <w:szCs w:val="32"/>
          <w:lang w:val="en-US" w:eastAsia="zh-CN"/>
        </w:rPr>
        <w:t>14.</w:t>
      </w:r>
      <w:r>
        <w:rPr>
          <w:rFonts w:hint="eastAsia" w:ascii="仿宋" w:hAnsi="仿宋" w:eastAsia="仿宋" w:cs="仿宋"/>
          <w:sz w:val="32"/>
          <w:szCs w:val="32"/>
        </w:rPr>
        <w:t xml:space="preserve">对申请发行企业债券不予受理。 </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（实施单位：国家发展改革委）</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bookmarkStart w:id="20" w:name="bookmark23"/>
      <w:bookmarkEnd w:id="20"/>
      <w:r>
        <w:rPr>
          <w:rFonts w:hint="eastAsia" w:ascii="仿宋" w:hAnsi="仿宋" w:eastAsia="仿宋" w:cs="仿宋"/>
          <w:sz w:val="32"/>
          <w:szCs w:val="32"/>
          <w:lang w:val="en-US" w:eastAsia="zh-CN"/>
        </w:rPr>
        <w:t>15.</w:t>
      </w:r>
      <w:r>
        <w:rPr>
          <w:rFonts w:hint="eastAsia" w:ascii="仿宋" w:hAnsi="仿宋" w:eastAsia="仿宋" w:cs="仿宋"/>
          <w:sz w:val="32"/>
          <w:szCs w:val="32"/>
        </w:rPr>
        <w:t>将惩戒对象失信信息作为在股票发行审核及在全国中小企业股份转让系统挂牌公开转让审核中的参考。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（实施单位：证监会）</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 w:hAnsi="仿宋" w:eastAsia="仿宋" w:cs="仿宋"/>
          <w:sz w:val="32"/>
          <w:szCs w:val="32"/>
        </w:rPr>
      </w:pPr>
      <w:bookmarkStart w:id="21" w:name="bookmark24"/>
      <w:bookmarkEnd w:id="21"/>
      <w:r>
        <w:rPr>
          <w:rFonts w:hint="eastAsia" w:ascii="仿宋" w:hAnsi="仿宋" w:eastAsia="仿宋" w:cs="仿宋"/>
          <w:sz w:val="32"/>
          <w:szCs w:val="32"/>
          <w:lang w:val="en-US" w:eastAsia="zh-CN"/>
        </w:rPr>
        <w:t>16.</w:t>
      </w:r>
      <w:r>
        <w:rPr>
          <w:rFonts w:hint="eastAsia" w:ascii="仿宋" w:hAnsi="仿宋" w:eastAsia="仿宋" w:cs="仿宋"/>
          <w:sz w:val="32"/>
          <w:szCs w:val="32"/>
        </w:rPr>
        <w:t>将惩戒对象失信行为作为境内上市公司实行股权激励计划或相关人员成为股权激励对象事中事后监管的参考。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（实施单位：证监会）</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17.</w:t>
      </w:r>
      <w:r>
        <w:rPr>
          <w:rFonts w:hint="eastAsia" w:ascii="仿宋" w:hAnsi="仿宋" w:eastAsia="仿宋" w:cs="仿宋"/>
          <w:sz w:val="32"/>
          <w:szCs w:val="32"/>
        </w:rPr>
        <w:t>对存在失信记录的相关主体在上市公司或者非上市公众公司收购的事中事后监管中予以重点关注。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（实施单位：证监会）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bookmarkStart w:id="22" w:name="bookmark26"/>
      <w:bookmarkEnd w:id="22"/>
      <w:r>
        <w:rPr>
          <w:rFonts w:hint="eastAsia" w:ascii="仿宋" w:hAnsi="仿宋" w:eastAsia="仿宋" w:cs="仿宋"/>
          <w:sz w:val="32"/>
          <w:szCs w:val="32"/>
          <w:lang w:val="en-US" w:eastAsia="zh-CN"/>
        </w:rPr>
        <w:t>18.</w:t>
      </w:r>
      <w:r>
        <w:rPr>
          <w:rFonts w:hint="eastAsia" w:ascii="仿宋" w:hAnsi="仿宋" w:eastAsia="仿宋" w:cs="仿宋"/>
          <w:sz w:val="32"/>
          <w:szCs w:val="32"/>
        </w:rPr>
        <w:t>将惩戒对象失信行为作为非上市公众公司重大资产重组审核的参考。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（实施单位：证监会）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bookmarkStart w:id="23" w:name="bookmark27"/>
      <w:bookmarkEnd w:id="23"/>
      <w:r>
        <w:rPr>
          <w:rFonts w:hint="eastAsia" w:ascii="仿宋" w:hAnsi="仿宋" w:eastAsia="仿宋" w:cs="仿宋"/>
          <w:sz w:val="32"/>
          <w:szCs w:val="32"/>
          <w:lang w:val="en-US" w:eastAsia="zh-CN"/>
        </w:rPr>
        <w:t>19.</w:t>
      </w:r>
      <w:r>
        <w:rPr>
          <w:rFonts w:hint="eastAsia" w:ascii="仿宋" w:hAnsi="仿宋" w:eastAsia="仿宋" w:cs="仿宋"/>
          <w:sz w:val="32"/>
          <w:szCs w:val="32"/>
        </w:rPr>
        <w:t>将惩戒对象失信行为作为独立基金销售机构审批的参考。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（实施单位：证监会）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bookmarkStart w:id="24" w:name="bookmark28"/>
      <w:bookmarkEnd w:id="24"/>
      <w:r>
        <w:rPr>
          <w:rFonts w:hint="eastAsia" w:ascii="仿宋" w:hAnsi="仿宋" w:eastAsia="仿宋" w:cs="仿宋"/>
          <w:sz w:val="32"/>
          <w:szCs w:val="32"/>
          <w:lang w:val="en-US" w:eastAsia="zh-CN"/>
        </w:rPr>
        <w:t>20.</w:t>
      </w:r>
      <w:r>
        <w:rPr>
          <w:rFonts w:hint="eastAsia" w:ascii="仿宋" w:hAnsi="仿宋" w:eastAsia="仿宋" w:cs="仿宋"/>
          <w:sz w:val="32"/>
          <w:szCs w:val="32"/>
        </w:rPr>
        <w:t>将违法失信信息作为变更持有银行卡清算机构和非银行卡支付机构5%以上股权的股东、实际控制人的审批参考。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（实施单位：人民银行）</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bookmarkStart w:id="25" w:name="bookmark29"/>
      <w:bookmarkEnd w:id="25"/>
      <w:r>
        <w:rPr>
          <w:rFonts w:hint="eastAsia" w:ascii="仿宋" w:hAnsi="仿宋" w:eastAsia="仿宋" w:cs="仿宋"/>
          <w:sz w:val="32"/>
          <w:szCs w:val="32"/>
          <w:lang w:val="en-US" w:eastAsia="zh-CN"/>
        </w:rPr>
        <w:t>21.</w:t>
      </w:r>
      <w:r>
        <w:rPr>
          <w:rFonts w:hint="eastAsia" w:ascii="仿宋" w:hAnsi="仿宋" w:eastAsia="仿宋" w:cs="仿宋"/>
          <w:sz w:val="32"/>
          <w:szCs w:val="32"/>
        </w:rPr>
        <w:t>将惩戒对象失信行为作为证券公司、基金管理公司及期货公司的设立及股权或实际控制人变更审批或备案，私募投资基金管理人登记、重大事项变更以及基金备案的参考。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（实施单位：证监会）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bookmarkStart w:id="26" w:name="bookmark30"/>
      <w:bookmarkEnd w:id="26"/>
      <w:r>
        <w:rPr>
          <w:rFonts w:hint="eastAsia" w:ascii="仿宋" w:hAnsi="仿宋" w:eastAsia="仿宋" w:cs="仿宋"/>
          <w:sz w:val="32"/>
          <w:szCs w:val="32"/>
          <w:lang w:val="en-US" w:eastAsia="zh-CN"/>
        </w:rPr>
        <w:t>2</w:t>
      </w:r>
      <w:bookmarkStart w:id="33" w:name="_GoBack"/>
      <w:bookmarkEnd w:id="33"/>
      <w:r>
        <w:rPr>
          <w:rFonts w:hint="eastAsia" w:ascii="仿宋" w:hAnsi="仿宋" w:eastAsia="仿宋" w:cs="仿宋"/>
          <w:sz w:val="32"/>
          <w:szCs w:val="32"/>
          <w:lang w:val="en-US" w:eastAsia="zh-CN"/>
        </w:rPr>
        <w:t>2.</w:t>
      </w:r>
      <w:r>
        <w:rPr>
          <w:rFonts w:hint="eastAsia" w:ascii="仿宋" w:hAnsi="仿宋" w:eastAsia="仿宋" w:cs="仿宋"/>
          <w:sz w:val="32"/>
          <w:szCs w:val="32"/>
          <w:lang w:val="zh-CN" w:eastAsia="zh-CN"/>
        </w:rPr>
        <w:t>在审</w:t>
      </w:r>
      <w:r>
        <w:rPr>
          <w:rFonts w:hint="eastAsia" w:ascii="仿宋" w:hAnsi="仿宋" w:eastAsia="仿宋" w:cs="仿宋"/>
          <w:sz w:val="32"/>
          <w:szCs w:val="32"/>
        </w:rPr>
        <w:t>批保险公司设立及变更持有5%以上股权的股东、实际控制人时，以及在保险专业中介业务许可中，将失信信息作为审批的重要参考。</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（实施单位：保监会）</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bookmarkStart w:id="27" w:name="bookmark31"/>
      <w:bookmarkEnd w:id="27"/>
      <w:r>
        <w:rPr>
          <w:rFonts w:hint="eastAsia" w:ascii="仿宋" w:hAnsi="仿宋" w:eastAsia="仿宋" w:cs="仿宋"/>
          <w:sz w:val="32"/>
          <w:szCs w:val="32"/>
          <w:lang w:val="en-US" w:eastAsia="zh-CN"/>
        </w:rPr>
        <w:t>23.</w:t>
      </w:r>
      <w:r>
        <w:rPr>
          <w:rFonts w:hint="eastAsia" w:ascii="仿宋" w:hAnsi="仿宋" w:eastAsia="仿宋" w:cs="仿宋"/>
          <w:sz w:val="32"/>
          <w:szCs w:val="32"/>
        </w:rPr>
        <w:t>将违法失信信息作为相关主体担任证券公司、基金公司、期货公司的董事、监事和高级管理人员及分支机构负责人的参考；将违法失信信息作为相关主体担任保险公司、保险资产管理公司、保险专业中介机构、融资性担保公司、银行卡清算机构、非银行支付机构的董事、监事和高级管理人员的参考；对相关违法失信主体</w:t>
      </w:r>
      <w:r>
        <w:rPr>
          <w:rFonts w:hint="eastAsia" w:ascii="仿宋" w:hAnsi="仿宋" w:eastAsia="仿宋" w:cs="仿宋"/>
          <w:sz w:val="32"/>
          <w:szCs w:val="32"/>
          <w:lang w:eastAsia="zh-CN"/>
        </w:rPr>
        <w:t>已</w:t>
      </w:r>
      <w:r>
        <w:rPr>
          <w:rFonts w:hint="eastAsia" w:ascii="仿宋" w:hAnsi="仿宋" w:eastAsia="仿宋" w:cs="仿宋"/>
          <w:sz w:val="32"/>
          <w:szCs w:val="32"/>
        </w:rPr>
        <w:t>成为上市公司、非上市公众公司董事、监事和高级管理人员的予以重点关注；对相关违法失信主体已成为证券、基金、期货机构从业人员的予以重点关注。</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（实施单位：人民银行、工商总局、证监会、保监会、地方政府确定的融资性担保公司监管机构）</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bookmarkStart w:id="28" w:name="bookmark32"/>
      <w:bookmarkEnd w:id="28"/>
      <w:r>
        <w:rPr>
          <w:rFonts w:hint="eastAsia" w:ascii="仿宋" w:hAnsi="仿宋" w:eastAsia="仿宋" w:cs="仿宋"/>
          <w:sz w:val="32"/>
          <w:szCs w:val="32"/>
          <w:lang w:val="en-US" w:eastAsia="zh-CN"/>
        </w:rPr>
        <w:t>24.</w:t>
      </w:r>
      <w:r>
        <w:rPr>
          <w:rFonts w:hint="eastAsia" w:ascii="仿宋" w:hAnsi="仿宋" w:eastAsia="仿宋" w:cs="仿宋"/>
          <w:sz w:val="32"/>
          <w:szCs w:val="32"/>
        </w:rPr>
        <w:t>对违反相关法律法规，被相关部门给予行政处罚，被相关部门申请人民法院强制执行，且被人民法院按照有关规定依法采取限制消费措施或依法纳入失信被执行人名单的，限制其乘坐飞机、列车软卧、</w:t>
      </w:r>
      <w:r>
        <w:rPr>
          <w:rFonts w:hint="eastAsia" w:ascii="仿宋" w:hAnsi="仿宋" w:eastAsia="仿宋" w:cs="仿宋"/>
          <w:sz w:val="32"/>
          <w:szCs w:val="32"/>
          <w:lang w:val="en-US" w:eastAsia="en-US"/>
        </w:rPr>
        <w:t>G</w:t>
      </w:r>
      <w:r>
        <w:rPr>
          <w:rFonts w:hint="eastAsia" w:ascii="仿宋" w:hAnsi="仿宋" w:eastAsia="仿宋" w:cs="仿宋"/>
          <w:sz w:val="32"/>
          <w:szCs w:val="32"/>
        </w:rPr>
        <w:t>字头动车组列车、其他动车组列车一等以上座位等高消费及其他非生活和工作必需的消费行为。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（实施单位：最高人民法院、交通运输部、民航局、铁路总公司等单位）</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bookmarkStart w:id="29" w:name="bookmark33"/>
      <w:bookmarkEnd w:id="29"/>
      <w:r>
        <w:rPr>
          <w:rFonts w:hint="eastAsia" w:ascii="仿宋" w:hAnsi="仿宋" w:eastAsia="仿宋" w:cs="仿宋"/>
          <w:sz w:val="32"/>
          <w:szCs w:val="32"/>
          <w:lang w:val="en-US" w:eastAsia="zh-CN"/>
        </w:rPr>
        <w:t>25.</w:t>
      </w:r>
      <w:r>
        <w:rPr>
          <w:rFonts w:hint="eastAsia" w:ascii="仿宋" w:hAnsi="仿宋" w:eastAsia="仿宋" w:cs="仿宋"/>
          <w:sz w:val="32"/>
          <w:szCs w:val="32"/>
        </w:rPr>
        <w:t>惩戒对象为失信被执行人及失信被执行人的法定代表人、主要负责人、实际控制人、影响债务履行的直接责任人员的，限制新建、扩建、高档装修房屋，限制购买非经营必须车辆等非生活和工作必需的消费行为。</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（实施单位：住房城乡建设部、公安部、国土资源部、交通运输部、海关总署、保监会）</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 w:hAnsi="仿宋" w:eastAsia="仿宋" w:cs="仿宋"/>
          <w:sz w:val="32"/>
          <w:szCs w:val="32"/>
        </w:rPr>
      </w:pPr>
      <w:bookmarkStart w:id="30" w:name="bookmark34"/>
      <w:bookmarkEnd w:id="30"/>
      <w:r>
        <w:rPr>
          <w:rFonts w:hint="eastAsia" w:ascii="仿宋" w:hAnsi="仿宋" w:eastAsia="仿宋" w:cs="仿宋"/>
          <w:sz w:val="32"/>
          <w:szCs w:val="32"/>
          <w:lang w:val="en-US" w:eastAsia="zh-CN"/>
        </w:rPr>
        <w:t>26.</w:t>
      </w:r>
      <w:r>
        <w:rPr>
          <w:rFonts w:hint="eastAsia" w:ascii="仿宋" w:hAnsi="仿宋" w:eastAsia="仿宋" w:cs="仿宋"/>
          <w:sz w:val="32"/>
          <w:szCs w:val="32"/>
        </w:rPr>
        <w:t xml:space="preserve">限制惩戒对象招录（聘）为公务员或事业单位工作人员。 </w:t>
      </w:r>
    </w:p>
    <w:p>
      <w:pPr>
        <w:keepNext w:val="0"/>
        <w:keepLines w:val="0"/>
        <w:pageBreakBefore w:val="0"/>
        <w:widowControl w:val="0"/>
        <w:numPr>
          <w:numId w:val="0"/>
        </w:numPr>
        <w:kinsoku/>
        <w:wordWrap/>
        <w:overflowPunct/>
        <w:topLinePunct w:val="0"/>
        <w:autoSpaceDE/>
        <w:autoSpaceDN/>
        <w:bidi w:val="0"/>
        <w:adjustRightInd/>
        <w:snapToGrid/>
        <w:spacing w:line="600" w:lineRule="exact"/>
        <w:ind w:left="0" w:leftChars="0" w:right="0" w:righ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（实施单位：中央组织部、人力资源社会保障部、国家公务员局）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bookmarkStart w:id="31" w:name="bookmark35"/>
      <w:bookmarkEnd w:id="31"/>
      <w:r>
        <w:rPr>
          <w:rFonts w:hint="eastAsia" w:ascii="仿宋" w:hAnsi="仿宋" w:eastAsia="仿宋" w:cs="仿宋"/>
          <w:sz w:val="32"/>
          <w:szCs w:val="32"/>
          <w:lang w:val="en-US" w:eastAsia="zh-CN"/>
        </w:rPr>
        <w:t>27.</w:t>
      </w:r>
      <w:r>
        <w:rPr>
          <w:rFonts w:hint="eastAsia" w:ascii="仿宋" w:hAnsi="仿宋" w:eastAsia="仿宋" w:cs="仿宋"/>
          <w:sz w:val="32"/>
          <w:szCs w:val="32"/>
        </w:rPr>
        <w:t>按程序及时撤销相关荣誉称号。取消惩戒对象参加评先评优资格，不得向惩戒对象授予</w:t>
      </w:r>
      <w:r>
        <w:rPr>
          <w:rFonts w:hint="eastAsia" w:ascii="仿宋" w:hAnsi="仿宋" w:eastAsia="仿宋" w:cs="仿宋"/>
          <w:sz w:val="32"/>
          <w:szCs w:val="32"/>
          <w:lang w:val="zh-CN" w:eastAsia="zh-CN"/>
        </w:rPr>
        <w:t>“文明单位”“</w:t>
      </w:r>
      <w:r>
        <w:rPr>
          <w:rFonts w:hint="eastAsia" w:ascii="仿宋" w:hAnsi="仿宋" w:eastAsia="仿宋" w:cs="仿宋"/>
          <w:sz w:val="32"/>
          <w:szCs w:val="32"/>
        </w:rPr>
        <w:t>道德模范”</w:t>
      </w:r>
      <w:r>
        <w:rPr>
          <w:rFonts w:hint="eastAsia" w:ascii="仿宋" w:hAnsi="仿宋" w:eastAsia="仿宋" w:cs="仿宋"/>
          <w:sz w:val="32"/>
          <w:szCs w:val="32"/>
          <w:lang w:val="zh-CN" w:eastAsia="zh-CN"/>
        </w:rPr>
        <w:t>、“劳</w:t>
      </w:r>
      <w:r>
        <w:rPr>
          <w:rFonts w:hint="eastAsia" w:ascii="仿宋" w:hAnsi="仿宋" w:eastAsia="仿宋" w:cs="仿宋"/>
          <w:sz w:val="32"/>
          <w:szCs w:val="32"/>
        </w:rPr>
        <w:t>动模范”、</w:t>
      </w:r>
      <w:r>
        <w:rPr>
          <w:rFonts w:hint="eastAsia" w:ascii="仿宋" w:hAnsi="仿宋" w:eastAsia="仿宋" w:cs="仿宋"/>
          <w:sz w:val="32"/>
          <w:szCs w:val="32"/>
          <w:lang w:val="zh-CN" w:eastAsia="zh-CN"/>
        </w:rPr>
        <w:t>“五</w:t>
      </w:r>
      <w:r>
        <w:rPr>
          <w:rFonts w:hint="eastAsia" w:ascii="仿宋" w:hAnsi="仿宋" w:eastAsia="仿宋" w:cs="仿宋"/>
          <w:sz w:val="32"/>
          <w:szCs w:val="32"/>
        </w:rPr>
        <w:t>一劳动奖”等荣誉。</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（实施单位：中央宣传部、中央文明办、全国总工会、共青团中央、全国妇联）</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lang w:eastAsia="zh-CN"/>
        </w:rPr>
      </w:pPr>
      <w:bookmarkStart w:id="32" w:name="bookmark36"/>
      <w:bookmarkEnd w:id="32"/>
      <w:r>
        <w:rPr>
          <w:rFonts w:hint="eastAsia" w:ascii="仿宋" w:hAnsi="仿宋" w:eastAsia="仿宋" w:cs="仿宋"/>
          <w:sz w:val="32"/>
          <w:szCs w:val="32"/>
          <w:lang w:val="en-US" w:eastAsia="zh-CN"/>
        </w:rPr>
        <w:t>28.</w:t>
      </w:r>
      <w:r>
        <w:rPr>
          <w:rFonts w:hint="eastAsia" w:ascii="仿宋" w:hAnsi="仿宋" w:eastAsia="仿宋" w:cs="仿宋"/>
          <w:sz w:val="32"/>
          <w:szCs w:val="32"/>
        </w:rPr>
        <w:t>在商务部等有关部门网站</w:t>
      </w:r>
      <w:r>
        <w:rPr>
          <w:rFonts w:hint="eastAsia" w:ascii="仿宋" w:hAnsi="仿宋" w:eastAsia="仿宋" w:cs="仿宋"/>
          <w:sz w:val="32"/>
          <w:szCs w:val="32"/>
          <w:lang w:val="zh-CN" w:eastAsia="zh-CN"/>
        </w:rPr>
        <w:t>、“信</w:t>
      </w:r>
      <w:r>
        <w:rPr>
          <w:rFonts w:hint="eastAsia" w:ascii="仿宋" w:hAnsi="仿宋" w:eastAsia="仿宋" w:cs="仿宋"/>
          <w:sz w:val="32"/>
          <w:szCs w:val="32"/>
        </w:rPr>
        <w:t>用中国”网站、国家企业信用信息公示系统、商务诚信公共服务平台等公示联合惩戒对象的失信信息</w:t>
      </w:r>
      <w:r>
        <w:rPr>
          <w:rFonts w:hint="eastAsia" w:ascii="仿宋" w:hAnsi="仿宋" w:eastAsia="仿宋" w:cs="仿宋"/>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（实施单位：商务部、国家发展改革委、工商总局）</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 xml:space="preserve"> </w:t>
      </w:r>
      <w:r>
        <w:rPr>
          <w:rFonts w:hint="eastAsia" w:ascii="黑体" w:hAnsi="黑体" w:eastAsia="黑体" w:cs="黑体"/>
          <w:sz w:val="32"/>
          <w:szCs w:val="32"/>
        </w:rPr>
        <w:t>四、其它事宜</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各部门应密切协作，积极落实本备忘录，制定失信信息的使用、 撤销、管理的相关实施细则和操作流程，依法依规实施联合惩戒。</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hint="eastAsia" w:ascii="仿宋" w:hAnsi="仿宋" w:eastAsia="仿宋" w:cs="仿宋"/>
          <w:sz w:val="32"/>
          <w:szCs w:val="32"/>
        </w:rPr>
      </w:pPr>
      <w:r>
        <w:rPr>
          <w:rFonts w:hint="eastAsia" w:ascii="仿宋" w:hAnsi="仿宋" w:eastAsia="仿宋" w:cs="仿宋"/>
          <w:sz w:val="32"/>
          <w:szCs w:val="32"/>
        </w:rPr>
        <w:t>本备忘录实施过程中涉及部门之间协调配合的问题，由各部门协商解决。本备忘录签署后，各项惩戒措施依据的法律、法规、规章及规范性文件有修改或调整的，以修改后的法律、法规、规章及规范性文件为准。</w:t>
      </w:r>
    </w:p>
    <w:p>
      <w:pPr>
        <w:keepNext w:val="0"/>
        <w:keepLines w:val="0"/>
        <w:pageBreakBefore w:val="0"/>
        <w:widowControl w:val="0"/>
        <w:kinsoku/>
        <w:wordWrap/>
        <w:overflowPunct/>
        <w:topLinePunct w:val="0"/>
        <w:autoSpaceDE/>
        <w:autoSpaceDN/>
        <w:bidi w:val="0"/>
        <w:adjustRightInd/>
        <w:snapToGrid/>
        <w:spacing w:line="600" w:lineRule="exact"/>
        <w:ind w:left="0" w:leftChars="0" w:firstLine="640" w:firstLineChars="200"/>
        <w:jc w:val="both"/>
        <w:textAlignment w:val="auto"/>
        <w:rPr>
          <w:rFonts w:eastAsia="仿宋"/>
          <w:sz w:val="32"/>
        </w:rPr>
      </w:pPr>
    </w:p>
    <w:sectPr>
      <w:footerReference r:id="rId3" w:type="default"/>
      <w:pgSz w:w="11850" w:h="16783"/>
      <w:pgMar w:top="1871" w:right="1417" w:bottom="1871" w:left="141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2659380</wp:posOffset>
              </wp:positionH>
              <wp:positionV relativeFrom="paragraph">
                <wp:posOffset>-94615</wp:posOffset>
              </wp:positionV>
              <wp:extent cx="405765" cy="260985"/>
              <wp:effectExtent l="0" t="0" r="0" b="0"/>
              <wp:wrapNone/>
              <wp:docPr id="1" name="文本框 1"/>
              <wp:cNvGraphicFramePr/>
              <a:graphic xmlns:a="http://schemas.openxmlformats.org/drawingml/2006/main">
                <a:graphicData uri="http://schemas.microsoft.com/office/word/2010/wordprocessingShape">
                  <wps:wsp>
                    <wps:cNvSpPr txBox="1"/>
                    <wps:spPr>
                      <a:xfrm>
                        <a:off x="0" y="0"/>
                        <a:ext cx="405765" cy="26098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sz w:val="28"/>
                              <w:szCs w:val="28"/>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w:t>
                          </w:r>
                          <w:r>
                            <w:rPr>
                              <w:rFonts w:hint="eastAsia" w:eastAsia="宋体"/>
                              <w:sz w:val="28"/>
                              <w:szCs w:val="28"/>
                              <w:lang w:eastAsia="zh-CN"/>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209.4pt;margin-top:-7.45pt;height:20.55pt;width:31.95pt;mso-position-horizontal-relative:margin;z-index:251658240;mso-width-relative:page;mso-height-relative:page;" filled="f" stroked="f" coordsize="21600,21600" o:gfxdata="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">
              <v:fill on="f" focussize="0,0"/>
              <v:stroke on="f" weight="0.5pt"/>
              <v:imagedata o:title=""/>
              <o:lock v:ext="edit" aspectratio="f"/>
              <v:textbox inset="0mm,0mm,0mm,0mm">
                <w:txbxContent>
                  <w:p>
                    <w:pPr>
                      <w:pStyle w:val="2"/>
                      <w:rPr>
                        <w:rFonts w:hint="eastAsia" w:eastAsia="宋体"/>
                        <w:sz w:val="28"/>
                        <w:szCs w:val="28"/>
                        <w:lang w:eastAsia="zh-CN"/>
                      </w:rPr>
                    </w:pPr>
                    <w:r>
                      <w:rPr>
                        <w:rFonts w:hint="eastAsia" w:eastAsia="宋体"/>
                        <w:sz w:val="28"/>
                        <w:szCs w:val="28"/>
                        <w:lang w:eastAsia="zh-CN"/>
                      </w:rPr>
                      <w:fldChar w:fldCharType="begin"/>
                    </w:r>
                    <w:r>
                      <w:rPr>
                        <w:rFonts w:hint="eastAsia" w:eastAsia="宋体"/>
                        <w:sz w:val="28"/>
                        <w:szCs w:val="28"/>
                        <w:lang w:eastAsia="zh-CN"/>
                      </w:rPr>
                      <w:instrText xml:space="preserve"> PAGE  \* MERGEFORMAT </w:instrText>
                    </w:r>
                    <w:r>
                      <w:rPr>
                        <w:rFonts w:hint="eastAsia" w:eastAsia="宋体"/>
                        <w:sz w:val="28"/>
                        <w:szCs w:val="28"/>
                        <w:lang w:eastAsia="zh-CN"/>
                      </w:rPr>
                      <w:fldChar w:fldCharType="separate"/>
                    </w:r>
                    <w:r>
                      <w:rPr>
                        <w:rFonts w:hint="eastAsia" w:eastAsia="宋体"/>
                        <w:sz w:val="28"/>
                        <w:szCs w:val="28"/>
                        <w:lang w:eastAsia="zh-CN"/>
                      </w:rPr>
                      <w:t>1</w:t>
                    </w:r>
                    <w:r>
                      <w:rPr>
                        <w:rFonts w:hint="eastAsia" w:eastAsia="宋体"/>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703602"/>
    <w:rsid w:val="43216615"/>
    <w:rsid w:val="744624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Header or footer|2"/>
    <w:basedOn w:val="1"/>
    <w:qFormat/>
    <w:uiPriority w:val="0"/>
    <w:pPr>
      <w:widowControl w:val="0"/>
      <w:shd w:val="clear" w:color="auto" w:fill="auto"/>
    </w:pPr>
    <w:rPr>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12</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2020-10-23T07:40:00Z</dcterms:created>
  <dc:creator>Administrator</dc:creator>
  <cp:lastModifiedBy> 丽  小木  </cp:lastModifiedBy>
  <dcterms:modified xsi:type="dcterms:W3CDTF">2020-11-02T07:41:54Z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