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Chars="0"/>
        <w:jc w:val="both"/>
        <w:textAlignment w:val="auto"/>
        <w:rPr>
          <w:rFonts w:hint="eastAsia" w:ascii="仿宋" w:hAnsi="仿宋" w:eastAsia="仿宋" w:cs="仿宋"/>
          <w:sz w:val="32"/>
          <w:szCs w:val="32"/>
          <w:lang w:eastAsia="zh-CN"/>
        </w:rPr>
      </w:pPr>
      <w:bookmarkStart w:id="0" w:name="bookmark5"/>
      <w:bookmarkStart w:id="1" w:name="bookmark3"/>
      <w:bookmarkStart w:id="2" w:name="bookmark4"/>
      <w:r>
        <w:rPr>
          <w:rFonts w:hint="eastAsia" w:ascii="仿宋" w:hAnsi="仿宋" w:eastAsia="仿宋" w:cs="仿宋"/>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Chars="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关于对对外经济合作领域严重失信主体</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开展联合惩戒的合作备忘录</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为全面贯彻党的十九大精神，以习近平中国特色社会主义思想为指引，落实《国务院关于促进市场公平竞争维护市场正常秩序的若干意见》（国发〔2014〕20号）、《国务院关于印发社会信用体系建设规划纲要（</w:t>
      </w:r>
      <w:r>
        <w:rPr>
          <w:rFonts w:hint="eastAsia" w:ascii="仿宋" w:hAnsi="仿宋" w:eastAsia="仿宋" w:cs="仿宋"/>
          <w:sz w:val="32"/>
          <w:szCs w:val="32"/>
          <w:lang w:val="en-US" w:eastAsia="en-US"/>
        </w:rPr>
        <w:t>2014-202</w:t>
      </w:r>
      <w:r>
        <w:rPr>
          <w:rFonts w:hint="eastAsia" w:ascii="仿宋" w:hAnsi="仿宋" w:eastAsia="仿宋" w:cs="仿宋"/>
          <w:sz w:val="32"/>
          <w:szCs w:val="32"/>
        </w:rPr>
        <w:t>0年）的通知》（国发〔2014〕21号）、《国务院关于建立完善守信联合激励和失信联合惩戒制度加快推进社会诚信建设的指导意见》（</w:t>
      </w:r>
      <w:r>
        <w:rPr>
          <w:rFonts w:hint="eastAsia" w:ascii="仿宋" w:hAnsi="仿宋" w:eastAsia="仿宋" w:cs="仿宋"/>
          <w:sz w:val="32"/>
          <w:szCs w:val="32"/>
          <w:lang w:eastAsia="zh-CN"/>
        </w:rPr>
        <w:t>国</w:t>
      </w:r>
      <w:r>
        <w:rPr>
          <w:rFonts w:hint="eastAsia" w:ascii="仿宋" w:hAnsi="仿宋" w:eastAsia="仿宋" w:cs="仿宋"/>
          <w:sz w:val="32"/>
          <w:szCs w:val="32"/>
        </w:rPr>
        <w:t>发〔2016〕33号）等有关要求，加快推进对外经济合作领域信用体系建设，建立健全对外经济合作失信联合惩戒机制，发展改革委、人民银行、商务部、外交部、中央组织部、中央文明办、中央网信办、工业和信息化部、公安部、财政部、</w:t>
      </w:r>
      <w:r>
        <w:rPr>
          <w:rFonts w:hint="eastAsia" w:ascii="仿宋" w:hAnsi="仿宋" w:eastAsia="仿宋" w:cs="仿宋"/>
          <w:sz w:val="32"/>
          <w:szCs w:val="32"/>
          <w:lang w:val="zh-CN" w:eastAsia="zh-CN"/>
        </w:rPr>
        <w:t>国土资</w:t>
      </w:r>
      <w:r>
        <w:rPr>
          <w:rFonts w:hint="eastAsia" w:ascii="仿宋" w:hAnsi="仿宋" w:eastAsia="仿宋" w:cs="仿宋"/>
          <w:sz w:val="32"/>
          <w:szCs w:val="32"/>
        </w:rPr>
        <w:t>源部、环境保护部、交通运输部、农业部、文化部、国资委、海关总署、税务总局、工商总局、质检总局、食品药品监管总局、安全监管总局、统计局、能源局、外汇局、银监会、证监会、保监会等部门就针对对外经济合作领域严重失信责任主体和相关责任人开展联合惩戒工作达成如下一致意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联合惩戒对象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联合惩戒对象为被对外经济合作主管部门和地方列为对外经济合作领域严重失信行为的责任主体和相关责任人。对开展</w:t>
      </w:r>
      <w:r>
        <w:rPr>
          <w:rFonts w:hint="eastAsia" w:ascii="仿宋" w:hAnsi="仿宋" w:eastAsia="仿宋" w:cs="仿宋"/>
          <w:sz w:val="32"/>
          <w:szCs w:val="32"/>
          <w:lang w:val="zh-CN" w:eastAsia="zh-CN"/>
        </w:rPr>
        <w:t>“一带</w:t>
      </w:r>
      <w:r>
        <w:rPr>
          <w:rFonts w:hint="eastAsia" w:ascii="仿宋" w:hAnsi="仿宋" w:eastAsia="仿宋" w:cs="仿宋"/>
          <w:sz w:val="32"/>
          <w:szCs w:val="32"/>
        </w:rPr>
        <w:t>一路”建设、国际产能合作，参与实施设施联通、贸易畅通、资金融通等合作的对外经济合作主体和相关责任人，如出现违反国内及合作国相关法律法规以及违反国际公约、联合国决议，扰乱对外经济合作秩序且对实施</w:t>
      </w:r>
      <w:r>
        <w:rPr>
          <w:rFonts w:hint="eastAsia" w:ascii="仿宋" w:hAnsi="仿宋" w:eastAsia="仿宋" w:cs="仿宋"/>
          <w:sz w:val="32"/>
          <w:szCs w:val="32"/>
          <w:lang w:val="zh-CN" w:eastAsia="zh-CN"/>
        </w:rPr>
        <w:t>“一</w:t>
      </w:r>
      <w:r>
        <w:rPr>
          <w:rFonts w:hint="eastAsia" w:ascii="仿宋" w:hAnsi="仿宋" w:eastAsia="仿宋" w:cs="仿宋"/>
          <w:sz w:val="32"/>
          <w:szCs w:val="32"/>
        </w:rPr>
        <w:t>带一路</w:t>
      </w:r>
      <w:r>
        <w:rPr>
          <w:rFonts w:hint="eastAsia" w:ascii="仿宋" w:hAnsi="仿宋" w:eastAsia="仿宋" w:cs="仿宋"/>
          <w:sz w:val="32"/>
          <w:szCs w:val="32"/>
          <w:lang w:val="zh-CN" w:eastAsia="zh-CN"/>
        </w:rPr>
        <w:t>”建</w:t>
      </w:r>
      <w:r>
        <w:rPr>
          <w:rFonts w:hint="eastAsia" w:ascii="仿宋" w:hAnsi="仿宋" w:eastAsia="仿宋" w:cs="仿宋"/>
          <w:sz w:val="32"/>
          <w:szCs w:val="32"/>
        </w:rPr>
        <w:t>设造成严重不良影响，危害我国家声誉利益等情节特别严重、影响极为恶劣的行为，相关主管部门将失信主体、责任人和失信行为记入信用记录，实施联合惩戒</w:t>
      </w:r>
      <w:r>
        <w:rPr>
          <w:rFonts w:hint="eastAsia" w:ascii="仿宋" w:hAnsi="仿宋" w:eastAsia="仿宋" w:cs="仿宋"/>
          <w:sz w:val="32"/>
          <w:szCs w:val="32"/>
          <w:lang w:eastAsia="zh-CN"/>
        </w:rPr>
        <w:t>。</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600" w:lineRule="exact"/>
        <w:ind w:leftChars="0" w:right="0" w:righ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对外投资失信主体</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外投资主体和相关责任人出现违反国内及合作国家和地区相关法律法规以及违反国际公约、联合国决议，未按相关规定履行报批手续，虚假投资、捏造伪造项目信息骗取国家主管部门核准或备案文件以及办理境外投资外汇登记等，骗取资金以及办理资金购汇及汇出，拒绝履行对外投资统计申报义务或不实申报或拒绝办理境外直接投资存量权益登记，违规将应调回的利润、撒资等资金滞留境外的，恶性竞争、扰乱对外经济合作秩序，且对外造成严重不良影响，危害我国家声誉利益等的行为，有关部门和地方对相关失信主体、责任人实施联合惩戒。</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Chars="0" w:right="0" w:rightChars="0" w:firstLine="640" w:firstLineChars="200"/>
        <w:jc w:val="both"/>
        <w:textAlignment w:val="auto"/>
        <w:rPr>
          <w:rFonts w:hint="eastAsia" w:ascii="楷体" w:hAnsi="楷体" w:eastAsia="楷体" w:cs="楷体"/>
          <w:sz w:val="32"/>
          <w:szCs w:val="32"/>
        </w:rPr>
      </w:pPr>
      <w:bookmarkStart w:id="3" w:name="bookmark7"/>
      <w:r>
        <w:rPr>
          <w:rFonts w:hint="eastAsia" w:ascii="楷体" w:hAnsi="楷体" w:eastAsia="楷体" w:cs="楷体"/>
          <w:sz w:val="32"/>
          <w:szCs w:val="32"/>
        </w:rPr>
        <w:t>（</w:t>
      </w:r>
      <w:bookmarkEnd w:id="3"/>
      <w:r>
        <w:rPr>
          <w:rFonts w:hint="eastAsia" w:ascii="楷体" w:hAnsi="楷体" w:eastAsia="楷体" w:cs="楷体"/>
          <w:sz w:val="32"/>
          <w:szCs w:val="32"/>
        </w:rPr>
        <w:t>二）</w:t>
      </w:r>
      <w:r>
        <w:rPr>
          <w:rFonts w:hint="eastAsia" w:ascii="楷体" w:hAnsi="楷体" w:eastAsia="楷体" w:cs="楷体"/>
          <w:sz w:val="32"/>
          <w:szCs w:val="32"/>
        </w:rPr>
        <w:tab/>
      </w:r>
      <w:r>
        <w:rPr>
          <w:rFonts w:hint="eastAsia" w:ascii="楷体" w:hAnsi="楷体" w:eastAsia="楷体" w:cs="楷体"/>
          <w:sz w:val="32"/>
          <w:szCs w:val="32"/>
        </w:rPr>
        <w:t>对外承包工程建设和对外劳务合作失信主体</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外承包工程、对外劳务合作主体和相关责任人出现违反国内及合作国家和地区相关法律法规以及违反国际公约、联合国决议，未按相关规定取得许可、资质，虚假投标、围标串标，骗贷骗汇，工程质量、安全生产不符合相关标准，未及时足额缴存外派劳务备用金、违法违规外派和非法外派、侵害劳务人员合法权益，拒绝履行对外承包工程和对外劳务合作统计申报义务或不实申报，恶性竞争，扰乱对外经济合作秩序，且对外造成严重不良影响，危害我国家声誉利益等的行为，有关部门和地方对相关失信主体、责任人实施联合惩戒。</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楷体" w:hAnsi="楷体" w:eastAsia="楷体" w:cs="楷体"/>
          <w:sz w:val="32"/>
          <w:szCs w:val="32"/>
          <w:lang w:val="en-US" w:eastAsia="en-US"/>
        </w:rPr>
      </w:pPr>
      <w:r>
        <w:rPr>
          <w:rFonts w:hint="eastAsia" w:ascii="楷体" w:hAnsi="楷体" w:eastAsia="楷体" w:cs="楷体"/>
          <w:sz w:val="32"/>
          <w:szCs w:val="32"/>
          <w:lang w:val="en-US" w:eastAsia="zh-CN"/>
        </w:rPr>
        <w:t>（三）</w:t>
      </w:r>
      <w:r>
        <w:rPr>
          <w:rFonts w:hint="eastAsia" w:ascii="楷体" w:hAnsi="楷体" w:eastAsia="楷体" w:cs="楷体"/>
          <w:sz w:val="32"/>
          <w:szCs w:val="32"/>
          <w:lang w:val="en-US" w:eastAsia="en-US"/>
        </w:rPr>
        <w:t>对外金融合作失信主体</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Chars="0" w:right="0" w:rightChars="0"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rPr>
        <w:t>对外金融合作主体出现违反相关国内及合作国家和地区法律法规以及违反国际公约、联合国决议，利用夸大、捏造不实信息冲击人民币汇率以及违反国际收支统计申报义务或未按规定进行国际收支申报、情节严重的，非法跨境资本流动、洗钱、逃税、非法融资、非法证券期货行为，为暴力恐怖、分裂破坏、渗透颠覆活动融资，扰乱对外经济合作秩序，且对外造成严重不良影响，危害我国家声誉利益等的行为，有关部门和地方对相关失信主体、责任人实施联合</w:t>
      </w:r>
      <w:r>
        <w:rPr>
          <w:rFonts w:hint="eastAsia" w:ascii="仿宋" w:hAnsi="仿宋" w:eastAsia="仿宋" w:cs="仿宋"/>
          <w:sz w:val="32"/>
          <w:szCs w:val="32"/>
          <w:lang w:val="zh-CN" w:eastAsia="zh-CN"/>
        </w:rPr>
        <w:t>惩戒。</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楷体" w:hAnsi="楷体" w:eastAsia="楷体" w:cs="楷体"/>
          <w:sz w:val="32"/>
          <w:szCs w:val="32"/>
          <w:lang w:val="en-US" w:eastAsia="zh-CN"/>
        </w:rPr>
      </w:pPr>
      <w:bookmarkStart w:id="4" w:name="bookmark9"/>
      <w:r>
        <w:rPr>
          <w:rFonts w:hint="eastAsia" w:ascii="楷体" w:hAnsi="楷体" w:eastAsia="楷体" w:cs="楷体"/>
          <w:sz w:val="32"/>
          <w:szCs w:val="32"/>
          <w:lang w:val="en-US" w:eastAsia="zh-CN"/>
        </w:rPr>
        <w:t>（</w:t>
      </w:r>
      <w:bookmarkEnd w:id="4"/>
      <w:r>
        <w:rPr>
          <w:rFonts w:hint="eastAsia" w:ascii="楷体" w:hAnsi="楷体" w:eastAsia="楷体" w:cs="楷体"/>
          <w:sz w:val="32"/>
          <w:szCs w:val="32"/>
          <w:lang w:val="en-US" w:eastAsia="zh-CN"/>
        </w:rPr>
        <w:t>四）</w:t>
      </w:r>
      <w:r>
        <w:rPr>
          <w:rFonts w:hint="eastAsia" w:ascii="楷体" w:hAnsi="楷体" w:eastAsia="楷体" w:cs="楷体"/>
          <w:sz w:val="32"/>
          <w:szCs w:val="32"/>
          <w:lang w:val="en-US" w:eastAsia="zh-CN"/>
        </w:rPr>
        <w:tab/>
      </w:r>
      <w:r>
        <w:rPr>
          <w:rFonts w:hint="eastAsia" w:ascii="楷体" w:hAnsi="楷体" w:eastAsia="楷体" w:cs="楷体"/>
          <w:sz w:val="32"/>
          <w:szCs w:val="32"/>
          <w:lang w:val="en-US" w:eastAsia="zh-CN"/>
        </w:rPr>
        <w:t>对外贸易失信主体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外贸易主体出现违反相关国内及合作国家和地区法律法规以及违反国际公约、联合国决议，销售假冒伪劣产品，通过虚假贸易，非法买卖外汇，骗贷骗赔骗税骗外汇，洗钱、套利、编造虚假业绩，或者因企业产品质量安全问题给社会及进出口贸易造成重大危害和损失，扰乱对外经济合作秩序，且对外造成严重不良影响，危害我国家声誉利益等的行为，有关部门和地方对相关失信主体、责任人实施联合惩戒。</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惩戒措施及实施部门和单位</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bookmarkStart w:id="5" w:name="bookmark10"/>
      <w:r>
        <w:rPr>
          <w:rFonts w:hint="eastAsia" w:ascii="楷体" w:hAnsi="楷体" w:eastAsia="楷体" w:cs="楷体"/>
          <w:sz w:val="32"/>
          <w:szCs w:val="32"/>
          <w:lang w:val="en-US" w:eastAsia="en-US"/>
        </w:rPr>
        <w:t>（</w:t>
      </w:r>
      <w:bookmarkEnd w:id="5"/>
      <w:r>
        <w:rPr>
          <w:rFonts w:hint="eastAsia" w:ascii="楷体" w:hAnsi="楷体" w:eastAsia="楷体" w:cs="楷体"/>
          <w:sz w:val="32"/>
          <w:szCs w:val="32"/>
        </w:rPr>
        <w:t>一</w:t>
      </w:r>
      <w:r>
        <w:rPr>
          <w:rFonts w:hint="eastAsia" w:ascii="楷体" w:hAnsi="楷体" w:eastAsia="楷体" w:cs="楷体"/>
          <w:sz w:val="32"/>
          <w:szCs w:val="32"/>
          <w:lang w:val="en-US" w:eastAsia="en-US"/>
        </w:rPr>
        <w:t>）</w:t>
      </w:r>
      <w:r>
        <w:rPr>
          <w:rFonts w:hint="eastAsia" w:ascii="楷体" w:hAnsi="楷体" w:eastAsia="楷体" w:cs="楷体"/>
          <w:sz w:val="32"/>
          <w:szCs w:val="32"/>
          <w:lang w:val="en-US" w:eastAsia="en-US"/>
        </w:rPr>
        <w:tab/>
      </w:r>
      <w:r>
        <w:rPr>
          <w:rFonts w:hint="eastAsia" w:ascii="楷体" w:hAnsi="楷体" w:eastAsia="楷体" w:cs="楷体"/>
          <w:sz w:val="32"/>
          <w:szCs w:val="32"/>
        </w:rPr>
        <w:t>对外投资领域惩戒措施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6" w:name="bookmark11"/>
      <w:r>
        <w:rPr>
          <w:rFonts w:hint="eastAsia" w:ascii="仿宋" w:hAnsi="仿宋" w:eastAsia="仿宋" w:cs="仿宋"/>
          <w:sz w:val="32"/>
          <w:szCs w:val="32"/>
        </w:rPr>
        <w:t>1</w:t>
      </w:r>
      <w:bookmarkEnd w:id="6"/>
      <w:r>
        <w:rPr>
          <w:rFonts w:hint="eastAsia" w:ascii="仿宋" w:hAnsi="仿宋" w:eastAsia="仿宋" w:cs="仿宋"/>
          <w:sz w:val="32"/>
          <w:szCs w:val="32"/>
        </w:rPr>
        <w:t>、有关主管部门将严重失信主体作为对外投资重点监控对象。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7" w:name="bookmark12"/>
      <w:r>
        <w:rPr>
          <w:rFonts w:hint="eastAsia" w:ascii="仿宋" w:hAnsi="仿宋" w:eastAsia="仿宋" w:cs="仿宋"/>
          <w:sz w:val="32"/>
          <w:szCs w:val="32"/>
        </w:rPr>
        <w:t>2</w:t>
      </w:r>
      <w:bookmarkEnd w:id="7"/>
      <w:r>
        <w:rPr>
          <w:rFonts w:hint="eastAsia" w:ascii="仿宋" w:hAnsi="仿宋" w:eastAsia="仿宋" w:cs="仿宋"/>
          <w:sz w:val="32"/>
          <w:szCs w:val="32"/>
        </w:rPr>
        <w:t>、有关主管部门依据相关法律法规规章对严重失信主体对外投资备案、核准等申请不予受理。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8" w:name="bookmark13"/>
      <w:r>
        <w:rPr>
          <w:rFonts w:hint="eastAsia" w:ascii="仿宋" w:hAnsi="仿宋" w:eastAsia="仿宋" w:cs="仿宋"/>
          <w:sz w:val="32"/>
          <w:szCs w:val="32"/>
        </w:rPr>
        <w:t>3</w:t>
      </w:r>
      <w:bookmarkEnd w:id="8"/>
      <w:r>
        <w:rPr>
          <w:rFonts w:hint="eastAsia" w:ascii="仿宋" w:hAnsi="仿宋" w:eastAsia="仿宋" w:cs="仿宋"/>
          <w:sz w:val="32"/>
          <w:szCs w:val="32"/>
        </w:rPr>
        <w:t>、有关主管部门依法依规对严重失信主体不予办理对外投资项下外汇登记、购汇、汇出手续等。</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9" w:name="bookmark14"/>
      <w:r>
        <w:rPr>
          <w:rFonts w:hint="eastAsia" w:ascii="仿宋" w:hAnsi="仿宋" w:eastAsia="仿宋" w:cs="仿宋"/>
          <w:sz w:val="32"/>
          <w:szCs w:val="32"/>
        </w:rPr>
        <w:t>4</w:t>
      </w:r>
      <w:bookmarkEnd w:id="9"/>
      <w:r>
        <w:rPr>
          <w:rFonts w:hint="eastAsia" w:ascii="仿宋" w:hAnsi="仿宋" w:eastAsia="仿宋" w:cs="仿宋"/>
          <w:sz w:val="32"/>
          <w:szCs w:val="32"/>
        </w:rPr>
        <w:t>、有关管理部门停止对严重失信主体对外投资项目给予政策支持。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10" w:name="bookmark15"/>
      <w:r>
        <w:rPr>
          <w:rFonts w:hint="eastAsia" w:ascii="楷体" w:hAnsi="楷体" w:eastAsia="楷体" w:cs="楷体"/>
          <w:sz w:val="32"/>
          <w:szCs w:val="32"/>
        </w:rPr>
        <w:t>（</w:t>
      </w:r>
      <w:bookmarkEnd w:id="10"/>
      <w:r>
        <w:rPr>
          <w:rFonts w:hint="eastAsia" w:ascii="楷体" w:hAnsi="楷体" w:eastAsia="楷体" w:cs="楷体"/>
          <w:sz w:val="32"/>
          <w:szCs w:val="32"/>
        </w:rPr>
        <w:t>二）对外承包工程和对外劳务合作领域惩戒措施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11" w:name="bookmark16"/>
      <w:r>
        <w:rPr>
          <w:rFonts w:hint="eastAsia" w:ascii="仿宋" w:hAnsi="仿宋" w:eastAsia="仿宋" w:cs="仿宋"/>
          <w:sz w:val="32"/>
          <w:szCs w:val="32"/>
        </w:rPr>
        <w:t>1</w:t>
      </w:r>
      <w:bookmarkEnd w:id="11"/>
      <w:r>
        <w:rPr>
          <w:rFonts w:hint="eastAsia" w:ascii="仿宋" w:hAnsi="仿宋" w:eastAsia="仿宋" w:cs="仿宋"/>
          <w:sz w:val="32"/>
          <w:szCs w:val="32"/>
          <w:lang w:eastAsia="zh-CN"/>
        </w:rPr>
        <w:t>、</w:t>
      </w:r>
      <w:r>
        <w:rPr>
          <w:rFonts w:hint="eastAsia" w:ascii="仿宋" w:hAnsi="仿宋" w:eastAsia="仿宋" w:cs="仿宋"/>
          <w:sz w:val="32"/>
          <w:szCs w:val="32"/>
        </w:rPr>
        <w:t>有关主管部门禁止其在一定期限内对外承包新的工程项目。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12" w:name="bookmark17"/>
      <w:r>
        <w:rPr>
          <w:rFonts w:hint="eastAsia" w:ascii="仿宋" w:hAnsi="仿宋" w:eastAsia="仿宋" w:cs="仿宋"/>
          <w:sz w:val="32"/>
          <w:szCs w:val="32"/>
        </w:rPr>
        <w:t>2</w:t>
      </w:r>
      <w:bookmarkEnd w:id="12"/>
      <w:r>
        <w:rPr>
          <w:rFonts w:hint="eastAsia" w:ascii="仿宋" w:hAnsi="仿宋" w:eastAsia="仿宋" w:cs="仿宋"/>
          <w:sz w:val="32"/>
          <w:szCs w:val="32"/>
        </w:rPr>
        <w:t>、造成重大工程质量问题，发生较大事故以上安全生产事故的，有关主管部门可以降低其资质等级。</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13" w:name="bookmark18"/>
      <w:r>
        <w:rPr>
          <w:rFonts w:hint="eastAsia" w:ascii="仿宋" w:hAnsi="仿宋" w:eastAsia="仿宋" w:cs="仿宋"/>
          <w:sz w:val="32"/>
          <w:szCs w:val="32"/>
        </w:rPr>
        <w:t>3</w:t>
      </w:r>
      <w:bookmarkEnd w:id="13"/>
      <w:r>
        <w:rPr>
          <w:rFonts w:hint="eastAsia" w:ascii="仿宋" w:hAnsi="仿宋" w:eastAsia="仿宋" w:cs="仿宋"/>
          <w:sz w:val="32"/>
          <w:szCs w:val="32"/>
        </w:rPr>
        <w:t>、未取得主管部门的许可，擅自从事对外承包工程外派人员中介服务的，有关主管部门可没收违法所得，对其主要负责人罚款。</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14" w:name="bookmark19"/>
      <w:r>
        <w:rPr>
          <w:rFonts w:hint="eastAsia" w:ascii="仿宋" w:hAnsi="仿宋" w:eastAsia="仿宋" w:cs="仿宋"/>
          <w:sz w:val="32"/>
          <w:szCs w:val="32"/>
        </w:rPr>
        <w:t>4</w:t>
      </w:r>
      <w:bookmarkEnd w:id="14"/>
      <w:r>
        <w:rPr>
          <w:rFonts w:hint="eastAsia" w:ascii="仿宋" w:hAnsi="仿宋" w:eastAsia="仿宋" w:cs="仿宋"/>
          <w:sz w:val="32"/>
          <w:szCs w:val="32"/>
          <w:lang w:eastAsia="zh-CN"/>
        </w:rPr>
        <w:t>、</w:t>
      </w:r>
      <w:r>
        <w:rPr>
          <w:rFonts w:hint="eastAsia" w:ascii="仿宋" w:hAnsi="仿宋" w:eastAsia="仿宋" w:cs="仿宋"/>
          <w:sz w:val="32"/>
          <w:szCs w:val="32"/>
        </w:rPr>
        <w:t>定期对统计数据进行核查。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15" w:name="bookmark20"/>
      <w:r>
        <w:rPr>
          <w:rFonts w:hint="eastAsia" w:ascii="仿宋" w:hAnsi="仿宋" w:eastAsia="仿宋" w:cs="仿宋"/>
          <w:sz w:val="32"/>
          <w:szCs w:val="32"/>
        </w:rPr>
        <w:t>5</w:t>
      </w:r>
      <w:bookmarkEnd w:id="15"/>
      <w:r>
        <w:rPr>
          <w:rFonts w:hint="eastAsia" w:ascii="仿宋" w:hAnsi="仿宋" w:eastAsia="仿宋" w:cs="仿宋"/>
          <w:sz w:val="32"/>
          <w:szCs w:val="32"/>
          <w:lang w:eastAsia="zh-CN"/>
        </w:rPr>
        <w:t>、</w:t>
      </w:r>
      <w:r>
        <w:rPr>
          <w:rFonts w:hint="eastAsia" w:ascii="仿宋" w:hAnsi="仿宋" w:eastAsia="仿宋" w:cs="仿宋"/>
          <w:sz w:val="32"/>
          <w:szCs w:val="32"/>
        </w:rPr>
        <w:t>未依法取得对外劳务合作经营资格，从事对外劳务合作的,有关主管部门依规定查处取缔。</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16" w:name="bookmark21"/>
      <w:r>
        <w:rPr>
          <w:rFonts w:hint="eastAsia" w:ascii="仿宋" w:hAnsi="仿宋" w:eastAsia="仿宋" w:cs="仿宋"/>
          <w:sz w:val="32"/>
          <w:szCs w:val="32"/>
        </w:rPr>
        <w:t>6</w:t>
      </w:r>
      <w:bookmarkEnd w:id="16"/>
      <w:r>
        <w:rPr>
          <w:rFonts w:hint="eastAsia" w:ascii="仿宋" w:hAnsi="仿宋" w:eastAsia="仿宋" w:cs="仿宋"/>
          <w:sz w:val="32"/>
          <w:szCs w:val="32"/>
        </w:rPr>
        <w:t>、构成犯罪的，依法追究刑事责任。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bookmarkStart w:id="17" w:name="bookmark22"/>
      <w:r>
        <w:rPr>
          <w:rFonts w:hint="eastAsia" w:ascii="楷体" w:hAnsi="楷体" w:eastAsia="楷体" w:cs="楷体"/>
          <w:sz w:val="32"/>
          <w:szCs w:val="32"/>
        </w:rPr>
        <w:t>（</w:t>
      </w:r>
      <w:bookmarkEnd w:id="17"/>
      <w:r>
        <w:rPr>
          <w:rFonts w:hint="eastAsia" w:ascii="楷体" w:hAnsi="楷体" w:eastAsia="楷体" w:cs="楷体"/>
          <w:sz w:val="32"/>
          <w:szCs w:val="32"/>
        </w:rPr>
        <w:t>三）金融国际合作领域惩戒措施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bookmarkStart w:id="18" w:name="bookmark23"/>
      <w:r>
        <w:rPr>
          <w:rFonts w:hint="eastAsia" w:ascii="仿宋" w:hAnsi="仿宋" w:eastAsia="仿宋" w:cs="仿宋"/>
          <w:sz w:val="32"/>
          <w:szCs w:val="32"/>
          <w:lang w:eastAsia="zh-CN"/>
        </w:rPr>
        <w:t>1</w:t>
      </w:r>
      <w:bookmarkEnd w:id="18"/>
      <w:r>
        <w:rPr>
          <w:rFonts w:hint="eastAsia" w:ascii="仿宋" w:hAnsi="仿宋" w:eastAsia="仿宋" w:cs="仿宋"/>
          <w:sz w:val="32"/>
          <w:szCs w:val="32"/>
          <w:lang w:eastAsia="zh-CN"/>
        </w:rPr>
        <w:t>、逐步完善跨境监管合作机制，在现行法律法规框架下，向相关境外监管机构提供相关责任主体的失信信息。</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19" w:name="bookmark24"/>
      <w:r>
        <w:rPr>
          <w:rFonts w:hint="eastAsia" w:ascii="仿宋" w:hAnsi="仿宋" w:eastAsia="仿宋" w:cs="仿宋"/>
          <w:sz w:val="32"/>
          <w:szCs w:val="32"/>
          <w:lang w:eastAsia="zh-CN"/>
        </w:rPr>
        <w:t>2</w:t>
      </w:r>
      <w:bookmarkEnd w:id="19"/>
      <w:r>
        <w:rPr>
          <w:rFonts w:hint="eastAsia" w:ascii="仿宋" w:hAnsi="仿宋" w:eastAsia="仿宋" w:cs="仿宋"/>
          <w:sz w:val="32"/>
          <w:szCs w:val="32"/>
          <w:lang w:eastAsia="zh-CN"/>
        </w:rPr>
        <w:t>、将失信主体的失信状况作为境内保险公司申请设立境外营</w:t>
      </w:r>
      <w:r>
        <w:rPr>
          <w:rFonts w:hint="eastAsia" w:ascii="仿宋" w:hAnsi="仿宋" w:eastAsia="仿宋" w:cs="仿宋"/>
          <w:sz w:val="32"/>
          <w:szCs w:val="32"/>
        </w:rPr>
        <w:t>业性机构、代表处以及收购境外保险机构或向境外保险类机构增资审批时的审慎性参考依据。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20" w:name="bookmark25"/>
      <w:r>
        <w:rPr>
          <w:rFonts w:hint="eastAsia" w:ascii="仿宋" w:hAnsi="仿宋" w:eastAsia="仿宋" w:cs="仿宋"/>
          <w:sz w:val="32"/>
          <w:szCs w:val="32"/>
        </w:rPr>
        <w:t>3</w:t>
      </w:r>
      <w:bookmarkEnd w:id="20"/>
      <w:r>
        <w:rPr>
          <w:rFonts w:hint="eastAsia" w:ascii="仿宋" w:hAnsi="仿宋" w:eastAsia="仿宋" w:cs="仿宋"/>
          <w:sz w:val="32"/>
          <w:szCs w:val="32"/>
        </w:rPr>
        <w:t>、违法失信主体为自然人的，限制其担任保险机构境外设立机构的负责人。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bookmarkStart w:id="21" w:name="bookmark26"/>
      <w:r>
        <w:rPr>
          <w:rFonts w:hint="eastAsia" w:ascii="楷体" w:hAnsi="楷体" w:eastAsia="楷体" w:cs="楷体"/>
          <w:sz w:val="32"/>
          <w:szCs w:val="32"/>
        </w:rPr>
        <w:t>（</w:t>
      </w:r>
      <w:bookmarkEnd w:id="21"/>
      <w:r>
        <w:rPr>
          <w:rFonts w:hint="eastAsia" w:ascii="楷体" w:hAnsi="楷体" w:eastAsia="楷体" w:cs="楷体"/>
          <w:sz w:val="32"/>
          <w:szCs w:val="32"/>
        </w:rPr>
        <w:t>四）国际贸易领域惩戒措施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撤销对外贸易经营者《对外贸易经营者备案登记表》。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有关管理部门停止对严重失信主体服务贸易项目给予政策</w:t>
      </w:r>
      <w:r>
        <w:rPr>
          <w:rFonts w:hint="eastAsia" w:ascii="仿宋" w:hAnsi="仿宋" w:eastAsia="仿宋" w:cs="仿宋"/>
          <w:sz w:val="32"/>
          <w:szCs w:val="32"/>
          <w:lang w:eastAsia="zh-CN"/>
        </w:rPr>
        <w:t>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失信主体申请适用海关认证企业管理的，不予通过认证； 对</w:t>
      </w:r>
      <w:r>
        <w:rPr>
          <w:rFonts w:hint="eastAsia" w:ascii="仿宋" w:hAnsi="仿宋" w:eastAsia="仿宋" w:cs="仿宋"/>
          <w:sz w:val="32"/>
          <w:szCs w:val="32"/>
          <w:lang w:eastAsia="zh-CN"/>
        </w:rPr>
        <w:t>已</w:t>
      </w:r>
      <w:r>
        <w:rPr>
          <w:rFonts w:hint="eastAsia" w:ascii="仿宋" w:hAnsi="仿宋" w:eastAsia="仿宋" w:cs="仿宋"/>
          <w:sz w:val="32"/>
          <w:szCs w:val="32"/>
        </w:rPr>
        <w:t>经成为认证企业的，按照规定下调企业信用等级</w:t>
      </w:r>
      <w:r>
        <w:rPr>
          <w:rFonts w:hint="eastAsia" w:ascii="仿宋" w:hAnsi="仿宋" w:eastAsia="仿宋" w:cs="仿宋"/>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22" w:name="bookmark27"/>
      <w:r>
        <w:rPr>
          <w:rFonts w:hint="eastAsia" w:ascii="仿宋" w:hAnsi="仿宋" w:eastAsia="仿宋" w:cs="仿宋"/>
          <w:sz w:val="32"/>
          <w:szCs w:val="32"/>
        </w:rPr>
        <w:t>4</w:t>
      </w:r>
      <w:bookmarkEnd w:id="22"/>
      <w:r>
        <w:rPr>
          <w:rFonts w:hint="eastAsia" w:ascii="仿宋" w:hAnsi="仿宋" w:eastAsia="仿宋" w:cs="仿宋"/>
          <w:sz w:val="32"/>
          <w:szCs w:val="32"/>
        </w:rPr>
        <w:t>、失信主体在办理相关海关业务时，对其进出口货物实施严密监管，加强单证审核、布控查验加工贸易担保征收或后续稽查。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23" w:name="bookmark28"/>
      <w:r>
        <w:rPr>
          <w:rFonts w:hint="eastAsia" w:ascii="仿宋" w:hAnsi="仿宋" w:eastAsia="仿宋" w:cs="仿宋"/>
          <w:sz w:val="32"/>
          <w:szCs w:val="32"/>
        </w:rPr>
        <w:t>5</w:t>
      </w:r>
      <w:bookmarkEnd w:id="23"/>
      <w:r>
        <w:rPr>
          <w:rFonts w:hint="eastAsia" w:ascii="仿宋" w:hAnsi="仿宋" w:eastAsia="仿宋" w:cs="仿宋"/>
          <w:sz w:val="32"/>
          <w:szCs w:val="32"/>
        </w:rPr>
        <w:t>、质检部门对严重失信主体的注册资质申请审慎受理，对责任主体申报的进出口商品实施加严检验检疫措施。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bookmarkStart w:id="24" w:name="bookmark29"/>
      <w:r>
        <w:rPr>
          <w:rFonts w:hint="eastAsia" w:ascii="楷体" w:hAnsi="楷体" w:eastAsia="楷体" w:cs="楷体"/>
          <w:sz w:val="32"/>
          <w:szCs w:val="32"/>
        </w:rPr>
        <w:t>（</w:t>
      </w:r>
      <w:bookmarkEnd w:id="24"/>
      <w:r>
        <w:rPr>
          <w:rFonts w:hint="eastAsia" w:ascii="楷体" w:hAnsi="楷体" w:eastAsia="楷体" w:cs="楷体"/>
          <w:sz w:val="32"/>
          <w:szCs w:val="32"/>
        </w:rPr>
        <w:t>五）其他联合惩戒措施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25" w:name="bookmark30"/>
      <w:r>
        <w:rPr>
          <w:rFonts w:hint="eastAsia" w:ascii="仿宋" w:hAnsi="仿宋" w:eastAsia="仿宋" w:cs="仿宋"/>
          <w:sz w:val="32"/>
          <w:szCs w:val="32"/>
        </w:rPr>
        <w:t>1</w:t>
      </w:r>
      <w:bookmarkEnd w:id="25"/>
      <w:r>
        <w:rPr>
          <w:rFonts w:hint="eastAsia" w:ascii="仿宋" w:hAnsi="仿宋" w:eastAsia="仿宋" w:cs="仿宋"/>
          <w:sz w:val="32"/>
          <w:szCs w:val="32"/>
        </w:rPr>
        <w:t>、将失信主体的失信状况作为设立商业银行或分行、代表处以及参股、收购商业银行审批时的审慎性参考依据。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bookmarkStart w:id="26" w:name="bookmark31"/>
      <w:r>
        <w:rPr>
          <w:rFonts w:hint="eastAsia" w:ascii="仿宋" w:hAnsi="仿宋" w:eastAsia="仿宋" w:cs="仿宋"/>
          <w:sz w:val="32"/>
          <w:szCs w:val="32"/>
        </w:rPr>
        <w:t>2</w:t>
      </w:r>
      <w:bookmarkEnd w:id="26"/>
      <w:r>
        <w:rPr>
          <w:rFonts w:hint="eastAsia" w:ascii="仿宋" w:hAnsi="仿宋" w:eastAsia="仿宋" w:cs="仿宋"/>
          <w:sz w:val="32"/>
          <w:szCs w:val="32"/>
        </w:rPr>
        <w:t>、在审批证券公司、基金管理公司、期货公司的设立和变更持有5%以上股权的股东、实际控制人，以及私募投资基金管理人登记时，依法将失信主体的失信状况作为重要参考依据</w:t>
      </w:r>
      <w:r>
        <w:rPr>
          <w:rFonts w:hint="eastAsia" w:ascii="仿宋" w:hAnsi="仿宋" w:eastAsia="仿宋" w:cs="仿宋"/>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27" w:name="bookmark32"/>
      <w:r>
        <w:rPr>
          <w:rFonts w:hint="eastAsia" w:ascii="仿宋" w:hAnsi="仿宋" w:eastAsia="仿宋" w:cs="仿宋"/>
          <w:sz w:val="32"/>
          <w:szCs w:val="32"/>
        </w:rPr>
        <w:t>3</w:t>
      </w:r>
      <w:bookmarkEnd w:id="27"/>
      <w:r>
        <w:rPr>
          <w:rFonts w:hint="eastAsia" w:ascii="仿宋" w:hAnsi="仿宋" w:eastAsia="仿宋" w:cs="仿宋"/>
          <w:sz w:val="32"/>
          <w:szCs w:val="32"/>
        </w:rPr>
        <w:t>、将失信主体的失信状况作为发起设立保险公司和变更股权、实际控制人的审慎性参考依据。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28" w:name="bookmark33"/>
      <w:r>
        <w:rPr>
          <w:rFonts w:hint="eastAsia" w:ascii="仿宋" w:hAnsi="仿宋" w:eastAsia="仿宋" w:cs="仿宋"/>
          <w:sz w:val="32"/>
          <w:szCs w:val="32"/>
          <w:lang w:val="zh-CN" w:eastAsia="zh-CN"/>
        </w:rPr>
        <w:t>4</w:t>
      </w:r>
      <w:bookmarkEnd w:id="28"/>
      <w:r>
        <w:rPr>
          <w:rFonts w:hint="eastAsia" w:ascii="仿宋" w:hAnsi="仿宋" w:eastAsia="仿宋" w:cs="仿宋"/>
          <w:sz w:val="32"/>
          <w:szCs w:val="32"/>
          <w:lang w:val="zh-CN" w:eastAsia="zh-CN"/>
        </w:rPr>
        <w:t>、</w:t>
      </w:r>
      <w:r>
        <w:rPr>
          <w:rFonts w:hint="eastAsia" w:ascii="仿宋" w:hAnsi="仿宋" w:eastAsia="仿宋" w:cs="仿宋"/>
          <w:sz w:val="32"/>
          <w:szCs w:val="32"/>
        </w:rPr>
        <w:t>在上市公司或者非上市公众公司收购的事中事后监管中</w:t>
      </w:r>
      <w:r>
        <w:rPr>
          <w:rFonts w:hint="eastAsia" w:ascii="仿宋" w:hAnsi="仿宋" w:eastAsia="仿宋" w:cs="仿宋"/>
          <w:sz w:val="32"/>
          <w:szCs w:val="32"/>
          <w:lang w:eastAsia="zh-CN"/>
        </w:rPr>
        <w:t>，</w:t>
      </w:r>
      <w:r>
        <w:rPr>
          <w:rFonts w:hint="eastAsia" w:ascii="仿宋" w:hAnsi="仿宋" w:eastAsia="仿宋" w:cs="仿宋"/>
          <w:sz w:val="32"/>
          <w:szCs w:val="32"/>
        </w:rPr>
        <w:t>对有严重失信行为的责任主体予以重点关注。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29" w:name="bookmark34"/>
      <w:r>
        <w:rPr>
          <w:rFonts w:hint="eastAsia" w:ascii="仿宋" w:hAnsi="仿宋" w:eastAsia="仿宋" w:cs="仿宋"/>
          <w:sz w:val="32"/>
          <w:szCs w:val="32"/>
        </w:rPr>
        <w:t>5</w:t>
      </w:r>
      <w:bookmarkEnd w:id="29"/>
      <w:r>
        <w:rPr>
          <w:rFonts w:hint="eastAsia" w:ascii="仿宋" w:hAnsi="仿宋" w:eastAsia="仿宋" w:cs="仿宋"/>
          <w:sz w:val="32"/>
          <w:szCs w:val="32"/>
        </w:rPr>
        <w:t>、依法限制严重失信主体取得政府供应土地。</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30" w:name="bookmark35"/>
      <w:r>
        <w:rPr>
          <w:rFonts w:hint="eastAsia" w:ascii="仿宋" w:hAnsi="仿宋" w:eastAsia="仿宋" w:cs="仿宋"/>
          <w:sz w:val="32"/>
          <w:szCs w:val="32"/>
        </w:rPr>
        <w:t>6</w:t>
      </w:r>
      <w:bookmarkEnd w:id="30"/>
      <w:r>
        <w:rPr>
          <w:rFonts w:hint="eastAsia" w:ascii="仿宋" w:hAnsi="仿宋" w:eastAsia="仿宋" w:cs="仿宋"/>
          <w:sz w:val="32"/>
          <w:szCs w:val="32"/>
        </w:rPr>
        <w:t>、依法限制严重失信主体参与政府采购活动。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31" w:name="bookmark36"/>
      <w:r>
        <w:rPr>
          <w:rFonts w:hint="eastAsia" w:ascii="仿宋" w:hAnsi="仿宋" w:eastAsia="仿宋" w:cs="仿宋"/>
          <w:sz w:val="32"/>
          <w:szCs w:val="32"/>
        </w:rPr>
        <w:t>7</w:t>
      </w:r>
      <w:bookmarkEnd w:id="31"/>
      <w:r>
        <w:rPr>
          <w:rFonts w:hint="eastAsia" w:ascii="仿宋" w:hAnsi="仿宋" w:eastAsia="仿宋" w:cs="仿宋"/>
          <w:sz w:val="32"/>
          <w:szCs w:val="32"/>
        </w:rPr>
        <w:t>、依法限制严重失信主体参与政府投资工程建设项目投标活动。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32" w:name="bookmark37"/>
      <w:r>
        <w:rPr>
          <w:rFonts w:hint="eastAsia" w:ascii="仿宋" w:hAnsi="仿宋" w:eastAsia="仿宋" w:cs="仿宋"/>
          <w:sz w:val="32"/>
          <w:szCs w:val="32"/>
        </w:rPr>
        <w:t>8</w:t>
      </w:r>
      <w:bookmarkEnd w:id="32"/>
      <w:r>
        <w:rPr>
          <w:rFonts w:hint="eastAsia" w:ascii="仿宋" w:hAnsi="仿宋" w:eastAsia="仿宋" w:cs="仿宋"/>
          <w:sz w:val="32"/>
          <w:szCs w:val="32"/>
        </w:rPr>
        <w:t>、对严重失信主体发布的广告要予以重点监管，经核实是虚假违法广告的应立即责令停止发布，依法査处。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33" w:name="bookmark38"/>
      <w:r>
        <w:rPr>
          <w:rFonts w:hint="eastAsia" w:ascii="仿宋" w:hAnsi="仿宋" w:eastAsia="仿宋" w:cs="仿宋"/>
          <w:sz w:val="32"/>
          <w:szCs w:val="32"/>
        </w:rPr>
        <w:t>9</w:t>
      </w:r>
      <w:bookmarkEnd w:id="33"/>
      <w:r>
        <w:rPr>
          <w:rFonts w:hint="eastAsia" w:ascii="仿宋" w:hAnsi="仿宋" w:eastAsia="仿宋" w:cs="仿宋"/>
          <w:sz w:val="32"/>
          <w:szCs w:val="32"/>
        </w:rPr>
        <w:t>、将失信主体的失信状况作为其融资或对其授信的重要依据或参考。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34" w:name="bookmark39"/>
      <w:r>
        <w:rPr>
          <w:rFonts w:hint="eastAsia" w:ascii="仿宋" w:hAnsi="仿宋" w:eastAsia="仿宋" w:cs="仿宋"/>
          <w:sz w:val="32"/>
          <w:szCs w:val="32"/>
        </w:rPr>
        <w:t>1</w:t>
      </w:r>
      <w:bookmarkEnd w:id="34"/>
      <w:r>
        <w:rPr>
          <w:rFonts w:hint="eastAsia" w:ascii="仿宋" w:hAnsi="仿宋" w:eastAsia="仿宋" w:cs="仿宋"/>
          <w:sz w:val="32"/>
          <w:szCs w:val="32"/>
        </w:rPr>
        <w:t>0、将失信主体的失信状况作为审核股票发行上市及在全国中小企业股份转让系统挂牌公开转让时的重要参考。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35" w:name="bookmark40"/>
      <w:r>
        <w:rPr>
          <w:rFonts w:hint="eastAsia" w:ascii="仿宋" w:hAnsi="仿宋" w:eastAsia="仿宋" w:cs="仿宋"/>
          <w:sz w:val="32"/>
          <w:szCs w:val="32"/>
        </w:rPr>
        <w:t>1</w:t>
      </w:r>
      <w:bookmarkEnd w:id="35"/>
      <w:r>
        <w:rPr>
          <w:rFonts w:hint="eastAsia" w:ascii="仿宋" w:hAnsi="仿宋" w:eastAsia="仿宋" w:cs="仿宋"/>
          <w:sz w:val="32"/>
          <w:szCs w:val="32"/>
        </w:rPr>
        <w:t>1、将失信主体的失信状况作为合格境内机构投资者、合格境外机构投资者等外汇额度核准与管理的重要参考依据。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36" w:name="bookmark41"/>
      <w:r>
        <w:rPr>
          <w:rFonts w:hint="eastAsia" w:ascii="仿宋" w:hAnsi="仿宋" w:eastAsia="仿宋" w:cs="仿宋"/>
          <w:sz w:val="32"/>
          <w:szCs w:val="32"/>
        </w:rPr>
        <w:t>1</w:t>
      </w:r>
      <w:bookmarkEnd w:id="36"/>
      <w:r>
        <w:rPr>
          <w:rFonts w:hint="eastAsia" w:ascii="仿宋" w:hAnsi="仿宋" w:eastAsia="仿宋" w:cs="仿宋"/>
          <w:sz w:val="32"/>
          <w:szCs w:val="32"/>
        </w:rPr>
        <w:t>2、将失信主体的失信记录作为申请发行企业债券及公司债券，在银行间市场发行债券的重要参考。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37" w:name="bookmark42"/>
      <w:r>
        <w:rPr>
          <w:rFonts w:hint="eastAsia" w:ascii="仿宋" w:hAnsi="仿宋" w:eastAsia="仿宋" w:cs="仿宋"/>
          <w:sz w:val="32"/>
          <w:szCs w:val="32"/>
        </w:rPr>
        <w:t>1</w:t>
      </w:r>
      <w:bookmarkEnd w:id="37"/>
      <w:r>
        <w:rPr>
          <w:rFonts w:hint="eastAsia" w:ascii="仿宋" w:hAnsi="仿宋" w:eastAsia="仿宋" w:cs="仿宋"/>
          <w:sz w:val="32"/>
          <w:szCs w:val="32"/>
        </w:rPr>
        <w:t>3、相关监督管理部门依法依规加大对失信主体日常监督检查频次和提高随机抽查</w:t>
      </w:r>
      <w:r>
        <w:rPr>
          <w:rFonts w:hint="eastAsia" w:ascii="仿宋" w:hAnsi="仿宋" w:eastAsia="仿宋" w:cs="仿宋"/>
          <w:sz w:val="32"/>
          <w:szCs w:val="32"/>
          <w:lang w:val="zh-CN" w:eastAsia="zh-CN"/>
        </w:rPr>
        <w:t>概率。</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38" w:name="bookmark43"/>
      <w:r>
        <w:rPr>
          <w:rFonts w:hint="eastAsia" w:ascii="仿宋" w:hAnsi="仿宋" w:eastAsia="仿宋" w:cs="仿宋"/>
          <w:sz w:val="32"/>
          <w:szCs w:val="32"/>
        </w:rPr>
        <w:t>1</w:t>
      </w:r>
      <w:bookmarkEnd w:id="38"/>
      <w:r>
        <w:rPr>
          <w:rFonts w:hint="eastAsia" w:ascii="仿宋" w:hAnsi="仿宋" w:eastAsia="仿宋" w:cs="仿宋"/>
          <w:sz w:val="32"/>
          <w:szCs w:val="32"/>
        </w:rPr>
        <w:t>4、失信主体变更名称的，将变更前后的名称在国家企业信用信息公示系统上公示。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bookmarkStart w:id="39" w:name="bookmark44"/>
      <w:r>
        <w:rPr>
          <w:rFonts w:hint="eastAsia" w:ascii="仿宋" w:hAnsi="仿宋" w:eastAsia="仿宋" w:cs="仿宋"/>
          <w:sz w:val="32"/>
          <w:szCs w:val="32"/>
        </w:rPr>
        <w:t>1</w:t>
      </w:r>
      <w:bookmarkEnd w:id="39"/>
      <w:r>
        <w:rPr>
          <w:rFonts w:hint="eastAsia" w:ascii="仿宋" w:hAnsi="仿宋" w:eastAsia="仿宋" w:cs="仿宋"/>
          <w:sz w:val="32"/>
          <w:szCs w:val="32"/>
        </w:rPr>
        <w:t>5、限制严重失信主体取得认证机构</w:t>
      </w:r>
      <w:r>
        <w:rPr>
          <w:rFonts w:hint="eastAsia" w:ascii="仿宋" w:hAnsi="仿宋" w:eastAsia="仿宋" w:cs="仿宋"/>
          <w:sz w:val="32"/>
          <w:szCs w:val="32"/>
          <w:lang w:eastAsia="zh-CN"/>
        </w:rPr>
        <w:t>资</w:t>
      </w:r>
      <w:r>
        <w:rPr>
          <w:rFonts w:hint="eastAsia" w:ascii="仿宋" w:hAnsi="仿宋" w:eastAsia="仿宋" w:cs="仿宋"/>
          <w:sz w:val="32"/>
          <w:szCs w:val="32"/>
        </w:rPr>
        <w:t>质，限制其获得认证证</w:t>
      </w:r>
      <w:r>
        <w:rPr>
          <w:rFonts w:hint="eastAsia" w:ascii="仿宋" w:hAnsi="仿宋" w:eastAsia="仿宋" w:cs="仿宋"/>
          <w:sz w:val="32"/>
          <w:szCs w:val="32"/>
          <w:lang w:eastAsia="zh-CN"/>
        </w:rPr>
        <w:t>书。</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16、</w:t>
      </w:r>
      <w:bookmarkStart w:id="40" w:name="bookmark45"/>
      <w:r>
        <w:rPr>
          <w:rFonts w:hint="eastAsia" w:ascii="仿宋" w:hAnsi="仿宋" w:eastAsia="仿宋" w:cs="仿宋"/>
          <w:sz w:val="32"/>
          <w:szCs w:val="32"/>
        </w:rPr>
        <w:t>依</w:t>
      </w:r>
      <w:bookmarkEnd w:id="40"/>
      <w:r>
        <w:rPr>
          <w:rFonts w:hint="eastAsia" w:ascii="仿宋" w:hAnsi="仿宋" w:eastAsia="仿宋" w:cs="仿宋"/>
          <w:sz w:val="32"/>
          <w:szCs w:val="32"/>
        </w:rPr>
        <w:t>法限制失信主体享受财政补助补贴性资金和社会保障资</w:t>
      </w:r>
      <w:r>
        <w:rPr>
          <w:rFonts w:hint="eastAsia" w:ascii="仿宋" w:hAnsi="仿宋" w:eastAsia="仿宋" w:cs="仿宋"/>
          <w:sz w:val="32"/>
          <w:szCs w:val="32"/>
          <w:lang w:eastAsia="zh-CN"/>
        </w:rPr>
        <w:t>金支持。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41" w:name="bookmark46"/>
      <w:r>
        <w:rPr>
          <w:rFonts w:hint="eastAsia" w:ascii="仿宋" w:hAnsi="仿宋" w:eastAsia="仿宋" w:cs="仿宋"/>
          <w:sz w:val="32"/>
          <w:szCs w:val="32"/>
          <w:lang w:val="en-US" w:eastAsia="zh-CN"/>
        </w:rPr>
        <w:t>17、</w:t>
      </w:r>
      <w:r>
        <w:rPr>
          <w:rFonts w:hint="eastAsia" w:ascii="仿宋" w:hAnsi="仿宋" w:eastAsia="仿宋" w:cs="仿宋"/>
          <w:sz w:val="32"/>
          <w:szCs w:val="32"/>
        </w:rPr>
        <w:t>对</w:t>
      </w:r>
      <w:bookmarkEnd w:id="41"/>
      <w:r>
        <w:rPr>
          <w:rFonts w:hint="eastAsia" w:ascii="仿宋" w:hAnsi="仿宋" w:eastAsia="仿宋" w:cs="仿宋"/>
          <w:sz w:val="32"/>
          <w:szCs w:val="32"/>
        </w:rPr>
        <w:t>失信主体，限制其参与基础设施和公用事业特许经营。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zh-CN" w:eastAsia="zh-CN"/>
        </w:rPr>
      </w:pPr>
      <w:bookmarkStart w:id="42" w:name="bookmark47"/>
      <w:r>
        <w:rPr>
          <w:rFonts w:hint="eastAsia" w:ascii="仿宋" w:hAnsi="仿宋" w:eastAsia="仿宋" w:cs="仿宋"/>
          <w:sz w:val="32"/>
          <w:szCs w:val="32"/>
          <w:lang w:val="en-US" w:eastAsia="zh-CN"/>
        </w:rPr>
        <w:t>18、</w:t>
      </w:r>
      <w:r>
        <w:rPr>
          <w:rFonts w:hint="eastAsia" w:ascii="仿宋" w:hAnsi="仿宋" w:eastAsia="仿宋" w:cs="仿宋"/>
          <w:sz w:val="32"/>
          <w:szCs w:val="32"/>
        </w:rPr>
        <w:t>对</w:t>
      </w:r>
      <w:bookmarkEnd w:id="42"/>
      <w:r>
        <w:rPr>
          <w:rFonts w:hint="eastAsia" w:ascii="仿宋" w:hAnsi="仿宋" w:eastAsia="仿宋" w:cs="仿宋"/>
          <w:sz w:val="32"/>
          <w:szCs w:val="32"/>
        </w:rPr>
        <w:t>严重失信行为相关责任人，限制其担任国有独资公司</w:t>
      </w:r>
      <w:r>
        <w:rPr>
          <w:rFonts w:hint="eastAsia" w:ascii="仿宋" w:hAnsi="仿宋" w:eastAsia="仿宋" w:cs="仿宋"/>
          <w:sz w:val="32"/>
          <w:szCs w:val="32"/>
          <w:lang w:eastAsia="zh-CN"/>
        </w:rPr>
        <w:t>董</w:t>
      </w:r>
      <w:r>
        <w:rPr>
          <w:rFonts w:hint="eastAsia" w:ascii="仿宋" w:hAnsi="仿宋" w:eastAsia="仿宋" w:cs="仿宋"/>
          <w:sz w:val="32"/>
          <w:szCs w:val="32"/>
        </w:rPr>
        <w:t>事、监事及国有资本控股或参股公司董事、监事和国有独资企业</w:t>
      </w:r>
      <w:r>
        <w:rPr>
          <w:rFonts w:hint="eastAsia" w:ascii="仿宋" w:hAnsi="仿宋" w:eastAsia="仿宋" w:cs="仿宋"/>
          <w:sz w:val="32"/>
          <w:szCs w:val="32"/>
          <w:lang w:eastAsia="zh-CN"/>
        </w:rPr>
        <w:t>高</w:t>
      </w:r>
      <w:r>
        <w:rPr>
          <w:rFonts w:hint="eastAsia" w:ascii="仿宋" w:hAnsi="仿宋" w:eastAsia="仿宋" w:cs="仿宋"/>
          <w:sz w:val="32"/>
          <w:szCs w:val="32"/>
        </w:rPr>
        <w:t>级管理人员及提名为国有资本控股或参股公司董事、监事建议人</w:t>
      </w:r>
      <w:r>
        <w:rPr>
          <w:rFonts w:hint="eastAsia" w:ascii="仿宋" w:hAnsi="仿宋" w:eastAsia="仿宋" w:cs="仿宋"/>
          <w:sz w:val="32"/>
          <w:szCs w:val="32"/>
          <w:lang w:val="zh-CN" w:eastAsia="zh-CN"/>
        </w:rPr>
        <w:t>选。</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bookmarkStart w:id="43" w:name="bookmark48"/>
      <w:r>
        <w:rPr>
          <w:rFonts w:hint="eastAsia" w:ascii="仿宋" w:hAnsi="仿宋" w:eastAsia="仿宋" w:cs="仿宋"/>
          <w:sz w:val="32"/>
          <w:szCs w:val="32"/>
          <w:lang w:val="en-US" w:eastAsia="zh-CN"/>
        </w:rPr>
        <w:t>1</w:t>
      </w:r>
      <w:bookmarkEnd w:id="43"/>
      <w:r>
        <w:rPr>
          <w:rFonts w:hint="eastAsia" w:ascii="仿宋" w:hAnsi="仿宋" w:eastAsia="仿宋" w:cs="仿宋"/>
          <w:sz w:val="32"/>
          <w:szCs w:val="32"/>
          <w:lang w:val="en-US" w:eastAsia="zh-CN"/>
        </w:rPr>
        <w:t>9、对失信主体，限制其参与评先、评优或取得各类荣誉称号；已获得相关荣誉称号的予以撤销。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bookmarkStart w:id="44" w:name="bookmark49"/>
      <w:r>
        <w:rPr>
          <w:rFonts w:hint="eastAsia" w:ascii="仿宋" w:hAnsi="仿宋" w:eastAsia="仿宋" w:cs="仿宋"/>
          <w:sz w:val="32"/>
          <w:szCs w:val="32"/>
          <w:lang w:val="en-US" w:eastAsia="zh-CN"/>
        </w:rPr>
        <w:t>2</w:t>
      </w:r>
      <w:bookmarkEnd w:id="44"/>
      <w:r>
        <w:rPr>
          <w:rFonts w:hint="eastAsia" w:ascii="仿宋" w:hAnsi="仿宋" w:eastAsia="仿宋" w:cs="仿宋"/>
          <w:sz w:val="32"/>
          <w:szCs w:val="32"/>
          <w:lang w:val="en-US" w:eastAsia="zh-CN"/>
        </w:rPr>
        <w:t>0、将失信主体相关失信信息作为选择参与政府和社会资本合作的参考。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bookmarkStart w:id="45" w:name="bookmark50"/>
      <w:r>
        <w:rPr>
          <w:rFonts w:hint="eastAsia" w:ascii="仿宋" w:hAnsi="仿宋" w:eastAsia="仿宋" w:cs="仿宋"/>
          <w:sz w:val="32"/>
          <w:szCs w:val="32"/>
          <w:lang w:val="en-US" w:eastAsia="zh-CN"/>
        </w:rPr>
        <w:t>2</w:t>
      </w:r>
      <w:bookmarkEnd w:id="45"/>
      <w:r>
        <w:rPr>
          <w:rFonts w:hint="eastAsia" w:ascii="仿宋" w:hAnsi="仿宋" w:eastAsia="仿宋" w:cs="仿宋"/>
          <w:sz w:val="32"/>
          <w:szCs w:val="32"/>
          <w:lang w:val="en-US" w:eastAsia="zh-CN"/>
        </w:rPr>
        <w:t>1、将严重失信主体及责任人相关失信信息作为相关机构及其法定代表人、实际控制人、董事、监事、高级管理人员享受优惠性政策时的审慎性考量因素。</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三、联合惩戒的实施方式</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发展改革委及相关各部门通过全国信用信息共享平台定期向签署本备忘录的相关部门提供对外经济合作领域严重失信主体和责任人的相关信息，并按照有关规定动态更新。同时在国家发展改革委、人民银行、商务部、外交部及相关部门网站和国家企业信用信息公示系统、</w:t>
      </w:r>
      <w:r>
        <w:rPr>
          <w:rFonts w:hint="eastAsia" w:ascii="仿宋" w:hAnsi="仿宋" w:eastAsia="仿宋" w:cs="仿宋"/>
          <w:sz w:val="32"/>
          <w:szCs w:val="32"/>
          <w:lang w:val="zh-CN" w:eastAsia="zh-CN"/>
        </w:rPr>
        <w:t>“信用</w:t>
      </w:r>
      <w:r>
        <w:rPr>
          <w:rFonts w:hint="eastAsia" w:ascii="仿宋" w:hAnsi="仿宋" w:eastAsia="仿宋" w:cs="仿宋"/>
          <w:sz w:val="32"/>
          <w:szCs w:val="32"/>
          <w:lang w:val="en-US" w:eastAsia="zh-CN"/>
        </w:rPr>
        <w:t>中国”网站等向社会公布。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部门按照本备忘录约定内容，依法依规对对外经济合作领域严重失信主体和责任人实施联合惩戒。同时，逐步建立惩戒效果定期通报机制，有条件的部门定期将联合惩戒实施情况通过全国信用信息共享平台共享。</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四、其他事宜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各部门应密切协作，积极落实本备忘录，制定对外经济合作领域严重失信主体和责任人相关信息的使用、撤销、管理、监督的相关实施细则和操作流程，指导本系统各级单位依法依规实施联合惩戒措施。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本备忘录实施过程中涉及部门之间协调配合的问题，由各部门协商解决。</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本备忘录签署后，各项惩戒措施依据的法律、法规、规章及规范性文件有修改或调整的，以修改后的法律、法规、规章及规范性文件为准。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jc w:val="both"/>
        <w:textAlignment w:val="auto"/>
        <w:rPr>
          <w:rFonts w:hint="eastAsia" w:ascii="楷体" w:hAnsi="楷体" w:eastAsia="楷体" w:cs="楷体"/>
          <w:sz w:val="32"/>
          <w:szCs w:val="32"/>
          <w:lang w:val="en-US" w:eastAsia="en-US"/>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Chars="0" w:right="0" w:rightChars="0" w:firstLine="640" w:firstLineChars="200"/>
        <w:jc w:val="both"/>
        <w:textAlignment w:val="auto"/>
        <w:rPr>
          <w:rFonts w:hint="eastAsia" w:ascii="仿宋" w:hAnsi="仿宋" w:eastAsia="仿宋" w:cs="仿宋"/>
          <w:sz w:val="32"/>
          <w:szCs w:val="32"/>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Chars="0" w:right="0" w:rightChars="0"/>
        <w:jc w:val="both"/>
        <w:textAlignment w:val="auto"/>
        <w:rPr>
          <w:rFonts w:hint="eastAsia" w:ascii="楷体" w:hAnsi="楷体" w:eastAsia="楷体" w:cs="楷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firstLineChars="200"/>
        <w:jc w:val="both"/>
        <w:textAlignment w:val="auto"/>
        <w:rPr>
          <w:rFonts w:hint="eastAsia" w:ascii="仿宋" w:hAnsi="仿宋" w:eastAsia="仿宋" w:cs="仿宋"/>
          <w:sz w:val="32"/>
          <w:szCs w:val="32"/>
          <w:lang w:eastAsia="zh-CN"/>
        </w:rPr>
      </w:pPr>
      <w:bookmarkStart w:id="46" w:name="_GoBack"/>
      <w:bookmarkEnd w:id="46"/>
    </w:p>
    <w:sectPr>
      <w:pgSz w:w="11906" w:h="16838"/>
      <w:pgMar w:top="1871" w:right="1417" w:bottom="187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B432"/>
    <w:multiLevelType w:val="singleLevel"/>
    <w:tmpl w:val="085BB432"/>
    <w:lvl w:ilvl="0" w:tentative="0">
      <w:start w:val="1"/>
      <w:numFmt w:val="chineseCounting"/>
      <w:lvlText w:val="（%1）"/>
      <w:lvlJc w:val="left"/>
      <w:rPr>
        <w:rFonts w:hint="eastAsia"/>
      </w:rPr>
    </w:lvl>
  </w:abstractNum>
  <w:abstractNum w:abstractNumId="1">
    <w:nsid w:val="5ED5E688"/>
    <w:multiLevelType w:val="singleLevel"/>
    <w:tmpl w:val="5ED5E6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91899"/>
    <w:rsid w:val="1A254331"/>
    <w:rsid w:val="1EC6064A"/>
    <w:rsid w:val="1FED0799"/>
    <w:rsid w:val="317A736C"/>
    <w:rsid w:val="34D2206D"/>
    <w:rsid w:val="36EF12DC"/>
    <w:rsid w:val="39221234"/>
    <w:rsid w:val="62F5243A"/>
    <w:rsid w:val="729B3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 #1|1"/>
    <w:basedOn w:val="1"/>
    <w:qFormat/>
    <w:uiPriority w:val="0"/>
    <w:pPr>
      <w:widowControl w:val="0"/>
      <w:shd w:val="clear" w:color="auto" w:fill="auto"/>
      <w:spacing w:after="1680" w:line="1780" w:lineRule="exact"/>
      <w:jc w:val="center"/>
      <w:outlineLvl w:val="0"/>
    </w:pPr>
    <w:rPr>
      <w:rFonts w:ascii="宋体" w:hAnsi="宋体" w:eastAsia="宋体" w:cs="宋体"/>
      <w:sz w:val="110"/>
      <w:szCs w:val="110"/>
      <w:u w:val="none"/>
      <w:shd w:val="clear" w:color="auto" w:fill="auto"/>
      <w:lang w:val="zh-TW" w:eastAsia="zh-TW" w:bidi="zh-TW"/>
    </w:rPr>
  </w:style>
  <w:style w:type="paragraph" w:customStyle="1" w:styleId="5">
    <w:name w:val="Body text|1"/>
    <w:basedOn w:val="1"/>
    <w:qFormat/>
    <w:uiPriority w:val="0"/>
    <w:pPr>
      <w:widowControl w:val="0"/>
      <w:shd w:val="clear" w:color="auto" w:fill="auto"/>
      <w:spacing w:line="446" w:lineRule="auto"/>
      <w:ind w:firstLine="400"/>
    </w:pPr>
    <w:rPr>
      <w:rFonts w:ascii="宋体" w:hAnsi="宋体" w:eastAsia="宋体" w:cs="宋体"/>
      <w:sz w:val="76"/>
      <w:szCs w:val="76"/>
      <w:u w:val="none"/>
      <w:shd w:val="clear" w:color="auto" w:fill="auto"/>
      <w:lang w:val="zh-TW" w:eastAsia="zh-TW" w:bidi="zh-TW"/>
    </w:rPr>
  </w:style>
  <w:style w:type="paragraph" w:customStyle="1" w:styleId="6">
    <w:name w:val="Body text|5"/>
    <w:basedOn w:val="1"/>
    <w:qFormat/>
    <w:uiPriority w:val="0"/>
    <w:pPr>
      <w:widowControl w:val="0"/>
      <w:shd w:val="clear" w:color="auto" w:fill="auto"/>
    </w:pPr>
    <w:rPr>
      <w:smallCaps/>
      <w:sz w:val="36"/>
      <w:szCs w:val="36"/>
      <w:u w:val="none"/>
      <w:shd w:val="clear" w:color="auto" w:fill="FFFFFF"/>
    </w:rPr>
  </w:style>
  <w:style w:type="paragraph" w:customStyle="1" w:styleId="7">
    <w:name w:val="Body text|2"/>
    <w:basedOn w:val="1"/>
    <w:qFormat/>
    <w:uiPriority w:val="0"/>
    <w:pPr>
      <w:widowControl w:val="0"/>
      <w:shd w:val="clear" w:color="auto" w:fill="auto"/>
      <w:spacing w:before="40"/>
    </w:pPr>
    <w:rPr>
      <w:b/>
      <w:bCs/>
      <w:u w:val="none"/>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2020-11-11T02:21:00Z</dcterms:created>
  <dc:creator>Administrator</dc:creator>
  <cp:lastModifiedBy> 丽  小木  </cp:lastModifiedBy>
  <dcterms:modified xsi:type="dcterms:W3CDTF">2020-11-23T02:55:13Z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