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附件1：</w:t>
      </w:r>
    </w:p>
    <w:p>
      <w:pPr>
        <w:pStyle w:val="18"/>
        <w:keepNext w:val="0"/>
        <w:keepLines w:val="0"/>
        <w:widowControl w:val="0"/>
        <w:shd w:val="clear" w:color="auto" w:fill="auto"/>
        <w:bidi w:val="0"/>
        <w:spacing w:before="0" w:after="0" w:line="588" w:lineRule="exact"/>
        <w:ind w:left="0" w:right="0" w:firstLine="600"/>
        <w:jc w:val="center"/>
        <w:rPr>
          <w:rFonts w:hint="eastAsia" w:ascii="方正小标宋简体" w:hAnsi="方正小标宋简体" w:eastAsia="方正小标宋简体" w:cs="方正小标宋简体"/>
          <w:b w:val="0"/>
          <w:bCs w:val="0"/>
          <w:color w:val="000000"/>
          <w:spacing w:val="0"/>
          <w:w w:val="100"/>
          <w:position w:val="0"/>
          <w:sz w:val="44"/>
          <w:szCs w:val="44"/>
          <w:lang w:eastAsia="zh-CN"/>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关于对公共资源交易领域严重失信</w:t>
      </w:r>
    </w:p>
    <w:p>
      <w:pPr>
        <w:pStyle w:val="18"/>
        <w:keepNext w:val="0"/>
        <w:keepLines w:val="0"/>
        <w:widowControl w:val="0"/>
        <w:shd w:val="clear" w:color="auto" w:fill="auto"/>
        <w:bidi w:val="0"/>
        <w:spacing w:before="0" w:after="0" w:line="588" w:lineRule="exact"/>
        <w:ind w:left="0" w:right="0" w:firstLine="600"/>
        <w:jc w:val="center"/>
        <w:rPr>
          <w:rFonts w:hint="eastAsia" w:eastAsia="宋体"/>
          <w:color w:val="000000"/>
          <w:spacing w:val="0"/>
          <w:w w:val="100"/>
          <w:position w:val="0"/>
          <w:lang w:eastAsia="zh-CN"/>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主体开展联合惩戒的备忘录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为深入学习贯彻习近平新时代中国特色社会主义思想和党的十九大精神，落实《国务院关于促进市场公平竞争维护市场正</w:t>
      </w:r>
      <w:r>
        <w:rPr>
          <w:rFonts w:hint="eastAsia" w:ascii="仿宋_GB2312" w:hAnsi="仿宋_GB2312" w:eastAsia="仿宋_GB2312" w:cs="仿宋_GB2312"/>
          <w:color w:val="000000"/>
          <w:spacing w:val="0"/>
          <w:w w:val="100"/>
          <w:position w:val="0"/>
          <w:sz w:val="32"/>
          <w:szCs w:val="32"/>
          <w:lang w:eastAsia="zh-CN"/>
        </w:rPr>
        <w:t>常</w:t>
      </w:r>
      <w:r>
        <w:rPr>
          <w:rFonts w:hint="eastAsia" w:ascii="仿宋_GB2312" w:hAnsi="仿宋_GB2312" w:eastAsia="仿宋_GB2312" w:cs="仿宋_GB2312"/>
          <w:color w:val="000000"/>
          <w:spacing w:val="0"/>
          <w:w w:val="100"/>
          <w:position w:val="0"/>
          <w:sz w:val="32"/>
          <w:szCs w:val="32"/>
        </w:rPr>
        <w:t>秩序的若干意见》（国发〔2014〕20号）、《国务院关于印发社会信用体系建设规划纲要（</w:t>
      </w:r>
      <w:r>
        <w:rPr>
          <w:rFonts w:hint="eastAsia" w:ascii="仿宋_GB2312" w:hAnsi="仿宋_GB2312" w:eastAsia="仿宋_GB2312" w:cs="仿宋_GB2312"/>
          <w:color w:val="000000"/>
          <w:spacing w:val="0"/>
          <w:w w:val="100"/>
          <w:position w:val="0"/>
          <w:sz w:val="32"/>
          <w:szCs w:val="32"/>
          <w:lang w:val="en-US" w:eastAsia="en-US"/>
        </w:rPr>
        <w:t>2014-2020</w:t>
      </w:r>
      <w:r>
        <w:rPr>
          <w:rFonts w:hint="eastAsia" w:ascii="仿宋_GB2312" w:hAnsi="仿宋_GB2312" w:eastAsia="仿宋_GB2312" w:cs="仿宋_GB2312"/>
          <w:color w:val="000000"/>
          <w:spacing w:val="0"/>
          <w:w w:val="100"/>
          <w:position w:val="0"/>
          <w:sz w:val="32"/>
          <w:szCs w:val="32"/>
        </w:rPr>
        <w:t>年）的通知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国发〔2014〕21号）、《国务院关于建立完善守信联合激励和失信联合惩戒制度加快推进社会诚信建</w:t>
      </w:r>
      <w:r>
        <w:rPr>
          <w:rFonts w:hint="eastAsia" w:ascii="仿宋_GB2312" w:hAnsi="仿宋_GB2312" w:eastAsia="仿宋_GB2312" w:cs="仿宋_GB2312"/>
          <w:color w:val="000000"/>
          <w:spacing w:val="0"/>
          <w:w w:val="100"/>
          <w:position w:val="0"/>
          <w:sz w:val="32"/>
          <w:szCs w:val="32"/>
          <w:lang w:eastAsia="zh-CN"/>
        </w:rPr>
        <w:t>设的指导意见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国发〔201</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33</w:t>
      </w:r>
      <w:r>
        <w:rPr>
          <w:rFonts w:hint="eastAsia" w:ascii="仿宋_GB2312" w:hAnsi="仿宋_GB2312" w:eastAsia="仿宋_GB2312" w:cs="仿宋_GB2312"/>
          <w:color w:val="000000"/>
          <w:spacing w:val="0"/>
          <w:w w:val="100"/>
          <w:position w:val="0"/>
          <w:sz w:val="32"/>
          <w:szCs w:val="32"/>
        </w:rPr>
        <w:t>号）</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《国务院办公厅关于印发整合建立统一的公共资源交易平台工作方案的通知》（国办发〔2015〕63号）、《国家发展改革委</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人民银行关于加强和规范守信联合激励和失信联合惩戒对象名单管理工作的指导意见》（发改财金规〔2017〕1798号）等有关要求，建立健全公共资源交易领域失信联合惩戒机制，国家发展改革委、人民银行、中央组织部、中央编办、中央文明办、科技部、工业 和信息化部、财政部、国土资源部、住房城乡建设部、交通运输部、水利部、商务部、卫生计生委、国资委、海关总署、税务总局、林业局、国管局、银监会、证监会、公务</w:t>
      </w:r>
      <w:r>
        <w:rPr>
          <w:rFonts w:hint="eastAsia" w:ascii="仿宋_GB2312" w:hAnsi="仿宋_GB2312" w:eastAsia="仿宋_GB2312" w:cs="仿宋_GB2312"/>
          <w:color w:val="000000"/>
          <w:spacing w:val="0"/>
          <w:w w:val="100"/>
          <w:position w:val="0"/>
          <w:sz w:val="32"/>
          <w:szCs w:val="32"/>
          <w:lang w:val="zh-CN" w:eastAsia="zh-CN"/>
        </w:rPr>
        <w:t>员局、</w:t>
      </w:r>
      <w:r>
        <w:rPr>
          <w:rFonts w:hint="eastAsia" w:ascii="仿宋_GB2312" w:hAnsi="仿宋_GB2312" w:eastAsia="仿宋_GB2312" w:cs="仿宋_GB2312"/>
          <w:color w:val="000000"/>
          <w:spacing w:val="0"/>
          <w:w w:val="100"/>
          <w:position w:val="0"/>
          <w:sz w:val="32"/>
          <w:szCs w:val="32"/>
        </w:rPr>
        <w:t>铁路局、民 航局等部门，就针对公共资源交易领域严重失信主体开展联合惩戒工作达成如下一致意见。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一、</w:t>
      </w:r>
      <w:r>
        <w:rPr>
          <w:rFonts w:hint="eastAsia" w:ascii="黑体" w:hAnsi="黑体" w:eastAsia="黑体" w:cs="黑体"/>
          <w:color w:val="000000"/>
          <w:spacing w:val="0"/>
          <w:w w:val="100"/>
          <w:position w:val="0"/>
          <w:sz w:val="32"/>
          <w:szCs w:val="32"/>
        </w:rPr>
        <w:t>联合惩戒对象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联合惩戒的对象为违反公共资源交易相关法律、法规规定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违背诚实信用原则，存在以下行为之一，被主管部门依法实施行政处罚的企业（以下简称失信企业）及负有责任的法定代表人、自然人股东、评标评审专家及其他相关人员（以下简称失信相关人）:</w:t>
      </w:r>
    </w:p>
    <w:p>
      <w:pPr>
        <w:pStyle w:val="18"/>
        <w:keepNext w:val="0"/>
        <w:keepLines w:val="0"/>
        <w:pageBreakBefore w:val="0"/>
        <w:widowControl w:val="0"/>
        <w:shd w:val="clear" w:color="auto" w:fill="auto"/>
        <w:tabs>
          <w:tab w:val="left" w:pos="1530"/>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pacing w:val="-23"/>
          <w:w w:val="90"/>
          <w:sz w:val="32"/>
          <w:szCs w:val="32"/>
        </w:rPr>
      </w:pPr>
      <w:bookmarkStart w:id="0" w:name="bookmark6"/>
      <w:r>
        <w:rPr>
          <w:rFonts w:hint="eastAsia" w:ascii="仿宋_GB2312" w:hAnsi="仿宋_GB2312" w:eastAsia="仿宋_GB2312" w:cs="仿宋_GB2312"/>
          <w:color w:val="000000"/>
          <w:spacing w:val="0"/>
          <w:w w:val="100"/>
          <w:position w:val="0"/>
          <w:sz w:val="32"/>
          <w:szCs w:val="32"/>
        </w:rPr>
        <w:t>（</w:t>
      </w:r>
      <w:bookmarkEnd w:id="0"/>
      <w:r>
        <w:rPr>
          <w:rFonts w:hint="eastAsia" w:ascii="仿宋_GB2312" w:hAnsi="仿宋_GB2312" w:eastAsia="仿宋_GB2312" w:cs="仿宋_GB2312"/>
          <w:color w:val="000000"/>
          <w:spacing w:val="0"/>
          <w:w w:val="100"/>
          <w:position w:val="0"/>
          <w:sz w:val="32"/>
          <w:szCs w:val="32"/>
        </w:rPr>
        <w:t>一）违反法律规定，必须进行招标的项目而不招标的，将必须进行招标的项目化整为零或者以其他任何方式</w:t>
      </w:r>
      <w:r>
        <w:rPr>
          <w:rFonts w:hint="eastAsia" w:ascii="仿宋_GB2312" w:hAnsi="仿宋_GB2312" w:eastAsia="仿宋_GB2312" w:cs="仿宋_GB2312"/>
          <w:color w:val="000000"/>
          <w:spacing w:val="-23"/>
          <w:w w:val="90"/>
          <w:position w:val="0"/>
          <w:sz w:val="32"/>
          <w:szCs w:val="32"/>
        </w:rPr>
        <w:t>规避招标的;</w:t>
      </w:r>
    </w:p>
    <w:p>
      <w:pPr>
        <w:pStyle w:val="18"/>
        <w:keepNext w:val="0"/>
        <w:keepLines w:val="0"/>
        <w:pageBreakBefore w:val="0"/>
        <w:widowControl w:val="0"/>
        <w:shd w:val="clear" w:color="auto" w:fill="auto"/>
        <w:tabs>
          <w:tab w:val="left" w:pos="1549"/>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1" w:name="bookmark7"/>
      <w:r>
        <w:rPr>
          <w:rFonts w:hint="eastAsia" w:ascii="仿宋_GB2312" w:hAnsi="仿宋_GB2312" w:eastAsia="仿宋_GB2312" w:cs="仿宋_GB2312"/>
          <w:color w:val="000000"/>
          <w:spacing w:val="0"/>
          <w:w w:val="100"/>
          <w:position w:val="0"/>
          <w:sz w:val="32"/>
          <w:szCs w:val="32"/>
        </w:rPr>
        <w:t>（</w:t>
      </w:r>
      <w:bookmarkEnd w:id="1"/>
      <w:r>
        <w:rPr>
          <w:rFonts w:hint="eastAsia" w:ascii="仿宋_GB2312" w:hAnsi="仿宋_GB2312" w:eastAsia="仿宋_GB2312" w:cs="仿宋_GB2312"/>
          <w:color w:val="000000"/>
          <w:spacing w:val="0"/>
          <w:w w:val="100"/>
          <w:position w:val="0"/>
          <w:sz w:val="32"/>
          <w:szCs w:val="32"/>
        </w:rPr>
        <w:t>二）招标代理机构违反法律规定，泄露应当保密的与招标投标活动有关的情况和资料的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或者与招标人、投标人串通损害国家利益、社会公共利益或者他人合法权益的；</w:t>
      </w:r>
    </w:p>
    <w:p>
      <w:pPr>
        <w:pStyle w:val="18"/>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2" w:name="bookmark8"/>
      <w:r>
        <w:rPr>
          <w:rFonts w:hint="eastAsia" w:ascii="仿宋_GB2312" w:hAnsi="仿宋_GB2312" w:eastAsia="仿宋_GB2312" w:cs="仿宋_GB2312"/>
          <w:color w:val="000000"/>
          <w:spacing w:val="0"/>
          <w:w w:val="100"/>
          <w:position w:val="0"/>
          <w:sz w:val="32"/>
          <w:szCs w:val="32"/>
        </w:rPr>
        <w:t>（</w:t>
      </w:r>
      <w:bookmarkEnd w:id="2"/>
      <w:r>
        <w:rPr>
          <w:rFonts w:hint="eastAsia" w:ascii="仿宋_GB2312" w:hAnsi="仿宋_GB2312" w:eastAsia="仿宋_GB2312" w:cs="仿宋_GB2312"/>
          <w:color w:val="000000"/>
          <w:spacing w:val="0"/>
          <w:w w:val="100"/>
          <w:position w:val="0"/>
          <w:sz w:val="32"/>
          <w:szCs w:val="32"/>
        </w:rPr>
        <w:t>三）招标人以不合理的条件限制或者排斥潜在投标人的,对潜在投标人实行歧视待遇的，强制要求投标人组成联合体共同投标的，或者限制投标人之间竞争的；</w:t>
      </w:r>
    </w:p>
    <w:p>
      <w:pPr>
        <w:pStyle w:val="18"/>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3" w:name="bookmark9"/>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四）依法必须进行招标的项目的招标人向他人透露已获取招标文件的潜在投标人的名称、数量或者可能影响公平竞争的有关招标投标的其他情况的，或者泄露标底的；</w:t>
      </w:r>
    </w:p>
    <w:p>
      <w:pPr>
        <w:pStyle w:val="18"/>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4" w:name="bookmark10"/>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五）投标人相互串通投标或者与招标人串通投标的，投标人以向招标人或者评标委员会成员行贿的手段谋取中标的；</w:t>
      </w:r>
    </w:p>
    <w:p>
      <w:pPr>
        <w:pStyle w:val="18"/>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5" w:name="bookmark11"/>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六）投标人以他人名义</w:t>
      </w:r>
      <w:r>
        <w:rPr>
          <w:rFonts w:hint="eastAsia" w:ascii="仿宋_GB2312" w:hAnsi="仿宋_GB2312" w:eastAsia="仿宋_GB2312" w:cs="仿宋_GB2312"/>
          <w:color w:val="000000"/>
          <w:spacing w:val="0"/>
          <w:w w:val="100"/>
          <w:position w:val="0"/>
          <w:sz w:val="32"/>
          <w:szCs w:val="32"/>
          <w:lang w:eastAsia="zh-CN"/>
        </w:rPr>
        <w:t>投标或者</w:t>
      </w:r>
      <w:r>
        <w:rPr>
          <w:rFonts w:hint="eastAsia" w:ascii="仿宋_GB2312" w:hAnsi="仿宋_GB2312" w:eastAsia="仿宋_GB2312" w:cs="仿宋_GB2312"/>
          <w:color w:val="000000"/>
          <w:spacing w:val="0"/>
          <w:w w:val="100"/>
          <w:position w:val="0"/>
          <w:sz w:val="32"/>
          <w:szCs w:val="32"/>
        </w:rPr>
        <w:t>以其他方式弄虚作假，骗取中标的；</w:t>
      </w:r>
    </w:p>
    <w:p>
      <w:pPr>
        <w:pStyle w:val="18"/>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6" w:name="bookmark12"/>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七）依法必须进行招标的项目，招标人违反法律规定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与投标人就投标价格、投标方案等实质性内容进行谈判的；</w:t>
      </w:r>
    </w:p>
    <w:p>
      <w:pPr>
        <w:pStyle w:val="18"/>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pacing w:val="-20"/>
          <w:w w:val="90"/>
          <w:sz w:val="32"/>
          <w:szCs w:val="32"/>
        </w:rPr>
      </w:pPr>
      <w:bookmarkStart w:id="7" w:name="bookmark13"/>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八）</w:t>
      </w:r>
      <w:r>
        <w:rPr>
          <w:rFonts w:hint="eastAsia" w:ascii="仿宋_GB2312" w:hAnsi="仿宋_GB2312" w:eastAsia="仿宋_GB2312" w:cs="仿宋_GB2312"/>
          <w:color w:val="000000"/>
          <w:spacing w:val="0"/>
          <w:w w:val="100"/>
          <w:position w:val="0"/>
          <w:sz w:val="32"/>
          <w:szCs w:val="32"/>
          <w:lang w:eastAsia="zh-CN"/>
        </w:rPr>
        <w:t>评</w:t>
      </w:r>
      <w:r>
        <w:rPr>
          <w:rFonts w:hint="eastAsia" w:ascii="仿宋_GB2312" w:hAnsi="仿宋_GB2312" w:eastAsia="仿宋_GB2312" w:cs="仿宋_GB2312"/>
          <w:color w:val="000000"/>
          <w:spacing w:val="0"/>
          <w:w w:val="100"/>
          <w:position w:val="0"/>
          <w:sz w:val="32"/>
          <w:szCs w:val="32"/>
        </w:rPr>
        <w:t>标委员会成员收受投标人的财物或者其他好处的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评标委员会成员或者参加评标的有关工作人员向他人透露对投标文件的评审和比较、中标候选人的推荐以及与评标有关的</w:t>
      </w:r>
      <w:r>
        <w:rPr>
          <w:rFonts w:hint="eastAsia" w:ascii="仿宋_GB2312" w:hAnsi="仿宋_GB2312" w:eastAsia="仿宋_GB2312" w:cs="仿宋_GB2312"/>
          <w:color w:val="000000"/>
          <w:spacing w:val="-20"/>
          <w:w w:val="90"/>
          <w:position w:val="0"/>
          <w:sz w:val="32"/>
          <w:szCs w:val="32"/>
        </w:rPr>
        <w:t>其他情况的；</w:t>
      </w:r>
    </w:p>
    <w:p>
      <w:pPr>
        <w:pStyle w:val="18"/>
        <w:keepNext w:val="0"/>
        <w:keepLines w:val="0"/>
        <w:pageBreakBefore w:val="0"/>
        <w:widowControl w:val="0"/>
        <w:shd w:val="clear" w:color="auto" w:fill="auto"/>
        <w:tabs>
          <w:tab w:val="left" w:pos="1517"/>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8" w:name="bookmark14"/>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九）招标人在评标委员会依法推荐的中标候选人以外确定中标人的，依法必须进行招标的项目在所有投标被评标委员会否决后自行确定中标人的；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（十）中标人将中标项目转让给他人的，将中标项目肢解后分别转让给他人的，违反法律规定将中标项目的部分主体、关键性工作分包给他人的，或者分包人再次分包的；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pacing w:val="-20"/>
          <w:w w:val="90"/>
          <w:sz w:val="32"/>
          <w:szCs w:val="32"/>
        </w:rPr>
      </w:pPr>
      <w:r>
        <w:rPr>
          <w:rFonts w:hint="eastAsia" w:ascii="仿宋_GB2312" w:hAnsi="仿宋_GB2312" w:eastAsia="仿宋_GB2312" w:cs="仿宋_GB2312"/>
          <w:color w:val="000000"/>
          <w:spacing w:val="0"/>
          <w:w w:val="100"/>
          <w:position w:val="0"/>
          <w:sz w:val="32"/>
          <w:szCs w:val="32"/>
        </w:rPr>
        <w:t>（十一）招标人与中标人不按照招标文件和中标人的投标文件订立合同的，或者招标人、中标人订立背离合同实质性内</w:t>
      </w:r>
      <w:r>
        <w:rPr>
          <w:rFonts w:hint="eastAsia" w:ascii="仿宋_GB2312" w:hAnsi="仿宋_GB2312" w:eastAsia="仿宋_GB2312" w:cs="仿宋_GB2312"/>
          <w:color w:val="000000"/>
          <w:spacing w:val="-20"/>
          <w:w w:val="90"/>
          <w:position w:val="0"/>
          <w:sz w:val="32"/>
          <w:szCs w:val="32"/>
        </w:rPr>
        <w:t>容的协议的；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（十二）中标人不按照与招标人订立的合同履行义务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情节 严重的；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（十三）采购人、采购代理机构存在应当采用公开招标方式 而擅自采用其他方式采购，擅自提高釆购标准，以不合理的条件对供应商实行差别待遇或者歧视待遇，在招标采购过程中与投标 人进行协商谈判，中标、成交通知书发出后不与中标、成交供应 商签订采购合同，或者拒绝有关部门依法实施监督检查等情形的;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（十四）采购人、采购代理</w:t>
      </w:r>
      <w:r>
        <w:rPr>
          <w:rFonts w:hint="eastAsia" w:ascii="仿宋_GB2312" w:hAnsi="仿宋_GB2312" w:eastAsia="仿宋_GB2312" w:cs="仿宋_GB2312"/>
          <w:color w:val="000000"/>
          <w:spacing w:val="0"/>
          <w:w w:val="100"/>
          <w:position w:val="0"/>
          <w:sz w:val="32"/>
          <w:szCs w:val="32"/>
          <w:lang w:eastAsia="zh-CN"/>
        </w:rPr>
        <w:t>机构</w:t>
      </w:r>
      <w:r>
        <w:rPr>
          <w:rFonts w:hint="eastAsia" w:ascii="仿宋_GB2312" w:hAnsi="仿宋_GB2312" w:eastAsia="仿宋_GB2312" w:cs="仿宋_GB2312"/>
          <w:color w:val="000000"/>
          <w:spacing w:val="0"/>
          <w:w w:val="100"/>
          <w:position w:val="0"/>
          <w:sz w:val="32"/>
          <w:szCs w:val="32"/>
        </w:rPr>
        <w:t>及其工作人员存在与供应商或者采购代理机构恶意串通，在采购过程中接受贿赂或者获取其他不正当利益，在有关部门依法实施的监督检查中提供虚假情况,或者开标前泄露标底等情形的；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（十五）釆购人对应当实行集中采购的政府釆购项目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不委 托集中采购机构实行集中釆购的；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（十六）采购人、采购代理机构违反法律规定隐匿、销毁应当保存的采购文件或者伪造、变造采购文件的；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（十七）供应商存在提供虚假材料谋取中标、成交，采取不正当手段诋毁、排挤其他供应商，与采购人、其他供应商或者采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（十八）疫苗生产企业向县级疾病预防控制机构以外的单位 或者个人销售第二类疫苗的；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（十九）存在其他违反公共资源交易法律法规行为的。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备忘录所指的公共资源交易领域失信企业及失信相关人具体包括存在严重违法失信行为的招标人、采购人、投标人、供应商、招标代理机构、采购代理机构、评标评审专家，以及其他参与公共资源交易的公民、法人或者其他组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sz w:val="32"/>
          <w:szCs w:val="32"/>
        </w:rPr>
      </w:pPr>
      <w:bookmarkStart w:id="9" w:name="bookmark15"/>
      <w:r>
        <w:rPr>
          <w:rFonts w:hint="eastAsia" w:ascii="黑体" w:hAnsi="黑体" w:eastAsia="黑体" w:cs="黑体"/>
          <w:color w:val="000000"/>
          <w:spacing w:val="0"/>
          <w:w w:val="100"/>
          <w:position w:val="0"/>
          <w:sz w:val="32"/>
          <w:szCs w:val="32"/>
        </w:rPr>
        <w:t>二</w:t>
      </w:r>
      <w:bookmarkEnd w:id="9"/>
      <w:r>
        <w:rPr>
          <w:rFonts w:hint="eastAsia" w:ascii="黑体" w:hAnsi="黑体" w:eastAsia="黑体" w:cs="黑体"/>
          <w:color w:val="000000"/>
          <w:spacing w:val="0"/>
          <w:w w:val="100"/>
          <w:position w:val="0"/>
          <w:sz w:val="32"/>
          <w:szCs w:val="32"/>
        </w:rPr>
        <w:t>、联合惩戒措施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position w:val="0"/>
          <w:sz w:val="32"/>
          <w:szCs w:val="32"/>
        </w:rPr>
        <w:t>（一）公共资源交易领域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公共资源交易平台整合部际联席会议成员单位依据法律、法规、规章和规范性文件规定，在公共资源交易领域对惩戒对</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象</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采取下列一种或多种惩戒措施。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依法限制失信企业参与</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工程建设项目招标投标</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依法限制失信企业参与</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政府采购活动</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3.</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依法限制失信企业参与土地使用权和矿业权出让。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bookmarkStart w:id="10" w:name="bookmark19"/>
      <w:bookmarkEnd w:id="10"/>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4.依法限制失信企业参与国有产权交易活动。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20"/>
          <w:w w:val="90"/>
          <w:position w:val="0"/>
          <w:sz w:val="32"/>
          <w:szCs w:val="32"/>
          <w:lang w:val="en-US" w:eastAsia="zh-CN"/>
        </w:rPr>
      </w:pPr>
      <w:bookmarkStart w:id="11" w:name="bookmark20"/>
      <w:bookmarkEnd w:id="11"/>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5.依法限制失信企业参与药品和医疗器械集中采购</w:t>
      </w:r>
      <w:r>
        <w:rPr>
          <w:rFonts w:hint="eastAsia" w:ascii="仿宋_GB2312" w:hAnsi="仿宋_GB2312" w:eastAsia="仿宋_GB2312" w:cs="仿宋_GB2312"/>
          <w:color w:val="000000"/>
          <w:spacing w:val="-20"/>
          <w:w w:val="90"/>
          <w:kern w:val="2"/>
          <w:position w:val="0"/>
          <w:sz w:val="32"/>
          <w:szCs w:val="32"/>
          <w:u w:val="none"/>
          <w:shd w:val="clear" w:color="auto" w:fill="auto"/>
          <w:lang w:val="en-US" w:eastAsia="zh-CN" w:bidi="zh-TW"/>
        </w:rPr>
        <w:t>及配送活</w:t>
      </w:r>
      <w:r>
        <w:rPr>
          <w:rFonts w:hint="eastAsia" w:ascii="仿宋_GB2312" w:hAnsi="仿宋_GB2312" w:eastAsia="仿宋_GB2312" w:cs="仿宋_GB2312"/>
          <w:b w:val="0"/>
          <w:bCs w:val="0"/>
          <w:i w:val="0"/>
          <w:iCs w:val="0"/>
          <w:smallCaps w:val="0"/>
          <w:strike w:val="0"/>
          <w:color w:val="000000"/>
          <w:spacing w:val="-20"/>
          <w:w w:val="90"/>
          <w:position w:val="0"/>
          <w:sz w:val="32"/>
          <w:szCs w:val="32"/>
          <w:lang w:val="en-US" w:eastAsia="zh-CN"/>
        </w:rPr>
        <w:t>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bookmarkStart w:id="12" w:name="bookmark21"/>
      <w:bookmarkEnd w:id="12"/>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6.依法限制失信企业参与二类疫苗采购活动。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bookmarkStart w:id="13" w:name="bookmark22"/>
      <w:bookmarkEnd w:id="13"/>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7.依法限制失信企业参与林权流转。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14" w:name="bookmark23"/>
      <w:bookmarkEnd w:id="14"/>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8.依法限制失信企业参与其他公共资源交易活动。</w:t>
      </w:r>
    </w:p>
    <w:p>
      <w:pPr>
        <w:pStyle w:val="18"/>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依法限制失信企业从事公共资源交易代理活动。</w:t>
      </w:r>
    </w:p>
    <w:p>
      <w:pPr>
        <w:pStyle w:val="18"/>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560" w:lineRule="exact"/>
        <w:ind w:left="580" w:leftChars="0" w:right="0" w:rightChars="0"/>
        <w:jc w:val="left"/>
        <w:textAlignment w:val="auto"/>
        <w:rPr>
          <w:rFonts w:hint="eastAsia" w:ascii="仿宋_GB2312" w:hAnsi="仿宋_GB2312" w:eastAsia="仿宋_GB2312" w:cs="仿宋_GB2312"/>
          <w:sz w:val="32"/>
          <w:szCs w:val="32"/>
        </w:rPr>
      </w:pPr>
      <w:bookmarkStart w:id="15" w:name="bookmark25"/>
      <w:bookmarkEnd w:id="15"/>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依法限制失信相关人担任公共资源交易活动专家。</w:t>
      </w:r>
    </w:p>
    <w:p>
      <w:pPr>
        <w:pStyle w:val="18"/>
        <w:keepNext w:val="0"/>
        <w:keepLines w:val="0"/>
        <w:pageBreakBefore w:val="0"/>
        <w:widowControl w:val="0"/>
        <w:numPr>
          <w:ilvl w:val="0"/>
          <w:numId w:val="0"/>
        </w:numPr>
        <w:shd w:val="clear" w:color="auto" w:fill="auto"/>
        <w:tabs>
          <w:tab w:val="left" w:pos="1122"/>
        </w:tabs>
        <w:kinsoku/>
        <w:wordWrap/>
        <w:overflowPunct/>
        <w:topLinePunct w:val="0"/>
        <w:autoSpaceDE/>
        <w:autoSpaceDN/>
        <w:bidi w:val="0"/>
        <w:adjustRightInd/>
        <w:snapToGrid/>
        <w:spacing w:before="0" w:after="0" w:line="560" w:lineRule="exact"/>
        <w:ind w:left="600" w:leftChars="0" w:right="0" w:rightChars="0"/>
        <w:jc w:val="both"/>
        <w:textAlignment w:val="auto"/>
        <w:rPr>
          <w:rFonts w:hint="eastAsia" w:ascii="仿宋_GB2312" w:hAnsi="仿宋_GB2312" w:eastAsia="仿宋_GB2312" w:cs="仿宋_GB2312"/>
          <w:sz w:val="32"/>
          <w:szCs w:val="32"/>
        </w:rPr>
      </w:pPr>
      <w:bookmarkStart w:id="16" w:name="bookmark26"/>
      <w:bookmarkEnd w:id="16"/>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依法限制失信相关人在公共资源交易领域从业。</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7" w:name="bookmark27"/>
      <w:bookmarkEnd w:id="17"/>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依法加强对失信企业、失信相关人从事公共资源交易有关各项活动的监督检查。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position w:val="0"/>
          <w:sz w:val="32"/>
          <w:szCs w:val="32"/>
        </w:rPr>
        <w:t>（二）其他相关领域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除公共资源交易平台整合部际联席会议成员单位外，其他部门和单位依照有关法律、法规、规章和规范性文件规定，对联合惩戒对象采取下列一种或多种惩戒措施（相关依据和实施部门见附表）。</w:t>
      </w:r>
    </w:p>
    <w:p>
      <w:pPr>
        <w:pStyle w:val="18"/>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8" w:name="bookmark28"/>
      <w:bookmarkEnd w:id="18"/>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从严审核行政许可审批项目，依法限制新增项目审批、核准。</w:t>
      </w:r>
    </w:p>
    <w:p>
      <w:pPr>
        <w:pStyle w:val="18"/>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9" w:name="bookmark29"/>
      <w:bookmarkEnd w:id="19"/>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依法从严控制生产许可证发放。</w:t>
      </w:r>
    </w:p>
    <w:p>
      <w:pPr>
        <w:pStyle w:val="18"/>
        <w:keepNext w:val="0"/>
        <w:keepLines w:val="0"/>
        <w:pageBreakBefore w:val="0"/>
        <w:widowControl w:val="0"/>
        <w:numPr>
          <w:ilvl w:val="0"/>
          <w:numId w:val="0"/>
        </w:numPr>
        <w:shd w:val="clear" w:color="auto" w:fill="auto"/>
        <w:tabs>
          <w:tab w:val="left" w:pos="40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0" w:name="bookmark30"/>
      <w:bookmarkEnd w:id="20"/>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依法对失信企业获得财政补助补贴性资金和社会保障资金支持予以限制。</w:t>
      </w:r>
    </w:p>
    <w:p>
      <w:pPr>
        <w:pStyle w:val="18"/>
        <w:keepNext w:val="0"/>
        <w:keepLines w:val="0"/>
        <w:pageBreakBefore w:val="0"/>
        <w:widowControl w:val="0"/>
        <w:numPr>
          <w:ilvl w:val="0"/>
          <w:numId w:val="0"/>
        </w:numPr>
        <w:shd w:val="clear" w:color="auto" w:fill="auto"/>
        <w:tabs>
          <w:tab w:val="left" w:pos="97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1" w:name="bookmark31"/>
      <w:bookmarkEnd w:id="21"/>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依法将失信信息作为选择基础设施和公用事业特许经营等政府和社会资本合作项目</w:t>
      </w:r>
      <w:r>
        <w:rPr>
          <w:rFonts w:hint="eastAsia" w:ascii="仿宋_GB2312" w:hAnsi="仿宋_GB2312" w:eastAsia="仿宋_GB2312" w:cs="仿宋_GB2312"/>
          <w:color w:val="000000"/>
          <w:spacing w:val="0"/>
          <w:w w:val="100"/>
          <w:position w:val="0"/>
          <w:sz w:val="32"/>
          <w:szCs w:val="32"/>
          <w:lang w:eastAsia="zh-CN"/>
        </w:rPr>
        <w:t>合作</w:t>
      </w:r>
      <w:r>
        <w:rPr>
          <w:rFonts w:hint="eastAsia" w:ascii="仿宋_GB2312" w:hAnsi="仿宋_GB2312" w:eastAsia="仿宋_GB2312" w:cs="仿宋_GB2312"/>
          <w:color w:val="000000"/>
          <w:spacing w:val="0"/>
          <w:w w:val="100"/>
          <w:position w:val="0"/>
          <w:sz w:val="32"/>
          <w:szCs w:val="32"/>
        </w:rPr>
        <w:t>伙伴的重要参考因素，限制失信主体成为项目合作伙伴。</w:t>
      </w:r>
    </w:p>
    <w:p>
      <w:pPr>
        <w:pStyle w:val="18"/>
        <w:keepNext w:val="0"/>
        <w:keepLines w:val="0"/>
        <w:pageBreakBefore w:val="0"/>
        <w:widowControl w:val="0"/>
        <w:numPr>
          <w:ilvl w:val="0"/>
          <w:numId w:val="0"/>
        </w:numPr>
        <w:shd w:val="clear" w:color="auto" w:fill="auto"/>
        <w:tabs>
          <w:tab w:val="left" w:pos="98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2" w:name="bookmark32"/>
      <w:bookmarkEnd w:id="22"/>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依法限制失信相关人担任国有企业法定代表人、董事、监事。</w:t>
      </w:r>
    </w:p>
    <w:p>
      <w:pPr>
        <w:pStyle w:val="18"/>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3" w:name="bookmark33"/>
      <w:bookmarkEnd w:id="23"/>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在申请信贷融资或办理信用卡时，金融机构将其失信信息作为审核的重要参考因素。</w:t>
      </w:r>
    </w:p>
    <w:p>
      <w:pPr>
        <w:pStyle w:val="18"/>
        <w:keepNext w:val="0"/>
        <w:keepLines w:val="0"/>
        <w:pageBreakBefore w:val="0"/>
        <w:widowControl w:val="0"/>
        <w:numPr>
          <w:ilvl w:val="0"/>
          <w:numId w:val="0"/>
        </w:numPr>
        <w:shd w:val="clear" w:color="auto" w:fill="auto"/>
        <w:tabs>
          <w:tab w:val="left" w:pos="98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4" w:name="bookmark34"/>
      <w:bookmarkEnd w:id="24"/>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依法限制有不良信用记录的基金、基金管理人和从业人员 事政府出资产业投资基金相关活动。</w:t>
      </w:r>
    </w:p>
    <w:p>
      <w:pPr>
        <w:pStyle w:val="18"/>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5" w:name="bookmark35"/>
      <w:bookmarkEnd w:id="25"/>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依法对申请发行企业债券不予受理。</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在注册非金融企业债务融资工具时，加强管理，按照注册发行有关工作要求，强化信息披露，加强投资人保护机制管理, 防范有关风险。</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6" w:name="bookmark37"/>
      <w:bookmarkEnd w:id="26"/>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依法将失信信息作为公开发行公司债券核准的参考。</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7" w:name="bookmark38"/>
      <w:bookmarkEnd w:id="27"/>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在股票发行审核及在全国中小企业股份转让系统挂牌公开转让审核中，依法将失信信息作为参考。</w:t>
      </w:r>
    </w:p>
    <w:p>
      <w:pPr>
        <w:pStyle w:val="18"/>
        <w:keepNext w:val="0"/>
        <w:keepLines w:val="0"/>
        <w:pageBreakBefore w:val="0"/>
        <w:widowControl w:val="0"/>
        <w:numPr>
          <w:ilvl w:val="0"/>
          <w:numId w:val="0"/>
        </w:numPr>
        <w:shd w:val="clear" w:color="auto" w:fill="auto"/>
        <w:tabs>
          <w:tab w:val="left" w:pos="11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8" w:name="bookmark39"/>
      <w:bookmarkEnd w:id="28"/>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依法将失信信息作为证券公司、基金管理公司及期货公司的设立及股权或实际控制人变更审批或备案，私募投资基金管理人登记、重大事项变更以及基金备案的参考。</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9" w:name="bookmark40"/>
      <w:bookmarkEnd w:id="29"/>
      <w:r>
        <w:rPr>
          <w:rFonts w:hint="eastAsia" w:ascii="仿宋_GB2312" w:hAnsi="仿宋_GB2312" w:eastAsia="仿宋_GB2312" w:cs="仿宋_GB2312"/>
          <w:color w:val="000000"/>
          <w:spacing w:val="0"/>
          <w:w w:val="100"/>
          <w:position w:val="0"/>
          <w:sz w:val="32"/>
          <w:szCs w:val="32"/>
          <w:lang w:val="en-US" w:eastAsia="zh-CN"/>
        </w:rPr>
        <w:t>13.</w:t>
      </w:r>
      <w:r>
        <w:rPr>
          <w:rFonts w:hint="eastAsia" w:ascii="仿宋_GB2312" w:hAnsi="仿宋_GB2312" w:eastAsia="仿宋_GB2312" w:cs="仿宋_GB2312"/>
          <w:color w:val="000000"/>
          <w:spacing w:val="0"/>
          <w:w w:val="100"/>
          <w:position w:val="0"/>
          <w:sz w:val="32"/>
          <w:szCs w:val="32"/>
        </w:rPr>
        <w:t>依法将失信行为作为境内上市公司实行股权激励计划或相关人员成为股权激励对象事中事后监管的参考。</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30" w:name="bookmark41"/>
      <w:bookmarkEnd w:id="30"/>
      <w:r>
        <w:rPr>
          <w:rFonts w:hint="eastAsia" w:ascii="仿宋_GB2312" w:hAnsi="仿宋_GB2312" w:eastAsia="仿宋_GB2312" w:cs="仿宋_GB2312"/>
          <w:color w:val="000000"/>
          <w:spacing w:val="0"/>
          <w:w w:val="100"/>
          <w:position w:val="0"/>
          <w:sz w:val="32"/>
          <w:szCs w:val="32"/>
          <w:lang w:val="en-US" w:eastAsia="zh-CN"/>
        </w:rPr>
        <w:t>14.</w:t>
      </w:r>
      <w:r>
        <w:rPr>
          <w:rFonts w:hint="eastAsia" w:ascii="仿宋_GB2312" w:hAnsi="仿宋_GB2312" w:eastAsia="仿宋_GB2312" w:cs="仿宋_GB2312"/>
          <w:color w:val="000000"/>
          <w:spacing w:val="0"/>
          <w:w w:val="100"/>
          <w:position w:val="0"/>
          <w:sz w:val="32"/>
          <w:szCs w:val="32"/>
        </w:rPr>
        <w:t>依法将违法失信行为作为非上市公众公司重大资产重组审核的参考。</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31" w:name="bookmark42"/>
      <w:bookmarkEnd w:id="31"/>
      <w:r>
        <w:rPr>
          <w:rFonts w:hint="eastAsia" w:ascii="仿宋_GB2312" w:hAnsi="仿宋_GB2312" w:eastAsia="仿宋_GB2312" w:cs="仿宋_GB2312"/>
          <w:color w:val="000000"/>
          <w:spacing w:val="0"/>
          <w:w w:val="100"/>
          <w:position w:val="0"/>
          <w:sz w:val="32"/>
          <w:szCs w:val="32"/>
          <w:lang w:val="en-US" w:eastAsia="zh-CN"/>
        </w:rPr>
        <w:t>15.</w:t>
      </w:r>
      <w:r>
        <w:rPr>
          <w:rFonts w:hint="eastAsia" w:ascii="仿宋_GB2312" w:hAnsi="仿宋_GB2312" w:eastAsia="仿宋_GB2312" w:cs="仿宋_GB2312"/>
          <w:color w:val="000000"/>
          <w:spacing w:val="0"/>
          <w:w w:val="100"/>
          <w:position w:val="0"/>
          <w:sz w:val="32"/>
          <w:szCs w:val="32"/>
        </w:rPr>
        <w:t>在上市公司或者非上市公众公司收购的事中事后监管中,依法对有严重失信行为的企业予以重点关注。</w:t>
      </w:r>
    </w:p>
    <w:p>
      <w:pPr>
        <w:pStyle w:val="18"/>
        <w:keepNext w:val="0"/>
        <w:keepLines w:val="0"/>
        <w:pageBreakBefore w:val="0"/>
        <w:widowControl w:val="0"/>
        <w:numPr>
          <w:ilvl w:val="0"/>
          <w:numId w:val="0"/>
        </w:numPr>
        <w:shd w:val="clear" w:color="auto" w:fill="auto"/>
        <w:tabs>
          <w:tab w:val="left" w:pos="11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16.</w:t>
      </w:r>
      <w:r>
        <w:rPr>
          <w:rFonts w:hint="eastAsia" w:ascii="仿宋_GB2312" w:hAnsi="仿宋_GB2312" w:eastAsia="仿宋_GB2312" w:cs="仿宋_GB2312"/>
          <w:color w:val="000000"/>
          <w:spacing w:val="0"/>
          <w:w w:val="100"/>
          <w:position w:val="0"/>
          <w:sz w:val="32"/>
          <w:szCs w:val="32"/>
        </w:rPr>
        <w:t>依法将违法失信行为</w:t>
      </w:r>
      <w:r>
        <w:rPr>
          <w:rFonts w:hint="eastAsia" w:ascii="仿宋_GB2312" w:hAnsi="仿宋_GB2312" w:eastAsia="仿宋_GB2312" w:cs="仿宋_GB2312"/>
          <w:color w:val="000000"/>
          <w:spacing w:val="0"/>
          <w:w w:val="100"/>
          <w:position w:val="0"/>
          <w:sz w:val="32"/>
          <w:szCs w:val="32"/>
          <w:lang w:eastAsia="zh-CN"/>
        </w:rPr>
        <w:t>作为</w:t>
      </w:r>
      <w:r>
        <w:rPr>
          <w:rFonts w:hint="eastAsia" w:ascii="仿宋_GB2312" w:hAnsi="仿宋_GB2312" w:eastAsia="仿宋_GB2312" w:cs="仿宋_GB2312"/>
          <w:color w:val="000000"/>
          <w:spacing w:val="0"/>
          <w:w w:val="100"/>
          <w:position w:val="0"/>
          <w:sz w:val="32"/>
          <w:szCs w:val="32"/>
        </w:rPr>
        <w:t>独立基金销售机构审批的参考。</w:t>
      </w:r>
    </w:p>
    <w:p>
      <w:pPr>
        <w:pStyle w:val="18"/>
        <w:keepNext w:val="0"/>
        <w:keepLines w:val="0"/>
        <w:pageBreakBefore w:val="0"/>
        <w:widowControl w:val="0"/>
        <w:numPr>
          <w:ilvl w:val="0"/>
          <w:numId w:val="0"/>
        </w:numPr>
        <w:shd w:val="clear" w:color="auto" w:fill="auto"/>
        <w:tabs>
          <w:tab w:val="left" w:pos="11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2" w:name="bookmark44"/>
      <w:bookmarkEnd w:id="32"/>
      <w:r>
        <w:rPr>
          <w:rFonts w:hint="eastAsia" w:ascii="仿宋_GB2312" w:hAnsi="仿宋_GB2312" w:eastAsia="仿宋_GB2312" w:cs="仿宋_GB2312"/>
          <w:color w:val="000000"/>
          <w:spacing w:val="0"/>
          <w:w w:val="100"/>
          <w:position w:val="0"/>
          <w:sz w:val="32"/>
          <w:szCs w:val="32"/>
          <w:lang w:val="en-US" w:eastAsia="zh-CN"/>
        </w:rPr>
        <w:t>17.</w:t>
      </w:r>
      <w:r>
        <w:rPr>
          <w:rFonts w:hint="eastAsia" w:ascii="仿宋_GB2312" w:hAnsi="仿宋_GB2312" w:eastAsia="仿宋_GB2312" w:cs="仿宋_GB2312"/>
          <w:color w:val="000000"/>
          <w:spacing w:val="0"/>
          <w:w w:val="100"/>
          <w:position w:val="0"/>
          <w:sz w:val="32"/>
          <w:szCs w:val="32"/>
        </w:rPr>
        <w:t>依法将违法失信行为作为证券公司、基金管理公司、期货公司的董事、监事和高级管理人员及分支机构负责人任职审批或备案的参考。</w:t>
      </w:r>
    </w:p>
    <w:p>
      <w:pPr>
        <w:pStyle w:val="18"/>
        <w:keepNext w:val="0"/>
        <w:keepLines w:val="0"/>
        <w:pageBreakBefore w:val="0"/>
        <w:widowControl w:val="0"/>
        <w:numPr>
          <w:ilvl w:val="0"/>
          <w:numId w:val="0"/>
        </w:numPr>
        <w:shd w:val="clear" w:color="auto" w:fill="auto"/>
        <w:tabs>
          <w:tab w:val="left" w:pos="11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3" w:name="bookmark45"/>
      <w:bookmarkEnd w:id="33"/>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在办理相关海关业务时，对其进出口货物实施严密监管，加强单证审核、布控查验、后续稽查或统计监督核查。</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4" w:name="bookmark46"/>
      <w:bookmarkEnd w:id="34"/>
      <w:r>
        <w:rPr>
          <w:rFonts w:hint="eastAsia" w:ascii="仿宋_GB2312" w:hAnsi="仿宋_GB2312" w:eastAsia="仿宋_GB2312" w:cs="仿宋_GB2312"/>
          <w:color w:val="000000"/>
          <w:spacing w:val="0"/>
          <w:w w:val="100"/>
          <w:position w:val="0"/>
          <w:sz w:val="32"/>
          <w:szCs w:val="32"/>
          <w:lang w:val="en-US" w:eastAsia="zh-CN"/>
        </w:rPr>
        <w:t>19.</w:t>
      </w:r>
      <w:r>
        <w:rPr>
          <w:rFonts w:hint="eastAsia" w:ascii="仿宋_GB2312" w:hAnsi="仿宋_GB2312" w:eastAsia="仿宋_GB2312" w:cs="仿宋_GB2312"/>
          <w:color w:val="000000"/>
          <w:spacing w:val="0"/>
          <w:w w:val="100"/>
          <w:position w:val="0"/>
          <w:sz w:val="32"/>
          <w:szCs w:val="32"/>
        </w:rPr>
        <w:t>对申请适用海关认证企业管理的，依法不予通过认证，对已经成为认证企业的，按照规定下调企业信用等级。</w:t>
      </w:r>
    </w:p>
    <w:p>
      <w:pPr>
        <w:pStyle w:val="18"/>
        <w:keepNext w:val="0"/>
        <w:keepLines w:val="0"/>
        <w:pageBreakBefore w:val="0"/>
        <w:widowControl w:val="0"/>
        <w:numPr>
          <w:ilvl w:val="0"/>
          <w:numId w:val="0"/>
        </w:numPr>
        <w:shd w:val="clear" w:color="auto" w:fill="auto"/>
        <w:tabs>
          <w:tab w:val="left" w:pos="11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将失信主体列入税收管理重点监控对象，强化税收管理，提高监督检查频次。</w:t>
      </w:r>
    </w:p>
    <w:p>
      <w:pPr>
        <w:pStyle w:val="18"/>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pacing w:val="-20"/>
          <w:w w:val="90"/>
          <w:sz w:val="32"/>
          <w:szCs w:val="32"/>
        </w:rPr>
      </w:pPr>
      <w:bookmarkStart w:id="35" w:name="bookmark48"/>
      <w:bookmarkEnd w:id="35"/>
      <w:r>
        <w:rPr>
          <w:rFonts w:hint="eastAsia" w:ascii="仿宋_GB2312" w:hAnsi="仿宋_GB2312" w:eastAsia="仿宋_GB2312" w:cs="仿宋_GB2312"/>
          <w:color w:val="000000"/>
          <w:spacing w:val="0"/>
          <w:w w:val="100"/>
          <w:position w:val="0"/>
          <w:sz w:val="32"/>
          <w:szCs w:val="32"/>
          <w:lang w:val="en-US" w:eastAsia="zh-CN"/>
        </w:rPr>
        <w:t>21.</w:t>
      </w:r>
      <w:r>
        <w:rPr>
          <w:rFonts w:hint="eastAsia" w:ascii="仿宋_GB2312" w:hAnsi="仿宋_GB2312" w:eastAsia="仿宋_GB2312" w:cs="仿宋_GB2312"/>
          <w:color w:val="000000"/>
          <w:spacing w:val="0"/>
          <w:w w:val="100"/>
          <w:position w:val="0"/>
          <w:sz w:val="32"/>
          <w:szCs w:val="32"/>
        </w:rPr>
        <w:t>将失信主体的失信状况作为纳税信用评价的重</w:t>
      </w:r>
      <w:r>
        <w:rPr>
          <w:rFonts w:hint="eastAsia" w:ascii="仿宋_GB2312" w:hAnsi="仿宋_GB2312" w:eastAsia="仿宋_GB2312" w:cs="仿宋_GB2312"/>
          <w:color w:val="000000"/>
          <w:spacing w:val="-20"/>
          <w:w w:val="90"/>
          <w:position w:val="0"/>
          <w:sz w:val="32"/>
          <w:szCs w:val="32"/>
        </w:rPr>
        <w:t>要外部参考。</w:t>
      </w:r>
    </w:p>
    <w:p>
      <w:pPr>
        <w:pStyle w:val="18"/>
        <w:keepNext w:val="0"/>
        <w:keepLines w:val="0"/>
        <w:pageBreakBefore w:val="0"/>
        <w:widowControl w:val="0"/>
        <w:numPr>
          <w:ilvl w:val="0"/>
          <w:numId w:val="0"/>
        </w:numPr>
        <w:shd w:val="clear" w:color="auto" w:fill="auto"/>
        <w:tabs>
          <w:tab w:val="left" w:pos="113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6" w:name="bookmark49"/>
      <w:bookmarkEnd w:id="36"/>
      <w:r>
        <w:rPr>
          <w:rFonts w:hint="eastAsia" w:ascii="仿宋_GB2312" w:hAnsi="仿宋_GB2312" w:eastAsia="仿宋_GB2312" w:cs="仿宋_GB2312"/>
          <w:color w:val="000000"/>
          <w:spacing w:val="0"/>
          <w:w w:val="100"/>
          <w:position w:val="0"/>
          <w:sz w:val="32"/>
          <w:szCs w:val="32"/>
          <w:lang w:val="en-US" w:eastAsia="zh-CN"/>
        </w:rPr>
        <w:t>22.</w:t>
      </w:r>
      <w:r>
        <w:rPr>
          <w:rFonts w:hint="eastAsia" w:ascii="仿宋_GB2312" w:hAnsi="仿宋_GB2312" w:eastAsia="仿宋_GB2312" w:cs="仿宋_GB2312"/>
          <w:color w:val="000000"/>
          <w:spacing w:val="0"/>
          <w:w w:val="100"/>
          <w:position w:val="0"/>
          <w:sz w:val="32"/>
          <w:szCs w:val="32"/>
        </w:rPr>
        <w:t>依法限制失信被执行人新建、扩建高档装修房屋，购买非经营必须车辆等非生活和工作必需的消费行为。</w:t>
      </w:r>
    </w:p>
    <w:p>
      <w:pPr>
        <w:pStyle w:val="18"/>
        <w:keepNext w:val="0"/>
        <w:keepLines w:val="0"/>
        <w:pageBreakBefore w:val="0"/>
        <w:widowControl w:val="0"/>
        <w:numPr>
          <w:ilvl w:val="0"/>
          <w:numId w:val="0"/>
        </w:numPr>
        <w:shd w:val="clear" w:color="auto" w:fill="auto"/>
        <w:tabs>
          <w:tab w:val="left" w:pos="115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pacing w:val="-28"/>
          <w:w w:val="90"/>
          <w:sz w:val="32"/>
          <w:szCs w:val="32"/>
        </w:rPr>
      </w:pPr>
      <w:bookmarkStart w:id="37" w:name="bookmark50"/>
      <w:bookmarkEnd w:id="37"/>
      <w:r>
        <w:rPr>
          <w:rFonts w:hint="eastAsia" w:ascii="仿宋_GB2312" w:hAnsi="仿宋_GB2312" w:eastAsia="仿宋_GB2312" w:cs="仿宋_GB2312"/>
          <w:color w:val="000000"/>
          <w:spacing w:val="0"/>
          <w:w w:val="100"/>
          <w:position w:val="0"/>
          <w:sz w:val="32"/>
          <w:szCs w:val="32"/>
          <w:lang w:val="en-US" w:eastAsia="zh-CN"/>
        </w:rPr>
        <w:t>23.</w:t>
      </w:r>
      <w:r>
        <w:rPr>
          <w:rFonts w:hint="eastAsia" w:ascii="仿宋_GB2312" w:hAnsi="仿宋_GB2312" w:eastAsia="仿宋_GB2312" w:cs="仿宋_GB2312"/>
          <w:color w:val="000000"/>
          <w:spacing w:val="0"/>
          <w:w w:val="100"/>
          <w:position w:val="0"/>
          <w:sz w:val="32"/>
          <w:szCs w:val="32"/>
        </w:rPr>
        <w:t>依法限制新的科技扶持项目，将其严重失信行为计入科研信用记录，并依据有关规定暂停审批其新的科技项目扶持</w:t>
      </w:r>
      <w:r>
        <w:rPr>
          <w:rFonts w:hint="eastAsia" w:ascii="仿宋_GB2312" w:hAnsi="仿宋_GB2312" w:eastAsia="仿宋_GB2312" w:cs="仿宋_GB2312"/>
          <w:color w:val="000000"/>
          <w:spacing w:val="-28"/>
          <w:w w:val="90"/>
          <w:position w:val="0"/>
          <w:sz w:val="32"/>
          <w:szCs w:val="32"/>
        </w:rPr>
        <w:t>资金申报等。</w:t>
      </w:r>
    </w:p>
    <w:p>
      <w:pPr>
        <w:pStyle w:val="18"/>
        <w:keepNext w:val="0"/>
        <w:keepLines w:val="0"/>
        <w:pageBreakBefore w:val="0"/>
        <w:widowControl w:val="0"/>
        <w:numPr>
          <w:ilvl w:val="0"/>
          <w:numId w:val="0"/>
        </w:numPr>
        <w:shd w:val="clear" w:color="auto" w:fill="auto"/>
        <w:tabs>
          <w:tab w:val="left" w:pos="115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8" w:name="bookmark51"/>
      <w:bookmarkEnd w:id="38"/>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按程序及时撤销相关表謬奖励，取消参加评先评优的资格。</w:t>
      </w:r>
    </w:p>
    <w:p>
      <w:pPr>
        <w:pStyle w:val="18"/>
        <w:keepNext w:val="0"/>
        <w:keepLines w:val="0"/>
        <w:pageBreakBefore w:val="0"/>
        <w:widowControl w:val="0"/>
        <w:numPr>
          <w:ilvl w:val="0"/>
          <w:numId w:val="0"/>
        </w:numPr>
        <w:shd w:val="clear" w:color="auto" w:fill="auto"/>
        <w:tabs>
          <w:tab w:val="left" w:pos="115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9" w:name="bookmark52"/>
      <w:bookmarkEnd w:id="39"/>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严重失信主体是个人的，依法限制登记为事业单位法定代表人；严重失信主体是企业的，该企业法定代表人依法限制登记为事业单位法定代表人。</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40" w:name="bookmark53"/>
      <w:bookmarkEnd w:id="40"/>
      <w:r>
        <w:rPr>
          <w:rFonts w:hint="eastAsia" w:ascii="仿宋_GB2312" w:hAnsi="仿宋_GB2312" w:eastAsia="仿宋_GB2312" w:cs="仿宋_GB2312"/>
          <w:color w:val="000000"/>
          <w:spacing w:val="0"/>
          <w:w w:val="100"/>
          <w:position w:val="0"/>
          <w:sz w:val="32"/>
          <w:szCs w:val="32"/>
          <w:lang w:val="en-US" w:eastAsia="zh-CN"/>
        </w:rPr>
        <w:t>26.</w:t>
      </w:r>
      <w:r>
        <w:rPr>
          <w:rFonts w:hint="eastAsia" w:ascii="仿宋_GB2312" w:hAnsi="仿宋_GB2312" w:eastAsia="仿宋_GB2312" w:cs="仿宋_GB2312"/>
          <w:color w:val="000000"/>
          <w:spacing w:val="0"/>
          <w:w w:val="100"/>
          <w:position w:val="0"/>
          <w:sz w:val="32"/>
          <w:szCs w:val="32"/>
        </w:rPr>
        <w:t>依法限制招录（聘）为公务员或事业单位工作人员。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41" w:name="bookmark54"/>
      <w:r>
        <w:rPr>
          <w:rFonts w:hint="eastAsia" w:ascii="黑体" w:hAnsi="黑体" w:eastAsia="黑体" w:cs="黑体"/>
          <w:color w:val="000000"/>
          <w:spacing w:val="0"/>
          <w:w w:val="100"/>
          <w:position w:val="0"/>
          <w:sz w:val="32"/>
          <w:szCs w:val="32"/>
        </w:rPr>
        <w:t>三</w:t>
      </w:r>
      <w:bookmarkEnd w:id="41"/>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联合惩戒的实施方式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公共资源交易平台整合部</w:t>
      </w:r>
      <w:r>
        <w:rPr>
          <w:rFonts w:hint="eastAsia" w:ascii="仿宋_GB2312" w:hAnsi="仿宋_GB2312" w:eastAsia="仿宋_GB2312" w:cs="仿宋_GB2312"/>
          <w:color w:val="000000"/>
          <w:spacing w:val="0"/>
          <w:w w:val="100"/>
          <w:position w:val="0"/>
          <w:sz w:val="32"/>
          <w:szCs w:val="32"/>
          <w:lang w:eastAsia="zh-CN"/>
        </w:rPr>
        <w:t>际</w:t>
      </w:r>
      <w:r>
        <w:rPr>
          <w:rFonts w:hint="eastAsia" w:ascii="仿宋_GB2312" w:hAnsi="仿宋_GB2312" w:eastAsia="仿宋_GB2312" w:cs="仿宋_GB2312"/>
          <w:color w:val="000000"/>
          <w:spacing w:val="0"/>
          <w:w w:val="100"/>
          <w:position w:val="0"/>
          <w:sz w:val="32"/>
          <w:szCs w:val="32"/>
        </w:rPr>
        <w:t>联席会议成员单位通过全国公共资源交易平台，记录失信主体信息。公共资源交易平台整合部际联席会议以外的其他部门和单位根据各自行政许可、行政处罚、日常监管等情况定期向发展改革委提供严重违法失信主体信息，由发展改革委汇总后上传全国公共资源交易平台。全国公共资源交易平台与全国信用信息共享平台实现数据交互共享，并通过全国公共资源交易平台网站</w:t>
      </w:r>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zh-CN" w:eastAsia="zh-CN" w:bidi="zh-CN"/>
        </w:rPr>
        <w:t>信</w:t>
      </w:r>
      <w:r>
        <w:rPr>
          <w:rFonts w:hint="eastAsia" w:ascii="仿宋_GB2312" w:hAnsi="仿宋_GB2312" w:eastAsia="仿宋_GB2312" w:cs="仿宋_GB2312"/>
          <w:color w:val="000000"/>
          <w:spacing w:val="0"/>
          <w:w w:val="100"/>
          <w:position w:val="0"/>
          <w:sz w:val="32"/>
          <w:szCs w:val="32"/>
        </w:rPr>
        <w:t>用中国</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网站、国家企业信用信息公示系统向社会公布。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各部门和单位对公共资源交易领域和其他相关领域存在严重违法失信行为的失信企业、失信相关人</w:t>
      </w:r>
      <w:r>
        <w:rPr>
          <w:rFonts w:hint="eastAsia" w:ascii="仿宋_GB2312" w:hAnsi="仿宋_GB2312" w:eastAsia="仿宋_GB2312" w:cs="仿宋_GB2312"/>
          <w:color w:val="000000"/>
          <w:spacing w:val="0"/>
          <w:w w:val="100"/>
          <w:position w:val="0"/>
          <w:sz w:val="32"/>
          <w:szCs w:val="32"/>
          <w:lang w:val="zh-CN" w:eastAsia="zh-CN" w:bidi="zh-CN"/>
        </w:rPr>
        <w:t>“黑</w:t>
      </w:r>
      <w:r>
        <w:rPr>
          <w:rFonts w:hint="eastAsia" w:ascii="仿宋_GB2312" w:hAnsi="仿宋_GB2312" w:eastAsia="仿宋_GB2312" w:cs="仿宋_GB2312"/>
          <w:color w:val="000000"/>
          <w:spacing w:val="0"/>
          <w:w w:val="100"/>
          <w:position w:val="0"/>
          <w:sz w:val="32"/>
          <w:szCs w:val="32"/>
        </w:rPr>
        <w:t>名单”进行动态管理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及时更新相关信息。对于从公共资源交易领域严重违法失信</w:t>
      </w:r>
      <w:r>
        <w:rPr>
          <w:rFonts w:hint="eastAsia" w:ascii="仿宋_GB2312" w:hAnsi="仿宋_GB2312" w:eastAsia="仿宋_GB2312" w:cs="仿宋_GB2312"/>
          <w:color w:val="000000"/>
          <w:spacing w:val="0"/>
          <w:w w:val="100"/>
          <w:position w:val="0"/>
          <w:sz w:val="32"/>
          <w:szCs w:val="32"/>
          <w:lang w:val="zh-CN" w:eastAsia="zh-CN" w:bidi="zh-CN"/>
        </w:rPr>
        <w:t>“黑名单"</w:t>
      </w:r>
      <w:r>
        <w:rPr>
          <w:rFonts w:hint="eastAsia" w:ascii="仿宋_GB2312" w:hAnsi="仿宋_GB2312" w:eastAsia="仿宋_GB2312" w:cs="仿宋_GB2312"/>
          <w:color w:val="000000"/>
          <w:spacing w:val="0"/>
          <w:w w:val="100"/>
          <w:position w:val="0"/>
          <w:sz w:val="32"/>
          <w:szCs w:val="32"/>
        </w:rPr>
        <w:t>中移除的市场主体及其有关人员，应及时停止实施惩戒措施。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各部门和单位按照本备忘录约定的内容，依法依规对失信企业及其失信相关人实施联合惩戒。</w:t>
      </w:r>
    </w:p>
    <w:p>
      <w:pPr>
        <w:pStyle w:val="18"/>
        <w:keepNext w:val="0"/>
        <w:keepLines w:val="0"/>
        <w:pageBreakBefore w:val="0"/>
        <w:widowControl w:val="0"/>
        <w:shd w:val="clear" w:color="auto" w:fill="auto"/>
        <w:tabs>
          <w:tab w:val="left" w:pos="1190"/>
        </w:tabs>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42" w:name="bookmark55"/>
      <w:r>
        <w:rPr>
          <w:rFonts w:hint="eastAsia" w:ascii="黑体" w:hAnsi="黑体" w:eastAsia="黑体" w:cs="黑体"/>
          <w:color w:val="000000"/>
          <w:spacing w:val="0"/>
          <w:w w:val="100"/>
          <w:position w:val="0"/>
          <w:sz w:val="32"/>
          <w:szCs w:val="32"/>
        </w:rPr>
        <w:t>四</w:t>
      </w:r>
      <w:bookmarkEnd w:id="42"/>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其他事宜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各部门和单位应密切协作，积极落实本备忘录，制定失信信息的使用、撤销、管理、监督的相关实施细则和操作流程，指导本系统各级单位依法依规实施联合惩戒措施。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本备忘录实施过程中涉及的协同配合问题，由各部门和单位协商解决。</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本备忘录签署后，各项惩戒措施依据的法律、法规、规章及规范性文件有修改或调整的，以修改后的法律、法规、规章及规范性文件为准。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 w:eastAsia="zh-CN"/>
        </w:rPr>
        <w:sectPr>
          <w:footerReference r:id="rId3" w:type="default"/>
          <w:pgSz w:w="11906" w:h="16838"/>
          <w:pgMar w:top="1871" w:right="1361" w:bottom="1871" w:left="1361" w:header="851" w:footer="992" w:gutter="0"/>
          <w:pgNumType w:fmt="decimal"/>
          <w:cols w:space="425" w:num="1"/>
          <w:docGrid w:type="lines" w:linePitch="312" w:charSpace="0"/>
        </w:sectPr>
      </w:pPr>
    </w:p>
    <w:p>
      <w:pPr>
        <w:pStyle w:val="18"/>
        <w:keepNext w:val="0"/>
        <w:keepLines w:val="0"/>
        <w:widowControl w:val="0"/>
        <w:shd w:val="clear" w:color="auto" w:fill="auto"/>
        <w:bidi w:val="0"/>
        <w:spacing w:before="80" w:after="240" w:line="240" w:lineRule="auto"/>
        <w:ind w:left="0" w:right="0" w:firstLine="280" w:firstLineChars="100"/>
        <w:jc w:val="left"/>
        <w:rPr>
          <w:rFonts w:hint="default" w:eastAsia="宋体"/>
          <w:lang w:val="en-US" w:eastAsia="zh-CN"/>
        </w:rPr>
      </w:pPr>
      <w:r>
        <w:rPr>
          <w:color w:val="000000"/>
          <w:spacing w:val="0"/>
          <w:w w:val="100"/>
          <w:position w:val="0"/>
        </w:rPr>
        <w:t>附</w:t>
      </w:r>
      <w:r>
        <w:rPr>
          <w:rFonts w:hint="eastAsia"/>
          <w:color w:val="000000"/>
          <w:spacing w:val="0"/>
          <w:w w:val="100"/>
          <w:position w:val="0"/>
          <w:lang w:eastAsia="zh-CN"/>
        </w:rPr>
        <w:t>件</w:t>
      </w:r>
      <w:r>
        <w:rPr>
          <w:rFonts w:hint="eastAsia"/>
          <w:color w:val="000000"/>
          <w:spacing w:val="0"/>
          <w:w w:val="100"/>
          <w:position w:val="0"/>
          <w:lang w:val="en-US" w:eastAsia="zh-CN"/>
        </w:rPr>
        <w:t>2：</w:t>
      </w:r>
    </w:p>
    <w:p>
      <w:pPr>
        <w:pStyle w:val="19"/>
        <w:keepNext w:val="0"/>
        <w:keepLines w:val="0"/>
        <w:widowControl w:val="0"/>
        <w:shd w:val="clear" w:color="auto" w:fill="auto"/>
        <w:bidi w:val="0"/>
        <w:spacing w:before="0" w:line="240" w:lineRule="auto"/>
        <w:ind w:left="0" w:right="0" w:firstLine="0"/>
        <w:jc w:val="center"/>
      </w:pPr>
      <w:r>
        <w:rPr>
          <w:color w:val="000000"/>
          <w:spacing w:val="0"/>
          <w:w w:val="100"/>
          <w:position w:val="0"/>
        </w:rPr>
        <w:t>联合惩戒措施相关依据和实施部门</w:t>
      </w:r>
    </w:p>
    <w:tbl>
      <w:tblPr>
        <w:tblStyle w:val="6"/>
        <w:tblW w:w="14194" w:type="dxa"/>
        <w:jc w:val="center"/>
        <w:tblLayout w:type="fixed"/>
        <w:tblCellMar>
          <w:top w:w="0" w:type="dxa"/>
          <w:left w:w="10" w:type="dxa"/>
          <w:bottom w:w="0" w:type="dxa"/>
          <w:right w:w="10" w:type="dxa"/>
        </w:tblCellMar>
      </w:tblPr>
      <w:tblGrid>
        <w:gridCol w:w="2242"/>
        <w:gridCol w:w="9917"/>
        <w:gridCol w:w="5"/>
        <w:gridCol w:w="2030"/>
      </w:tblGrid>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惩戒措施</w:t>
            </w:r>
          </w:p>
        </w:tc>
        <w:tc>
          <w:tcPr>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实施部门</w:t>
            </w:r>
          </w:p>
        </w:tc>
      </w:tr>
      <w:tr>
        <w:tblPrEx>
          <w:tblCellMar>
            <w:top w:w="0" w:type="dxa"/>
            <w:left w:w="10" w:type="dxa"/>
            <w:bottom w:w="0" w:type="dxa"/>
            <w:right w:w="10" w:type="dxa"/>
          </w:tblCellMar>
        </w:tblPrEx>
        <w:trPr>
          <w:trHeight w:val="509"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（一）公共资源交易领域</w:t>
            </w:r>
          </w:p>
        </w:tc>
      </w:tr>
      <w:tr>
        <w:tblPrEx>
          <w:tblCellMar>
            <w:top w:w="0" w:type="dxa"/>
            <w:left w:w="10" w:type="dxa"/>
            <w:bottom w:w="0" w:type="dxa"/>
            <w:right w:w="10" w:type="dxa"/>
          </w:tblCellMar>
        </w:tblPrEx>
        <w:trPr>
          <w:trHeight w:val="6004" w:hRule="exact"/>
          <w:jc w:val="center"/>
        </w:trPr>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numPr>
                <w:ilvl w:val="0"/>
                <w:numId w:val="0"/>
              </w:numPr>
              <w:shd w:val="clear" w:color="auto" w:fill="auto"/>
              <w:tabs>
                <w:tab w:val="left" w:pos="149"/>
              </w:tabs>
              <w:bidi w:val="0"/>
              <w:spacing w:before="0" w:after="0" w:line="319" w:lineRule="exact"/>
              <w:ind w:leftChars="0" w:right="0" w:rightChars="0"/>
              <w:jc w:val="left"/>
              <w:rPr>
                <w:sz w:val="19"/>
                <w:szCs w:val="19"/>
              </w:rPr>
            </w:pPr>
            <w:r>
              <w:rPr>
                <w:rFonts w:hint="eastAsia"/>
                <w:color w:val="000000"/>
                <w:spacing w:val="0"/>
                <w:w w:val="100"/>
                <w:position w:val="0"/>
                <w:sz w:val="19"/>
                <w:szCs w:val="19"/>
                <w:lang w:val="en-US" w:eastAsia="zh-CN"/>
              </w:rPr>
              <w:t>1、</w:t>
            </w:r>
            <w:r>
              <w:rPr>
                <w:color w:val="000000"/>
                <w:spacing w:val="0"/>
                <w:w w:val="100"/>
                <w:position w:val="0"/>
                <w:sz w:val="19"/>
                <w:szCs w:val="19"/>
              </w:rPr>
              <w:t>依法限制失信企业参与工程建设项目招标投标；</w:t>
            </w:r>
          </w:p>
          <w:p>
            <w:pPr>
              <w:pStyle w:val="20"/>
              <w:keepNext w:val="0"/>
              <w:keepLines w:val="0"/>
              <w:widowControl w:val="0"/>
              <w:numPr>
                <w:ilvl w:val="0"/>
                <w:numId w:val="0"/>
              </w:numPr>
              <w:shd w:val="clear" w:color="auto" w:fill="auto"/>
              <w:tabs>
                <w:tab w:val="left" w:pos="158"/>
              </w:tabs>
              <w:bidi w:val="0"/>
              <w:spacing w:before="0" w:after="0" w:line="320" w:lineRule="exact"/>
              <w:ind w:leftChars="0" w:right="0" w:rightChars="0"/>
              <w:jc w:val="left"/>
              <w:rPr>
                <w:sz w:val="19"/>
                <w:szCs w:val="19"/>
              </w:rPr>
            </w:pPr>
            <w:r>
              <w:rPr>
                <w:rFonts w:hint="eastAsia"/>
                <w:color w:val="000000"/>
                <w:spacing w:val="0"/>
                <w:w w:val="100"/>
                <w:position w:val="0"/>
                <w:sz w:val="19"/>
                <w:szCs w:val="19"/>
                <w:lang w:val="en-US" w:eastAsia="zh-CN"/>
              </w:rPr>
              <w:t>2、</w:t>
            </w:r>
            <w:r>
              <w:rPr>
                <w:color w:val="000000"/>
                <w:spacing w:val="0"/>
                <w:w w:val="100"/>
                <w:position w:val="0"/>
                <w:sz w:val="19"/>
                <w:szCs w:val="19"/>
              </w:rPr>
              <w:t>依法限制失信企业参与政府采购活动；</w:t>
            </w:r>
          </w:p>
          <w:p>
            <w:pPr>
              <w:pStyle w:val="20"/>
              <w:keepNext w:val="0"/>
              <w:keepLines w:val="0"/>
              <w:widowControl w:val="0"/>
              <w:numPr>
                <w:ilvl w:val="0"/>
                <w:numId w:val="0"/>
              </w:numPr>
              <w:shd w:val="clear" w:color="auto" w:fill="auto"/>
              <w:tabs>
                <w:tab w:val="left" w:pos="163"/>
              </w:tabs>
              <w:bidi w:val="0"/>
              <w:spacing w:before="0" w:after="0" w:line="320" w:lineRule="exact"/>
              <w:ind w:leftChars="0" w:right="0" w:rightChars="0"/>
              <w:jc w:val="left"/>
              <w:rPr>
                <w:sz w:val="19"/>
                <w:szCs w:val="19"/>
              </w:rPr>
            </w:pPr>
            <w:r>
              <w:rPr>
                <w:rFonts w:hint="eastAsia"/>
                <w:color w:val="000000"/>
                <w:spacing w:val="0"/>
                <w:w w:val="100"/>
                <w:position w:val="0"/>
                <w:sz w:val="19"/>
                <w:szCs w:val="19"/>
                <w:lang w:val="en-US" w:eastAsia="zh-CN"/>
              </w:rPr>
              <w:t>3、</w:t>
            </w:r>
            <w:r>
              <w:rPr>
                <w:color w:val="000000"/>
                <w:spacing w:val="0"/>
                <w:w w:val="100"/>
                <w:position w:val="0"/>
                <w:sz w:val="19"/>
                <w:szCs w:val="19"/>
              </w:rPr>
              <w:t>依法限制失信企业参与土地使用权和矿业权出让；</w:t>
            </w:r>
          </w:p>
          <w:p>
            <w:pPr>
              <w:pStyle w:val="20"/>
              <w:keepNext w:val="0"/>
              <w:keepLines w:val="0"/>
              <w:widowControl w:val="0"/>
              <w:numPr>
                <w:ilvl w:val="0"/>
                <w:numId w:val="0"/>
              </w:numPr>
              <w:shd w:val="clear" w:color="auto" w:fill="auto"/>
              <w:tabs>
                <w:tab w:val="left" w:pos="158"/>
              </w:tabs>
              <w:bidi w:val="0"/>
              <w:spacing w:before="0" w:after="0" w:line="320" w:lineRule="exact"/>
              <w:ind w:leftChars="0" w:right="0" w:rightChars="0"/>
              <w:jc w:val="left"/>
              <w:rPr>
                <w:sz w:val="19"/>
                <w:szCs w:val="19"/>
              </w:rPr>
            </w:pPr>
            <w:r>
              <w:rPr>
                <w:rFonts w:hint="eastAsia"/>
                <w:color w:val="000000"/>
                <w:spacing w:val="0"/>
                <w:w w:val="100"/>
                <w:position w:val="0"/>
                <w:sz w:val="19"/>
                <w:szCs w:val="19"/>
                <w:lang w:val="en-US" w:eastAsia="zh-CN"/>
              </w:rPr>
              <w:t>4、</w:t>
            </w:r>
            <w:r>
              <w:rPr>
                <w:color w:val="000000"/>
                <w:spacing w:val="0"/>
                <w:w w:val="100"/>
                <w:position w:val="0"/>
                <w:sz w:val="19"/>
                <w:szCs w:val="19"/>
              </w:rPr>
              <w:t>依法限制失信企业参与国有产权交易活动；</w:t>
            </w:r>
          </w:p>
          <w:p>
            <w:pPr>
              <w:pStyle w:val="20"/>
              <w:keepNext w:val="0"/>
              <w:keepLines w:val="0"/>
              <w:widowControl w:val="0"/>
              <w:numPr>
                <w:ilvl w:val="0"/>
                <w:numId w:val="0"/>
              </w:numPr>
              <w:shd w:val="clear" w:color="auto" w:fill="auto"/>
              <w:tabs>
                <w:tab w:val="left" w:pos="163"/>
              </w:tabs>
              <w:bidi w:val="0"/>
              <w:spacing w:before="0" w:after="0" w:line="320" w:lineRule="exact"/>
              <w:ind w:leftChars="0" w:right="0" w:rightChars="0"/>
              <w:jc w:val="left"/>
              <w:rPr>
                <w:sz w:val="19"/>
                <w:szCs w:val="19"/>
              </w:rPr>
            </w:pPr>
            <w:r>
              <w:rPr>
                <w:rFonts w:hint="eastAsia"/>
                <w:color w:val="000000"/>
                <w:spacing w:val="0"/>
                <w:w w:val="100"/>
                <w:position w:val="0"/>
                <w:sz w:val="19"/>
                <w:szCs w:val="19"/>
                <w:lang w:val="en-US" w:eastAsia="zh-CN"/>
              </w:rPr>
              <w:t>5、</w:t>
            </w:r>
            <w:r>
              <w:rPr>
                <w:color w:val="000000"/>
                <w:spacing w:val="0"/>
                <w:w w:val="100"/>
                <w:position w:val="0"/>
                <w:sz w:val="19"/>
                <w:szCs w:val="19"/>
              </w:rPr>
              <w:t>依法限制失信企业参与药品和医疗器械集中采购及配送活动；</w:t>
            </w:r>
          </w:p>
          <w:p>
            <w:pPr>
              <w:pStyle w:val="20"/>
              <w:keepNext w:val="0"/>
              <w:keepLines w:val="0"/>
              <w:widowControl w:val="0"/>
              <w:numPr>
                <w:ilvl w:val="0"/>
                <w:numId w:val="0"/>
              </w:numPr>
              <w:shd w:val="clear" w:color="auto" w:fill="auto"/>
              <w:tabs>
                <w:tab w:val="left" w:pos="158"/>
              </w:tabs>
              <w:bidi w:val="0"/>
              <w:spacing w:before="0" w:after="0" w:line="322" w:lineRule="exact"/>
              <w:ind w:leftChars="0" w:right="0" w:rightChars="0"/>
              <w:jc w:val="left"/>
              <w:rPr>
                <w:sz w:val="19"/>
                <w:szCs w:val="19"/>
              </w:rPr>
            </w:pPr>
            <w:r>
              <w:rPr>
                <w:rFonts w:hint="eastAsia"/>
                <w:color w:val="000000"/>
                <w:spacing w:val="0"/>
                <w:w w:val="100"/>
                <w:position w:val="0"/>
                <w:sz w:val="19"/>
                <w:szCs w:val="19"/>
                <w:lang w:val="en-US" w:eastAsia="zh-CN"/>
              </w:rPr>
              <w:t>6、</w:t>
            </w:r>
            <w:r>
              <w:rPr>
                <w:color w:val="000000"/>
                <w:spacing w:val="0"/>
                <w:w w:val="100"/>
                <w:position w:val="0"/>
                <w:sz w:val="19"/>
                <w:szCs w:val="19"/>
              </w:rPr>
              <w:t>依法限制失信企业参与二类疫苗釆购活动；</w:t>
            </w:r>
          </w:p>
          <w:p>
            <w:pPr>
              <w:pStyle w:val="21"/>
              <w:keepNext w:val="0"/>
              <w:keepLines w:val="0"/>
              <w:widowControl w:val="0"/>
              <w:shd w:val="clear" w:color="auto" w:fill="auto"/>
              <w:bidi w:val="0"/>
              <w:spacing w:before="0" w:after="0" w:line="321" w:lineRule="exact"/>
              <w:ind w:left="0" w:right="0" w:firstLine="0"/>
              <w:jc w:val="left"/>
            </w:pPr>
            <w:r>
              <w:rPr>
                <w:rFonts w:hint="eastAsia"/>
                <w:color w:val="000000"/>
                <w:spacing w:val="0"/>
                <w:w w:val="100"/>
                <w:position w:val="0"/>
                <w:sz w:val="19"/>
                <w:szCs w:val="19"/>
                <w:lang w:val="en-US" w:eastAsia="zh-CN"/>
              </w:rPr>
              <w:t>7、</w:t>
            </w:r>
            <w:r>
              <w:rPr>
                <w:color w:val="000000"/>
                <w:spacing w:val="0"/>
                <w:w w:val="100"/>
                <w:position w:val="0"/>
                <w:sz w:val="19"/>
                <w:szCs w:val="19"/>
              </w:rPr>
              <w:t>依法限制失信企业</w:t>
            </w:r>
            <w:r>
              <w:rPr>
                <w:color w:val="000000"/>
                <w:spacing w:val="0"/>
                <w:w w:val="100"/>
                <w:position w:val="0"/>
              </w:rPr>
              <w:t>参与林权流转；</w:t>
            </w:r>
          </w:p>
          <w:p>
            <w:pPr>
              <w:pStyle w:val="20"/>
              <w:keepNext w:val="0"/>
              <w:keepLines w:val="0"/>
              <w:widowControl w:val="0"/>
              <w:numPr>
                <w:ilvl w:val="0"/>
                <w:numId w:val="0"/>
              </w:numPr>
              <w:shd w:val="clear" w:color="auto" w:fill="auto"/>
              <w:tabs>
                <w:tab w:val="left" w:pos="158"/>
              </w:tabs>
              <w:bidi w:val="0"/>
              <w:spacing w:before="0" w:after="0" w:line="320" w:lineRule="exact"/>
              <w:ind w:leftChars="0" w:right="0" w:rightChars="0"/>
              <w:jc w:val="left"/>
              <w:rPr>
                <w:sz w:val="19"/>
                <w:szCs w:val="19"/>
              </w:rPr>
            </w:pPr>
          </w:p>
        </w:tc>
        <w:tc>
          <w:tcPr>
            <w:gridSpan w:val="2"/>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6" w:lineRule="exact"/>
              <w:ind w:left="0" w:right="0" w:firstLine="20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《国务院关于建立完善守信联合激励和失信联合惩戒制度加快推进社会诚信建设的指导意见》（国发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 33号）</w:t>
            </w:r>
          </w:p>
          <w:p>
            <w:pPr>
              <w:pStyle w:val="20"/>
              <w:keepNext w:val="0"/>
              <w:keepLines w:val="0"/>
              <w:widowControl w:val="0"/>
              <w:shd w:val="clear" w:color="auto" w:fill="auto"/>
              <w:bidi w:val="0"/>
              <w:spacing w:before="0" w:after="0" w:line="316" w:lineRule="exact"/>
              <w:ind w:right="0"/>
              <w:jc w:val="both"/>
              <w:rPr>
                <w:sz w:val="19"/>
                <w:szCs w:val="19"/>
              </w:rPr>
            </w:pPr>
            <w:r>
              <w:rPr>
                <w:color w:val="000000"/>
                <w:spacing w:val="0"/>
                <w:w w:val="100"/>
                <w:position w:val="0"/>
                <w:sz w:val="19"/>
                <w:szCs w:val="19"/>
              </w:rPr>
              <w:t>（十）依法依规加强对失信行为的行政性约束和惩戒。对严重失信主体，各地区、各有关部门应将其列为重点监管对象，依法依规釆取行政性约束和惩戒措施。从严审核行政许可审批项目，从严控制生产许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p>
            <w:pPr>
              <w:pStyle w:val="20"/>
              <w:keepNext w:val="0"/>
              <w:keepLines w:val="0"/>
              <w:widowControl w:val="0"/>
              <w:shd w:val="clear" w:color="auto" w:fill="auto"/>
              <w:bidi w:val="0"/>
              <w:spacing w:before="0" w:after="0" w:line="316" w:lineRule="exact"/>
              <w:ind w:left="0" w:right="0" w:firstLine="180"/>
              <w:jc w:val="left"/>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《国务院办公厅关于印发整合建立统一的公共资源交易平台工作方案的通知》（国办发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5</w:t>
            </w:r>
            <w:r>
              <w:rPr>
                <w:b w:val="0"/>
                <w:bCs w:val="0"/>
                <w:i w:val="0"/>
                <w:iCs w:val="0"/>
                <w:smallCaps w:val="0"/>
                <w:strike w:val="0"/>
                <w:color w:val="000000"/>
                <w:spacing w:val="0"/>
                <w:w w:val="100"/>
                <w:position w:val="0"/>
                <w:sz w:val="19"/>
                <w:szCs w:val="19"/>
              </w:rPr>
              <w:t>〕 63号）</w:t>
            </w:r>
          </w:p>
          <w:p>
            <w:pPr>
              <w:pStyle w:val="20"/>
              <w:keepNext w:val="0"/>
              <w:keepLines w:val="0"/>
              <w:widowControl w:val="0"/>
              <w:numPr>
                <w:ilvl w:val="0"/>
                <w:numId w:val="1"/>
              </w:numPr>
              <w:shd w:val="clear" w:color="auto" w:fill="auto"/>
              <w:bidi w:val="0"/>
              <w:spacing w:before="0" w:after="0" w:line="316"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整合范围。整合分散设立的工程建设项目招标投标、土地使用权和矿业权出让、国有产权交易、 政府采购等交易平台，在统一的平台体系上实现信息和资源共享，依法推进公共资源交易高效规范运行。积极有序推进其他公共资源交易纳入统一平台体系。</w:t>
            </w:r>
          </w:p>
          <w:p>
            <w:pPr>
              <w:pStyle w:val="20"/>
              <w:keepNext w:val="0"/>
              <w:keepLines w:val="0"/>
              <w:widowControl w:val="0"/>
              <w:numPr>
                <w:ilvl w:val="0"/>
                <w:numId w:val="0"/>
              </w:numPr>
              <w:shd w:val="clear" w:color="auto" w:fill="auto"/>
              <w:bidi w:val="0"/>
              <w:spacing w:before="0" w:after="0" w:line="316" w:lineRule="exact"/>
              <w:ind w:right="0" w:rightChars="0" w:firstLine="380" w:firstLineChars="20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（十四）转变监督方式。各级行政主管部门要运用大数据等手段，实施电子化行政监督，彊化对交易 活动的动态监督和预警。将市场主体信用信息和公共资源交易活动信息作为实施监管的重要依据，健全守信激励和失信惩戒机制。对诚实守信主体参与公共资源交易活动要依法给予奖励，对失信主体参与公共资 源交易活动要依法予以限制，对严重违法失信主体实行市场禁入.健全专家选聘与退出机制，建立专家黑</w:t>
            </w:r>
            <w:r>
              <w:rPr>
                <w:b w:val="0"/>
                <w:bCs w:val="0"/>
                <w:i w:val="0"/>
                <w:iCs w:val="0"/>
                <w:smallCaps w:val="0"/>
                <w:strike w:val="0"/>
                <w:sz w:val="19"/>
                <w:szCs w:val="19"/>
              </w:rPr>
              <w:t>单制度，强化专家责任追究。加强社会监督，完善投诉处理机制</w:t>
            </w:r>
            <w:r>
              <w:rPr>
                <w:rFonts w:hint="eastAsia"/>
                <w:b w:val="0"/>
                <w:bCs w:val="0"/>
                <w:i w:val="0"/>
                <w:iCs w:val="0"/>
                <w:smallCaps w:val="0"/>
                <w:strike w:val="0"/>
                <w:sz w:val="19"/>
                <w:szCs w:val="19"/>
                <w:lang w:eastAsia="zh-CN"/>
              </w:rPr>
              <w:t>，</w:t>
            </w:r>
            <w:r>
              <w:rPr>
                <w:b w:val="0"/>
                <w:bCs w:val="0"/>
                <w:i w:val="0"/>
                <w:iCs w:val="0"/>
                <w:smallCaps w:val="0"/>
                <w:strike w:val="0"/>
                <w:color w:val="000000"/>
                <w:spacing w:val="0"/>
                <w:w w:val="100"/>
                <w:position w:val="0"/>
                <w:sz w:val="19"/>
                <w:szCs w:val="19"/>
              </w:rPr>
              <w:t>公布投诉举报电话，及时处理平台服 务机构违法违规行为。发挥行业组织作用，建立公共资源交易平台服务机构和人员自律机制。</w:t>
            </w:r>
          </w:p>
          <w:p>
            <w:pPr>
              <w:pStyle w:val="20"/>
              <w:keepNext w:val="0"/>
              <w:keepLines w:val="0"/>
              <w:widowControl w:val="0"/>
              <w:numPr>
                <w:ilvl w:val="0"/>
                <w:numId w:val="0"/>
              </w:numPr>
              <w:shd w:val="clear" w:color="auto" w:fill="auto"/>
              <w:bidi w:val="0"/>
              <w:spacing w:before="0" w:after="0" w:line="316" w:lineRule="exact"/>
              <w:ind w:left="400" w:leftChars="0" w:right="0" w:rightChars="0"/>
              <w:jc w:val="both"/>
              <w:rPr>
                <w:color w:val="000000"/>
                <w:spacing w:val="0"/>
                <w:w w:val="100"/>
                <w:position w:val="0"/>
                <w:sz w:val="19"/>
                <w:szCs w:val="19"/>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2" w:lineRule="exact"/>
              <w:ind w:left="0" w:right="0" w:firstLine="0"/>
              <w:jc w:val="both"/>
            </w:pPr>
            <w:r>
              <w:rPr>
                <w:color w:val="000000"/>
                <w:spacing w:val="0"/>
                <w:w w:val="100"/>
                <w:position w:val="0"/>
                <w:sz w:val="19"/>
                <w:szCs w:val="19"/>
              </w:rPr>
              <w:t>（十四）转变监督方式。各级行政主管部门要运用大数据等手段，实施电子化行政监督，彊化对交易 活动的动态监督和预警。将市场主体信用信息和公共资源交易活动信息作为实施监管的重要依据，健全守信激励和失信惩戒机制。对诚实守信主体参与公共资源交易活动要依法给予奖励，对失信主体参与公共资 源交易活动要依法予以限制，对严重违法失信主体实行市场禁入.健全专家选聘与退出机制，建立专家黑</w:t>
            </w:r>
            <w:r>
              <w:rPr>
                <w:b w:val="0"/>
                <w:bCs w:val="0"/>
                <w:i w:val="0"/>
                <w:iCs w:val="0"/>
                <w:smallCaps w:val="0"/>
                <w:strike w:val="0"/>
                <w:sz w:val="19"/>
                <w:szCs w:val="19"/>
              </w:rPr>
              <w:t>单制度，强化专家责任追究。加强社会监督，完善投诉处理机制，</w:t>
            </w:r>
            <w:r>
              <w:rPr>
                <w:color w:val="000000"/>
                <w:spacing w:val="0"/>
                <w:w w:val="100"/>
                <w:position w:val="0"/>
              </w:rPr>
              <w:t>，公布投诉举报电话，及时处理平台服 务机构违法违规行为。发挥行业组织作用，建立公共资源交易平台服务机构和人员自律机制。</w:t>
            </w:r>
          </w:p>
          <w:p>
            <w:pPr>
              <w:pStyle w:val="20"/>
              <w:keepNext w:val="0"/>
              <w:keepLines w:val="0"/>
              <w:widowControl w:val="0"/>
              <w:shd w:val="clear" w:color="auto" w:fill="auto"/>
              <w:bidi w:val="0"/>
              <w:spacing w:before="0" w:after="0" w:line="316" w:lineRule="exact"/>
              <w:ind w:right="0"/>
              <w:jc w:val="both"/>
              <w:rPr>
                <w:sz w:val="19"/>
                <w:szCs w:val="19"/>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left"/>
              <w:rPr>
                <w:sz w:val="19"/>
                <w:szCs w:val="19"/>
              </w:rPr>
            </w:pPr>
            <w:r>
              <w:rPr>
                <w:color w:val="000000"/>
                <w:spacing w:val="0"/>
                <w:w w:val="100"/>
                <w:position w:val="0"/>
                <w:sz w:val="19"/>
                <w:szCs w:val="19"/>
              </w:rPr>
              <w:t>国家发展改革委、</w:t>
            </w:r>
            <w:r>
              <w:rPr>
                <w:rFonts w:hint="eastAsia"/>
                <w:color w:val="000000"/>
                <w:spacing w:val="0"/>
                <w:w w:val="100"/>
                <w:position w:val="0"/>
                <w:sz w:val="19"/>
                <w:szCs w:val="19"/>
                <w:lang w:eastAsia="zh-CN"/>
              </w:rPr>
              <w:t>工</w:t>
            </w:r>
            <w:r>
              <w:rPr>
                <w:color w:val="000000"/>
                <w:spacing w:val="0"/>
                <w:w w:val="100"/>
                <w:position w:val="0"/>
                <w:sz w:val="19"/>
                <w:szCs w:val="19"/>
              </w:rPr>
              <w:t>业和信息化部、财政部、国土资源部、住房城</w:t>
            </w:r>
            <w:r>
              <w:rPr>
                <w:rFonts w:hint="eastAsia"/>
                <w:color w:val="000000"/>
                <w:spacing w:val="0"/>
                <w:w w:val="100"/>
                <w:position w:val="0"/>
                <w:sz w:val="19"/>
                <w:szCs w:val="19"/>
                <w:lang w:eastAsia="zh-CN"/>
              </w:rPr>
              <w:t>乡</w:t>
            </w:r>
            <w:r>
              <w:rPr>
                <w:color w:val="000000"/>
                <w:spacing w:val="0"/>
                <w:w w:val="100"/>
                <w:position w:val="0"/>
                <w:sz w:val="19"/>
                <w:szCs w:val="19"/>
              </w:rPr>
              <w:t>建设部、交通运输部</w:t>
            </w:r>
            <w:r>
              <w:rPr>
                <w:rFonts w:hint="eastAsia"/>
                <w:color w:val="000000"/>
                <w:spacing w:val="0"/>
                <w:w w:val="100"/>
                <w:position w:val="0"/>
                <w:sz w:val="19"/>
                <w:szCs w:val="19"/>
                <w:lang w:eastAsia="zh-CN"/>
              </w:rPr>
              <w:t>、</w:t>
            </w:r>
            <w:r>
              <w:rPr>
                <w:color w:val="000000"/>
                <w:spacing w:val="0"/>
                <w:w w:val="100"/>
                <w:position w:val="0"/>
                <w:sz w:val="19"/>
                <w:szCs w:val="19"/>
              </w:rPr>
              <w:t>水利部、商务部、卫生计生委、 国资委、税务总局、 林业局、国管局、铁路局、民航局等部门</w:t>
            </w:r>
          </w:p>
        </w:tc>
      </w:tr>
      <w:tr>
        <w:tblPrEx>
          <w:tblCellMar>
            <w:top w:w="0" w:type="dxa"/>
            <w:left w:w="10" w:type="dxa"/>
            <w:bottom w:w="0" w:type="dxa"/>
            <w:right w:w="10" w:type="dxa"/>
          </w:tblCellMar>
        </w:tblPrEx>
        <w:trPr>
          <w:trHeight w:val="8443"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rPr>
                <w:color w:val="000000"/>
                <w:spacing w:val="0"/>
                <w:w w:val="100"/>
                <w:position w:val="0"/>
              </w:rPr>
            </w:pPr>
          </w:p>
          <w:p>
            <w:pPr>
              <w:pStyle w:val="21"/>
              <w:keepNext w:val="0"/>
              <w:keepLines w:val="0"/>
              <w:widowControl w:val="0"/>
              <w:shd w:val="clear" w:color="auto" w:fill="auto"/>
              <w:bidi w:val="0"/>
              <w:spacing w:before="0" w:after="0" w:line="321" w:lineRule="exact"/>
              <w:ind w:left="0" w:right="0" w:firstLine="0"/>
              <w:jc w:val="left"/>
            </w:pPr>
            <w:r>
              <w:rPr>
                <w:color w:val="000000"/>
                <w:spacing w:val="0"/>
                <w:w w:val="100"/>
                <w:position w:val="0"/>
              </w:rPr>
              <w:t>参与林权流转；</w:t>
            </w:r>
          </w:p>
          <w:p>
            <w:pPr>
              <w:pStyle w:val="21"/>
              <w:keepNext w:val="0"/>
              <w:keepLines w:val="0"/>
              <w:widowControl w:val="0"/>
              <w:numPr>
                <w:ilvl w:val="0"/>
                <w:numId w:val="2"/>
              </w:numPr>
              <w:shd w:val="clear" w:color="auto" w:fill="auto"/>
              <w:tabs>
                <w:tab w:val="left" w:pos="163"/>
              </w:tabs>
              <w:bidi w:val="0"/>
              <w:spacing w:before="0" w:after="0" w:line="321" w:lineRule="exact"/>
              <w:ind w:left="0" w:right="0" w:firstLine="0"/>
              <w:jc w:val="left"/>
            </w:pPr>
            <w:r>
              <w:rPr>
                <w:color w:val="000000"/>
                <w:spacing w:val="0"/>
                <w:w w:val="100"/>
                <w:position w:val="0"/>
              </w:rPr>
              <w:t>依法限制失信企业参与其他公共资源交易活动。</w:t>
            </w:r>
          </w:p>
          <w:p>
            <w:pPr>
              <w:pStyle w:val="21"/>
              <w:keepNext w:val="0"/>
              <w:keepLines w:val="0"/>
              <w:widowControl w:val="0"/>
              <w:numPr>
                <w:ilvl w:val="0"/>
                <w:numId w:val="2"/>
              </w:numPr>
              <w:shd w:val="clear" w:color="auto" w:fill="auto"/>
              <w:tabs>
                <w:tab w:val="left" w:pos="173"/>
              </w:tabs>
              <w:bidi w:val="0"/>
              <w:spacing w:before="0" w:after="0" w:line="321" w:lineRule="exact"/>
              <w:ind w:left="0" w:right="0" w:firstLine="0"/>
              <w:jc w:val="left"/>
            </w:pPr>
            <w:r>
              <w:rPr>
                <w:color w:val="000000"/>
                <w:spacing w:val="0"/>
                <w:w w:val="100"/>
                <w:position w:val="0"/>
              </w:rPr>
              <w:t>依法限制失信企业从事公共资源交易代理活动：</w:t>
            </w:r>
          </w:p>
          <w:p>
            <w:pPr>
              <w:pStyle w:val="21"/>
              <w:keepNext w:val="0"/>
              <w:keepLines w:val="0"/>
              <w:widowControl w:val="0"/>
              <w:numPr>
                <w:ilvl w:val="0"/>
                <w:numId w:val="2"/>
              </w:numPr>
              <w:shd w:val="clear" w:color="auto" w:fill="auto"/>
              <w:tabs>
                <w:tab w:val="left" w:pos="259"/>
              </w:tabs>
              <w:bidi w:val="0"/>
              <w:spacing w:before="0" w:after="0" w:line="321" w:lineRule="exact"/>
              <w:ind w:left="0" w:right="0" w:firstLine="0"/>
              <w:jc w:val="left"/>
            </w:pPr>
            <w:r>
              <w:rPr>
                <w:color w:val="000000"/>
                <w:spacing w:val="0"/>
                <w:w w:val="100"/>
                <w:position w:val="0"/>
              </w:rPr>
              <w:t>依法限制失信相关人担任公共资源交易活动专家：</w:t>
            </w:r>
          </w:p>
          <w:p>
            <w:pPr>
              <w:pStyle w:val="21"/>
              <w:keepNext w:val="0"/>
              <w:keepLines w:val="0"/>
              <w:widowControl w:val="0"/>
              <w:numPr>
                <w:ilvl w:val="0"/>
                <w:numId w:val="2"/>
              </w:numPr>
              <w:shd w:val="clear" w:color="auto" w:fill="auto"/>
              <w:tabs>
                <w:tab w:val="left" w:pos="250"/>
              </w:tabs>
              <w:bidi w:val="0"/>
              <w:spacing w:before="0" w:after="0" w:line="321" w:lineRule="exact"/>
              <w:ind w:left="0" w:right="0" w:firstLine="0"/>
              <w:jc w:val="left"/>
            </w:pPr>
            <w:r>
              <w:rPr>
                <w:color w:val="000000"/>
                <w:spacing w:val="0"/>
                <w:w w:val="100"/>
                <w:position w:val="0"/>
              </w:rPr>
              <w:t>依法限制失信相关人在公共资源交易领域从业；</w:t>
            </w:r>
          </w:p>
          <w:p>
            <w:pPr>
              <w:pStyle w:val="21"/>
              <w:keepNext w:val="0"/>
              <w:keepLines w:val="0"/>
              <w:widowControl w:val="0"/>
              <w:numPr>
                <w:ilvl w:val="0"/>
                <w:numId w:val="2"/>
              </w:numPr>
              <w:shd w:val="clear" w:color="auto" w:fill="auto"/>
              <w:tabs>
                <w:tab w:val="left" w:pos="264"/>
              </w:tabs>
              <w:bidi w:val="0"/>
              <w:spacing w:before="0" w:after="0" w:line="321" w:lineRule="exact"/>
              <w:ind w:left="0" w:right="0" w:firstLine="0"/>
              <w:jc w:val="left"/>
            </w:pPr>
            <w:r>
              <w:rPr>
                <w:color w:val="000000"/>
                <w:spacing w:val="0"/>
                <w:w w:val="100"/>
                <w:position w:val="0"/>
              </w:rPr>
              <w:t>依法加強对失信企业、失信相关人从事公共资源交易有关各项活动的监督检査。</w:t>
            </w:r>
          </w:p>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《中华人民共和国招标投标法》</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pPr>
            <w:r>
              <w:rPr>
                <w:color w:val="000000"/>
                <w:spacing w:val="0"/>
                <w:w w:val="100"/>
                <w:position w:val="0"/>
              </w:rPr>
              <w:t>第五十三条投标人相互串通投标或者与招标人串通投标的，投标人以向招标人或者评标委员会成员行贿的手段谋取中标的，中标无效，处中标项目金额千分之五以上千分之十以下的罚款，对单位直接负责的 主管人员和其他直接责任人员处单位罚款数额百分之五以上百分之十以下的罚款；有违法所得的，并处没 收违法所得；情节严重的，取消其一年至二年内参加依法必须进行招标的项目的投标资格并予以公告，直 至由工商行政管理机关吊销营业执照；构成犯罪的，依法追究刑事责任。给他人造成损失的，依法承担赔偿责任。</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pPr>
            <w:r>
              <w:rPr>
                <w:color w:val="000000"/>
                <w:spacing w:val="0"/>
                <w:w w:val="100"/>
                <w:position w:val="0"/>
              </w:rPr>
              <w:t>第五十四条投标人以他人名义投标或者以其他方式弄虚作假，骗取中标的，中标无效，给招标人造成损失的，依法承担赔偿责任；构成犯罪的，依法追究刑事责任。</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pPr>
            <w:r>
              <w:rPr>
                <w:color w:val="000000"/>
                <w:spacing w:val="0"/>
                <w:w w:val="100"/>
                <w:position w:val="0"/>
              </w:rPr>
              <w:t>依法必须进行招标的项目的投标人有前款所列行为尚未构成犯罪的，处中标项日金额千分之五以上千分之十以下的罚款，对单位直接负责的主管人员和其他直接责任人员处单位罚款数额百分之五以上百分之 十以下的罚款；有违法所得的，并处没收违法所得；情节严重的，取消其一年至三年内参加依法必须进行 招标的项目的投标资格并予以公告</w:t>
            </w:r>
            <w:r>
              <w:rPr>
                <w:rFonts w:hint="eastAsia"/>
                <w:color w:val="000000"/>
                <w:spacing w:val="0"/>
                <w:w w:val="100"/>
                <w:position w:val="0"/>
                <w:lang w:eastAsia="zh-CN"/>
              </w:rPr>
              <w:t>，</w:t>
            </w:r>
            <w:r>
              <w:rPr>
                <w:color w:val="000000"/>
                <w:spacing w:val="0"/>
                <w:w w:val="100"/>
                <w:position w:val="0"/>
              </w:rPr>
              <w:t>直至由工商行政管理机关吊销营业执照。</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r>
              <w:rPr>
                <w:color w:val="000000"/>
                <w:spacing w:val="0"/>
                <w:w w:val="100"/>
                <w:position w:val="0"/>
              </w:rPr>
              <w:t>第五十六条评标委员会成员收受投标人的财物或者其他好处的，评标委员会成员或者参加评标的有关工作人员向他人透露对投标文件的评审利比较、中标候选人的推荐以及与评标有关的其他情况的，给予警告，没收收受的财物，可以并处三千元以上五万元以下的罚款，对有所列违法行为的评标委员会成员取消 担任评标委员会成员的资格，不得再参加任何依法必须进行招标的项目的评标；构成犯罪的，依法追究刑事责任。</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right="0"/>
              <w:jc w:val="both"/>
            </w:pPr>
            <w:r>
              <w:rPr>
                <w:color w:val="000000"/>
                <w:spacing w:val="0"/>
                <w:w w:val="100"/>
                <w:position w:val="0"/>
              </w:rPr>
              <w:t>第六十条中标人不履行与招标人订立的合同的，履约保证金不予退还，给招标人造成的损失超过履约保证金数额的，还应当对超过部分予以赔偿；没有提交履约保证金的，应当对招标人的损失承担赔偿责任。</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right="0"/>
              <w:jc w:val="left"/>
            </w:pPr>
            <w:r>
              <w:rPr>
                <w:color w:val="000000"/>
                <w:spacing w:val="0"/>
                <w:w w:val="100"/>
                <w:position w:val="0"/>
              </w:rPr>
              <w:t>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right="0"/>
              <w:jc w:val="both"/>
              <w:rPr>
                <w:b w:val="0"/>
                <w:bCs w:val="0"/>
                <w:i w:val="0"/>
                <w:iCs w:val="0"/>
                <w:smallCaps w:val="0"/>
                <w:strike w:val="0"/>
                <w:color w:val="000000"/>
                <w:spacing w:val="0"/>
                <w:w w:val="100"/>
                <w:position w:val="0"/>
              </w:rPr>
            </w:pPr>
            <w:r>
              <w:rPr>
                <w:color w:val="000000"/>
                <w:spacing w:val="0"/>
                <w:w w:val="100"/>
                <w:position w:val="0"/>
              </w:rPr>
              <w:t>《中华人民共和国招标投标法实施条例》（国务院令第</w:t>
            </w:r>
            <w:r>
              <w:rPr>
                <w:b w:val="0"/>
                <w:bCs w:val="0"/>
                <w:i w:val="0"/>
                <w:iCs w:val="0"/>
                <w:smallCaps w:val="0"/>
                <w:strike w:val="0"/>
                <w:color w:val="000000"/>
                <w:spacing w:val="0"/>
                <w:w w:val="100"/>
                <w:position w:val="0"/>
              </w:rPr>
              <w:t>613号）</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right="0"/>
              <w:jc w:val="both"/>
            </w:pPr>
            <w:r>
              <w:rPr>
                <w:color w:val="000000"/>
                <w:spacing w:val="0"/>
                <w:w w:val="100"/>
                <w:position w:val="0"/>
                <w:sz w:val="19"/>
                <w:szCs w:val="19"/>
              </w:rPr>
              <w:t>第六十七条投标人相互串通投标或者与招标人串通投标的，投标人向招标人或者评标委员会成员行贿 谋取中标的，中标无效；构成犯罪的，依法追究刑事责任；尚不构成犯罪的，依照招标投标法第五十三条 的规定处罚。投标人未中标的，对单位的罚款金额按照招标项目合同金额依照招标投标法规定的比例计算。</w:t>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both"/>
              <w:rPr>
                <w:color w:val="000000"/>
                <w:spacing w:val="0"/>
                <w:w w:val="100"/>
                <w:position w:val="0"/>
              </w:rPr>
            </w:pPr>
          </w:p>
          <w:p>
            <w:pPr>
              <w:pStyle w:val="20"/>
              <w:keepNext w:val="0"/>
              <w:keepLines w:val="0"/>
              <w:widowControl w:val="0"/>
              <w:shd w:val="clear" w:color="auto" w:fill="auto"/>
              <w:bidi w:val="0"/>
              <w:spacing w:before="0" w:after="0" w:line="324" w:lineRule="exact"/>
              <w:ind w:left="0" w:right="0" w:firstLine="500"/>
              <w:jc w:val="both"/>
              <w:rPr>
                <w:sz w:val="19"/>
                <w:szCs w:val="19"/>
              </w:rPr>
            </w:pPr>
          </w:p>
          <w:p>
            <w:pPr>
              <w:pStyle w:val="20"/>
              <w:keepNext w:val="0"/>
              <w:keepLines w:val="0"/>
              <w:widowControl w:val="0"/>
              <w:shd w:val="clear" w:color="auto" w:fill="auto"/>
              <w:bidi w:val="0"/>
              <w:spacing w:before="0" w:after="0" w:line="324" w:lineRule="exact"/>
              <w:ind w:left="0" w:right="0" w:firstLine="500"/>
              <w:jc w:val="both"/>
              <w:rPr>
                <w:sz w:val="19"/>
                <w:szCs w:val="19"/>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0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投标人有下列行为之一的，属于招标投标法第五十三条规定的情节严重行为，由有关行政监督部门取消其1年至2年内参加依法必须进行招标的项目的投标资格；</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（一）以行贿谋取中标；</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（二）3年内2次以上串通投标：</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（三）串通投标行为损害招标人、其他投标人或者国家、集体、公民的合法利益，造成直接经济损失30万元以上；</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（四）其他串通投标情节严重的行为。</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投标人自本条第二款规定的处罚执行期限届满之日起3年内又有该款所列违法行为之一的，或者串通投标、以行贿谋取中标情节特别严重的，由工商行政管理机关吊销营业执照。</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法律、行政法规对串通投标报价行为的处罚另有规定的，从其规定。</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第六十八条投标人以他人名义投标或者以其他方式弄虚作假骗取中标的，中标无效；构成犯罪的，依法追究刑事责任；尚不构成犯罪的，依照招标投标法第五十四条的规定处罚。依法必须进行招标的项目的 投标人未中标的，对单位的罚款金额按照招标项目合同金额依照招标投标法规定的比例计算。</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投标人有下列行为之一的，属于招标投标法第五十四条规定的情节严重行为，由有关行政监督部门取消其1年至3年内参加依法必须进行招标的项目的投标资格：</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（一）伪造、变造资格、资质证书或者其他许可证件骗取中标；</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（二）3年内2次以上使用他人名义投标；</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（三）弄虚作假骗取中标给招标人造成直接经济损失30万元以上；</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（四）其他弄虚作假骗取中标情节严重的</w:t>
            </w:r>
            <w:r>
              <w:rPr>
                <w:b w:val="0"/>
                <w:bCs w:val="0"/>
                <w:i w:val="0"/>
                <w:iCs w:val="0"/>
                <w:smallCaps w:val="0"/>
                <w:strike w:val="0"/>
                <w:color w:val="000000"/>
                <w:spacing w:val="0"/>
                <w:w w:val="100"/>
                <w:position w:val="0"/>
                <w:sz w:val="19"/>
                <w:szCs w:val="19"/>
                <w:lang w:val="zh-CN" w:eastAsia="zh-CN"/>
              </w:rPr>
              <w:t>行为。</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投标人自本条第二款规定的处罚执行期限届满之日起3年内又有该款所列违法行为之一的，或者弄虚作假骗取中标情节特别严重的，由工商行政管理机关吊销营业执照。</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《中华人民共和国政府釆购法》</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第二十二条供应商参加政府采购活动成当具备下列条件：</w:t>
            </w: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09" w:lineRule="exact"/>
              <w:ind w:left="0" w:right="0" w:firstLine="500"/>
              <w:jc w:val="both"/>
              <w:rPr>
                <w:b w:val="0"/>
                <w:bCs w:val="0"/>
                <w:i w:val="0"/>
                <w:iCs w:val="0"/>
                <w:smallCaps w:val="0"/>
                <w:strike w:val="0"/>
                <w:color w:val="000000"/>
                <w:spacing w:val="0"/>
                <w:w w:val="100"/>
                <w:position w:val="0"/>
                <w:sz w:val="19"/>
                <w:szCs w:val="19"/>
              </w:rPr>
            </w:pPr>
          </w:p>
        </w:tc>
      </w:tr>
    </w:tbl>
    <w:p>
      <w:pPr>
        <w:widowControl w:val="0"/>
        <w:spacing w:line="1" w:lineRule="exact"/>
      </w:pPr>
    </w:p>
    <w:p>
      <w:pPr>
        <w:widowControl w:val="0"/>
        <w:spacing w:line="1" w:lineRule="exact"/>
      </w:pPr>
    </w:p>
    <w:p>
      <w:pPr>
        <w:widowControl w:val="0"/>
        <w:spacing w:line="1" w:lineRule="exact"/>
      </w:pPr>
    </w:p>
    <w:p>
      <w:pPr>
        <w:widowControl w:val="0"/>
        <w:spacing w:line="1" w:lineRule="exact"/>
      </w:pPr>
    </w:p>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61"/>
        <w:gridCol w:w="9926"/>
        <w:gridCol w:w="2035"/>
      </w:tblGrid>
      <w:tr>
        <w:tblPrEx>
          <w:tblCellMar>
            <w:top w:w="0" w:type="dxa"/>
            <w:left w:w="10" w:type="dxa"/>
            <w:bottom w:w="0" w:type="dxa"/>
            <w:right w:w="10" w:type="dxa"/>
          </w:tblCellMar>
        </w:tblPrEx>
        <w:trPr>
          <w:trHeight w:val="824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18"/>
              </w:tabs>
              <w:bidi w:val="0"/>
              <w:spacing w:before="0" w:after="0" w:line="310" w:lineRule="exact"/>
              <w:ind w:left="0" w:right="0" w:firstLine="600"/>
              <w:jc w:val="both"/>
              <w:rPr>
                <w:sz w:val="19"/>
                <w:szCs w:val="19"/>
              </w:rPr>
            </w:pPr>
            <w:r>
              <w:rPr>
                <w:color w:val="000000"/>
                <w:spacing w:val="0"/>
                <w:w w:val="100"/>
                <w:position w:val="0"/>
                <w:sz w:val="19"/>
                <w:szCs w:val="19"/>
              </w:rPr>
              <w:t>（一）具有独立承担民事责任的能力：</w:t>
            </w:r>
          </w:p>
          <w:p>
            <w:pPr>
              <w:pStyle w:val="20"/>
              <w:keepNext w:val="0"/>
              <w:keepLines w:val="0"/>
              <w:widowControl w:val="0"/>
              <w:shd w:val="clear" w:color="auto" w:fill="auto"/>
              <w:tabs>
                <w:tab w:val="left" w:pos="1133"/>
              </w:tabs>
              <w:bidi w:val="0"/>
              <w:spacing w:before="0" w:after="0" w:line="310" w:lineRule="exact"/>
              <w:ind w:left="0" w:right="0" w:firstLine="600"/>
              <w:jc w:val="both"/>
              <w:rPr>
                <w:sz w:val="19"/>
                <w:szCs w:val="19"/>
              </w:rPr>
            </w:pPr>
            <w:r>
              <w:rPr>
                <w:color w:val="000000"/>
                <w:spacing w:val="0"/>
                <w:w w:val="100"/>
                <w:position w:val="0"/>
                <w:sz w:val="19"/>
                <w:szCs w:val="19"/>
              </w:rPr>
              <w:t>（二）具有良好的商业信誉和健全的财务会计制度；</w:t>
            </w:r>
          </w:p>
          <w:p>
            <w:pPr>
              <w:pStyle w:val="20"/>
              <w:keepNext w:val="0"/>
              <w:keepLines w:val="0"/>
              <w:widowControl w:val="0"/>
              <w:shd w:val="clear" w:color="auto" w:fill="auto"/>
              <w:tabs>
                <w:tab w:val="left" w:pos="1133"/>
              </w:tabs>
              <w:bidi w:val="0"/>
              <w:spacing w:before="0" w:after="0" w:line="310" w:lineRule="exact"/>
              <w:ind w:left="0" w:right="0" w:firstLine="600"/>
              <w:jc w:val="both"/>
              <w:rPr>
                <w:sz w:val="19"/>
                <w:szCs w:val="19"/>
              </w:rPr>
            </w:pPr>
            <w:r>
              <w:rPr>
                <w:color w:val="000000"/>
                <w:spacing w:val="0"/>
                <w:w w:val="100"/>
                <w:position w:val="0"/>
                <w:sz w:val="19"/>
                <w:szCs w:val="19"/>
              </w:rPr>
              <w:t>（三）具有履行合同所必需的设备和专业技术能力；</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（四）有依法缴纳税收和社</w:t>
            </w:r>
            <w:r>
              <w:rPr>
                <w:b w:val="0"/>
                <w:bCs w:val="0"/>
                <w:i w:val="0"/>
                <w:iCs w:val="0"/>
                <w:smallCaps w:val="0"/>
                <w:strike w:val="0"/>
                <w:color w:val="000000"/>
                <w:spacing w:val="0"/>
                <w:w w:val="100"/>
                <w:position w:val="0"/>
                <w:sz w:val="19"/>
                <w:szCs w:val="19"/>
              </w:rPr>
              <w:t>会保障资金的良好记录：</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（五）参加政府采购活动前三年内，在经营活动中没有重大违法记录；</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（六）法律、行政法规规定的其他条件。</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《企业信息公示暂行条例》（国务院令第</w:t>
            </w:r>
            <w:r>
              <w:rPr>
                <w:b w:val="0"/>
                <w:bCs w:val="0"/>
                <w:i w:val="0"/>
                <w:iCs w:val="0"/>
                <w:smallCaps w:val="0"/>
                <w:strike w:val="0"/>
                <w:color w:val="000000"/>
                <w:spacing w:val="0"/>
                <w:w w:val="100"/>
                <w:position w:val="0"/>
                <w:sz w:val="19"/>
                <w:szCs w:val="19"/>
                <w:lang w:val="en-US" w:eastAsia="en-US"/>
              </w:rPr>
              <w:t>G54</w:t>
            </w:r>
            <w:r>
              <w:rPr>
                <w:b w:val="0"/>
                <w:bCs w:val="0"/>
                <w:i w:val="0"/>
                <w:iCs w:val="0"/>
                <w:smallCaps w:val="0"/>
                <w:strike w:val="0"/>
                <w:color w:val="000000"/>
                <w:spacing w:val="0"/>
                <w:w w:val="100"/>
                <w:position w:val="0"/>
                <w:sz w:val="19"/>
                <w:szCs w:val="19"/>
              </w:rPr>
              <w:t>号）</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第十八条县级以上地方人民政府及其有关部门应当建立健全信用约束机制，在政府采购、工程招投标、 国有土地出让、授予荣誉称号等工作中，将企业信息作为重要考量因素，对被列入经营异常名录或者严重 违法企业名单的企业依法予以限制或者禁入。</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《国务院办公厅关于完善公立医院药品集中采购工作的指导意见》（国办发〔201</w:t>
            </w:r>
            <w:r>
              <w:rPr>
                <w:rFonts w:hint="eastAsia"/>
                <w:b w:val="0"/>
                <w:bCs w:val="0"/>
                <w:i w:val="0"/>
                <w:iCs w:val="0"/>
                <w:smallCaps w:val="0"/>
                <w:strike w:val="0"/>
                <w:color w:val="000000"/>
                <w:spacing w:val="0"/>
                <w:w w:val="100"/>
                <w:position w:val="0"/>
                <w:sz w:val="19"/>
                <w:szCs w:val="19"/>
                <w:lang w:val="en-US" w:eastAsia="zh-CN"/>
              </w:rPr>
              <w:t>5</w:t>
            </w:r>
            <w:r>
              <w:rPr>
                <w:b w:val="0"/>
                <w:bCs w:val="0"/>
                <w:i w:val="0"/>
                <w:iCs w:val="0"/>
                <w:smallCaps w:val="0"/>
                <w:strike w:val="0"/>
                <w:color w:val="000000"/>
                <w:spacing w:val="0"/>
                <w:w w:val="100"/>
                <w:position w:val="0"/>
                <w:sz w:val="19"/>
                <w:szCs w:val="19"/>
              </w:rPr>
              <w:t>〕 7号）</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六、强化综合监督管理</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（五）严格执行诚信记录和市场清退制度。各省（区、市）要建立健全检查督导制度，建立药品生产经营企业诚信记录并及时向社会公布。对列入不良记录名单的企业，医院两年内不得购入其药品。加强对 医院、药品生产经营企业履行《医疗卫生机构医药产品廉洁购销合同》情况的监督。</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《疫苗流通和预防接种管理条例》（国务院令第668号）</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第六十五条疫苗生产企业向县级疾病预防控制机构以外的单位或者个人销售第二类疫苗的，由药制监督管理部门没收违法销售的疫苗，并处违法销售的疫苗货值金额2倍以上5倍以下的罚款；有违法所得的</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没收违法所得；其直接负责的主管人员和其他直接责任人员5年内不得从事药品生产经营活动：情节严重 的，依法吊销疫苗生产资格或者撤销疫苗进口批准证明文件，其直接负责的主管人员和其他直接责任人员 10年内不得从事药品生产经营活动；构成犯罪的，依法迫究刑事责任。</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《中华人民共和国农村土地承包法》</w:t>
            </w:r>
          </w:p>
          <w:p>
            <w:pPr>
              <w:pStyle w:val="20"/>
              <w:keepNext w:val="0"/>
              <w:keepLines w:val="0"/>
              <w:widowControl w:val="0"/>
              <w:shd w:val="clear" w:color="auto" w:fill="auto"/>
              <w:bidi w:val="0"/>
              <w:spacing w:before="0" w:after="0" w:line="310"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四十八条发包方将农村土地发包给本集体经济组织成员的村民会议三分之二以上成员或者三分之二以上村民代表的同意，并报乡（镇）人民政府批准。本集体经济组织以外的单位或者个人承包的，应当对承包方的资信情况和经营能力进行审查后，再签订承包合同；</w:t>
            </w:r>
          </w:p>
          <w:p>
            <w:pPr>
              <w:pStyle w:val="20"/>
              <w:keepNext w:val="0"/>
              <w:keepLines w:val="0"/>
              <w:widowControl w:val="0"/>
              <w:shd w:val="clear" w:color="auto" w:fill="auto"/>
              <w:bidi w:val="0"/>
              <w:spacing w:before="0" w:after="0" w:line="317" w:lineRule="exact"/>
              <w:ind w:left="0" w:right="0" w:firstLine="480"/>
              <w:jc w:val="both"/>
              <w:rPr>
                <w:rFonts w:hint="eastAsia" w:eastAsia="宋体"/>
                <w:sz w:val="19"/>
                <w:szCs w:val="19"/>
                <w:lang w:eastAsia="zh-CN"/>
              </w:rPr>
            </w:pPr>
            <w:r>
              <w:rPr>
                <w:color w:val="000000"/>
                <w:spacing w:val="0"/>
                <w:w w:val="100"/>
                <w:position w:val="0"/>
                <w:sz w:val="19"/>
                <w:szCs w:val="19"/>
              </w:rPr>
              <w:t>第六十条承包方违法将承包地用于非农建设的，由县级以上地方人民政府有关行政主管部门依法予以</w:t>
            </w:r>
            <w:r>
              <w:rPr>
                <w:rFonts w:hint="eastAsia"/>
                <w:color w:val="000000"/>
                <w:spacing w:val="0"/>
                <w:w w:val="100"/>
                <w:position w:val="0"/>
                <w:sz w:val="19"/>
                <w:szCs w:val="19"/>
                <w:lang w:eastAsia="zh-CN"/>
              </w:rPr>
              <w:t>处罚。</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10"/>
          <w:szCs w:val="10"/>
        </w:rPr>
        <w:sectPr>
          <w:footerReference r:id="rId4" w:type="default"/>
          <w:footnotePr>
            <w:numFmt w:val="decimal"/>
          </w:footnotePr>
          <w:type w:val="continuous"/>
          <w:pgSz w:w="16840" w:h="11900" w:orient="landscape"/>
          <w:pgMar w:top="1705" w:right="1296" w:bottom="1567" w:left="1321" w:header="1277" w:footer="3" w:gutter="0"/>
          <w:pgNumType w:fmt="decimal" w:start="1"/>
          <w:cols w:space="720" w:num="1"/>
          <w:rtlGutter w:val="0"/>
          <w:docGrid w:linePitch="360" w:charSpace="0"/>
        </w:sectPr>
      </w:pPr>
    </w:p>
    <w:p>
      <w:pPr>
        <w:widowControl w:val="0"/>
        <w:rPr>
          <w:sz w:val="10"/>
          <w:szCs w:val="10"/>
        </w:rPr>
        <w:sectPr>
          <w:footnotePr>
            <w:numFmt w:val="decimal"/>
          </w:footnotePr>
          <w:type w:val="continuous"/>
          <w:pgSz w:w="16840" w:h="11900" w:orient="landscape"/>
          <w:pgMar w:top="1705" w:right="1296" w:bottom="1567" w:left="1321" w:header="1277" w:footer="3" w:gutter="0"/>
          <w:pgNumType w:fmt="decimal" w:start="1"/>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2242"/>
        <w:gridCol w:w="9931"/>
        <w:gridCol w:w="2030"/>
      </w:tblGrid>
      <w:tr>
        <w:tblPrEx>
          <w:tblCellMar>
            <w:top w:w="0" w:type="dxa"/>
            <w:left w:w="10" w:type="dxa"/>
            <w:bottom w:w="0" w:type="dxa"/>
            <w:right w:w="10" w:type="dxa"/>
          </w:tblCellMar>
        </w:tblPrEx>
        <w:trPr>
          <w:trHeight w:val="318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5" w:lineRule="exact"/>
              <w:ind w:left="0" w:right="0" w:firstLine="50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《国家林业局关于规范集体林权流转</w:t>
            </w:r>
            <w:r>
              <w:rPr>
                <w:b w:val="0"/>
                <w:bCs w:val="0"/>
                <w:i w:val="0"/>
                <w:iCs w:val="0"/>
                <w:smallCaps w:val="0"/>
                <w:strike w:val="0"/>
                <w:color w:val="000000"/>
                <w:spacing w:val="0"/>
                <w:w w:val="100"/>
                <w:position w:val="0"/>
                <w:sz w:val="19"/>
                <w:szCs w:val="19"/>
              </w:rPr>
              <w:t>市场运行的意见》（林改发〔201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 100号）</w:t>
            </w:r>
          </w:p>
          <w:p>
            <w:pPr>
              <w:pStyle w:val="20"/>
              <w:keepNext w:val="0"/>
              <w:keepLines w:val="0"/>
              <w:widowControl w:val="0"/>
              <w:shd w:val="clear" w:color="auto" w:fill="auto"/>
              <w:bidi w:val="0"/>
              <w:spacing w:before="0" w:after="0" w:line="315"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四、严格林权流入方资格条件</w:t>
            </w:r>
          </w:p>
          <w:p>
            <w:pPr>
              <w:pStyle w:val="20"/>
              <w:keepNext w:val="0"/>
              <w:keepLines w:val="0"/>
              <w:widowControl w:val="0"/>
              <w:shd w:val="clear" w:color="auto" w:fill="auto"/>
              <w:bidi w:val="0"/>
              <w:spacing w:before="0" w:after="0" w:line="315" w:lineRule="exact"/>
              <w:ind w:left="0" w:right="0" w:firstLine="500"/>
              <w:jc w:val="both"/>
              <w:rPr>
                <w:sz w:val="19"/>
                <w:szCs w:val="19"/>
              </w:rPr>
            </w:pPr>
            <w:r>
              <w:rPr>
                <w:b w:val="0"/>
                <w:bCs w:val="0"/>
                <w:i w:val="0"/>
                <w:iCs w:val="0"/>
                <w:smallCaps w:val="0"/>
                <w:strike w:val="0"/>
                <w:color w:val="000000"/>
                <w:spacing w:val="0"/>
                <w:w w:val="100"/>
                <w:position w:val="0"/>
                <w:sz w:val="19"/>
                <w:szCs w:val="19"/>
              </w:rPr>
              <w:t>林权流入方应当具有林业经营能力，林权不得流转给没有林业经营能力的单位或者个人。《国家发展改革委商务部关于印发市场准入负面清单草案（试点版）的通知》（发改经体〔201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 442号）明确要求： 租赁农地从事生产经营要进行资格审査，未获得资质条件的，不得租赁农地从事生产经营。鼓励各</w:t>
            </w:r>
            <w:r>
              <w:rPr>
                <w:color w:val="000000"/>
                <w:spacing w:val="0"/>
                <w:w w:val="100"/>
                <w:position w:val="0"/>
                <w:sz w:val="19"/>
                <w:szCs w:val="19"/>
              </w:rPr>
              <w:t>地依照 该精神，依法探索建立工商资本租赁林地准入制度，实行承诺式准入等方式，可釆取市场主体资质、经营 面积上限、林业经营能力、经营项目、诚信记录和违规处罚等管理措施，对投资租赁林地从事林业生产经 营资格进行审査。家庭承包林地的经营权可以依法釆取出租、入股、合作等方式流转给工商资本，但不得 办理林权变更登记。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（二）其他相关领域</w:t>
            </w:r>
          </w:p>
        </w:tc>
      </w:tr>
      <w:tr>
        <w:tblPrEx>
          <w:tblCellMar>
            <w:top w:w="0" w:type="dxa"/>
            <w:left w:w="10" w:type="dxa"/>
            <w:bottom w:w="0" w:type="dxa"/>
            <w:right w:w="10" w:type="dxa"/>
          </w:tblCellMar>
        </w:tblPrEx>
        <w:trPr>
          <w:trHeight w:val="3173"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numPr>
                <w:ilvl w:val="0"/>
                <w:numId w:val="0"/>
              </w:numPr>
              <w:shd w:val="clear" w:color="auto" w:fill="auto"/>
              <w:tabs>
                <w:tab w:val="left" w:pos="182"/>
              </w:tabs>
              <w:bidi w:val="0"/>
              <w:spacing w:before="0" w:after="0" w:line="312" w:lineRule="exact"/>
              <w:ind w:leftChars="0" w:right="0" w:rightChars="0"/>
              <w:jc w:val="both"/>
              <w:rPr>
                <w:rFonts w:hint="eastAsia"/>
                <w:color w:val="000000"/>
                <w:spacing w:val="0"/>
                <w:w w:val="100"/>
                <w:position w:val="0"/>
                <w:sz w:val="19"/>
                <w:szCs w:val="19"/>
                <w:lang w:val="en-US" w:eastAsia="zh-CN"/>
              </w:rPr>
            </w:pPr>
          </w:p>
          <w:p>
            <w:pPr>
              <w:pStyle w:val="20"/>
              <w:keepNext w:val="0"/>
              <w:keepLines w:val="0"/>
              <w:widowControl w:val="0"/>
              <w:numPr>
                <w:ilvl w:val="0"/>
                <w:numId w:val="0"/>
              </w:numPr>
              <w:shd w:val="clear" w:color="auto" w:fill="auto"/>
              <w:tabs>
                <w:tab w:val="left" w:pos="182"/>
              </w:tabs>
              <w:bidi w:val="0"/>
              <w:spacing w:before="0" w:after="0" w:line="312" w:lineRule="exact"/>
              <w:ind w:leftChars="0" w:right="0" w:rightChars="0"/>
              <w:jc w:val="both"/>
              <w:rPr>
                <w:rFonts w:hint="eastAsia"/>
                <w:color w:val="000000"/>
                <w:spacing w:val="0"/>
                <w:w w:val="100"/>
                <w:position w:val="0"/>
                <w:sz w:val="19"/>
                <w:szCs w:val="19"/>
                <w:lang w:val="en-US" w:eastAsia="zh-CN"/>
              </w:rPr>
            </w:pPr>
          </w:p>
          <w:p>
            <w:pPr>
              <w:pStyle w:val="20"/>
              <w:keepNext w:val="0"/>
              <w:keepLines w:val="0"/>
              <w:widowControl w:val="0"/>
              <w:numPr>
                <w:ilvl w:val="0"/>
                <w:numId w:val="0"/>
              </w:numPr>
              <w:shd w:val="clear" w:color="auto" w:fill="auto"/>
              <w:tabs>
                <w:tab w:val="left" w:pos="182"/>
              </w:tabs>
              <w:bidi w:val="0"/>
              <w:spacing w:before="0" w:after="0" w:line="312" w:lineRule="exact"/>
              <w:ind w:leftChars="0" w:right="0" w:rightChars="0"/>
              <w:jc w:val="both"/>
              <w:rPr>
                <w:sz w:val="19"/>
                <w:szCs w:val="19"/>
              </w:rPr>
            </w:pPr>
            <w:r>
              <w:rPr>
                <w:rFonts w:hint="eastAsia"/>
                <w:color w:val="000000"/>
                <w:spacing w:val="0"/>
                <w:w w:val="100"/>
                <w:position w:val="0"/>
                <w:sz w:val="19"/>
                <w:szCs w:val="19"/>
                <w:lang w:val="en-US" w:eastAsia="zh-CN"/>
              </w:rPr>
              <w:t>1、</w:t>
            </w:r>
            <w:r>
              <w:rPr>
                <w:color w:val="000000"/>
                <w:spacing w:val="0"/>
                <w:w w:val="100"/>
                <w:position w:val="0"/>
                <w:sz w:val="19"/>
                <w:szCs w:val="19"/>
              </w:rPr>
              <w:t>从严审核行政许可审批项目，依法限制新增项目审批、核准；</w:t>
            </w:r>
          </w:p>
          <w:p>
            <w:pPr>
              <w:pStyle w:val="20"/>
              <w:keepNext w:val="0"/>
              <w:keepLines w:val="0"/>
              <w:widowControl w:val="0"/>
              <w:numPr>
                <w:ilvl w:val="0"/>
                <w:numId w:val="0"/>
              </w:numPr>
              <w:shd w:val="clear" w:color="auto" w:fill="auto"/>
              <w:tabs>
                <w:tab w:val="left" w:pos="178"/>
              </w:tabs>
              <w:bidi w:val="0"/>
              <w:spacing w:before="0" w:after="0" w:line="331" w:lineRule="exact"/>
              <w:ind w:leftChars="0" w:right="0" w:rightChars="0"/>
              <w:jc w:val="both"/>
              <w:rPr>
                <w:sz w:val="19"/>
                <w:szCs w:val="19"/>
              </w:rPr>
            </w:pPr>
            <w:r>
              <w:rPr>
                <w:rFonts w:hint="eastAsia"/>
                <w:color w:val="000000"/>
                <w:spacing w:val="0"/>
                <w:w w:val="100"/>
                <w:position w:val="0"/>
                <w:sz w:val="19"/>
                <w:szCs w:val="19"/>
                <w:lang w:val="en-US" w:eastAsia="zh-CN"/>
              </w:rPr>
              <w:t>2、</w:t>
            </w:r>
            <w:r>
              <w:rPr>
                <w:color w:val="000000"/>
                <w:spacing w:val="0"/>
                <w:w w:val="100"/>
                <w:position w:val="0"/>
                <w:sz w:val="19"/>
                <w:szCs w:val="19"/>
              </w:rPr>
              <w:t>依法从严控制生产许可证发放。</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7" w:lineRule="exact"/>
              <w:ind w:left="0" w:right="0" w:firstLine="773" w:firstLineChars="407"/>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《国务院关于建立完善守信联合激励和失信联合惩戒制度加快推进社会诚信建设的指导意见》（国发〔201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〕33号）</w:t>
            </w:r>
          </w:p>
          <w:p>
            <w:pPr>
              <w:pStyle w:val="20"/>
              <w:keepNext w:val="0"/>
              <w:keepLines w:val="0"/>
              <w:widowControl w:val="0"/>
              <w:shd w:val="clear" w:color="auto" w:fill="auto"/>
              <w:bidi w:val="0"/>
              <w:spacing w:before="0" w:after="0" w:line="317" w:lineRule="exact"/>
              <w:ind w:left="0" w:right="0" w:firstLine="50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（十）依法依规加强对失信行为的行政性约束和惩戒。对严重失信主体，各地区、各有关部门应将其 列为重点监管对象，依法依规釆取行政性约束和惩戒措施。从严审核行政许可审批项目，从严控制生产许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9" w:lineRule="exact"/>
              <w:ind w:left="0" w:right="0" w:firstLine="0"/>
              <w:jc w:val="left"/>
              <w:rPr>
                <w:sz w:val="19"/>
                <w:szCs w:val="19"/>
              </w:rPr>
            </w:pPr>
            <w:r>
              <w:rPr>
                <w:color w:val="000000"/>
                <w:spacing w:val="0"/>
                <w:w w:val="100"/>
                <w:position w:val="0"/>
                <w:sz w:val="19"/>
                <w:szCs w:val="19"/>
              </w:rPr>
              <w:t>国家发展改革委、工业和信息化部等有关部门</w:t>
            </w:r>
          </w:p>
        </w:tc>
      </w:tr>
      <w:tr>
        <w:tblPrEx>
          <w:tblCellMar>
            <w:top w:w="0" w:type="dxa"/>
            <w:left w:w="10" w:type="dxa"/>
            <w:bottom w:w="0" w:type="dxa"/>
            <w:right w:w="10" w:type="dxa"/>
          </w:tblCellMar>
        </w:tblPrEx>
        <w:trPr>
          <w:trHeight w:val="1625"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widowControl w:val="0"/>
              <w:shd w:val="clear" w:color="auto" w:fill="auto"/>
              <w:bidi w:val="0"/>
              <w:spacing w:before="0" w:after="0" w:line="317" w:lineRule="exact"/>
              <w:ind w:left="0" w:right="0" w:firstLine="0"/>
              <w:jc w:val="both"/>
              <w:rPr>
                <w:sz w:val="19"/>
                <w:szCs w:val="19"/>
              </w:rPr>
            </w:pP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19"/>
                <w:szCs w:val="19"/>
              </w:rPr>
              <w:t>.依法对失信企业获得财政补助补贴性资金和社会保障资金支持予以限制。</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50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0年）的通知》（国发〔201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 21号） 二、推进重点领域诚信建设（一）加快推进政务诚信建设。</w:t>
            </w:r>
          </w:p>
          <w:p>
            <w:pPr>
              <w:pStyle w:val="20"/>
              <w:keepNext w:val="0"/>
              <w:keepLines w:val="0"/>
              <w:widowControl w:val="0"/>
              <w:shd w:val="clear" w:color="auto" w:fill="auto"/>
              <w:bidi w:val="0"/>
              <w:spacing w:before="0" w:after="0" w:line="317" w:lineRule="exact"/>
              <w:ind w:left="0" w:right="0" w:firstLine="50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发挥政府诚信建设示范作用。各级人民政府首先要加强自身诚信建设，以政府的诚信施政，带动全社会诚信意识的树立和诚信水平的提高。在行政许可、政府采购、招标投标、劳动就业、社会保障、科研管 理、干部选拔任用和管理监督、申请政府资金支持等领域，率先使用信用信息和信用产品，培育信用服务 市场发展。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sz w:val="19"/>
                <w:szCs w:val="19"/>
              </w:rPr>
            </w:pPr>
            <w:r>
              <w:rPr>
                <w:color w:val="000000"/>
                <w:spacing w:val="0"/>
                <w:w w:val="100"/>
                <w:position w:val="0"/>
                <w:sz w:val="19"/>
                <w:szCs w:val="19"/>
              </w:rPr>
              <w:t>国家发展改革委、财政部等有关部门</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6"/>
        <w:gridCol w:w="9922"/>
        <w:gridCol w:w="2035"/>
      </w:tblGrid>
      <w:tr>
        <w:tblPrEx>
          <w:tblCellMar>
            <w:top w:w="0" w:type="dxa"/>
            <w:left w:w="10" w:type="dxa"/>
            <w:bottom w:w="0" w:type="dxa"/>
            <w:right w:w="10" w:type="dxa"/>
          </w:tblCellMar>
        </w:tblPrEx>
        <w:trPr>
          <w:trHeight w:val="8518"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sz w:val="19"/>
                <w:szCs w:val="19"/>
              </w:rPr>
            </w:pPr>
            <w:r>
              <w:rPr>
                <w:rFonts w:hint="eastAsia"/>
                <w:color w:val="000000"/>
                <w:spacing w:val="0"/>
                <w:w w:val="100"/>
                <w:position w:val="0"/>
                <w:sz w:val="19"/>
                <w:szCs w:val="19"/>
                <w:lang w:val="en-US" w:eastAsia="zh-CN"/>
              </w:rPr>
              <w:t>4、</w:t>
            </w:r>
            <w:r>
              <w:rPr>
                <w:color w:val="000000"/>
                <w:spacing w:val="0"/>
                <w:w w:val="100"/>
                <w:position w:val="0"/>
                <w:sz w:val="19"/>
                <w:szCs w:val="19"/>
              </w:rPr>
              <w:t>依法将失信信息作为选择基础设施和公用事业特许经营等政府和社会资本合作项目合作伙伴的重要参考因素，限制失信主体 成为项日合作伙伴。</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w:t>
            </w:r>
            <w:r>
              <w:rPr>
                <w:b w:val="0"/>
                <w:bCs w:val="0"/>
                <w:i w:val="0"/>
                <w:iCs w:val="0"/>
                <w:smallCaps w:val="0"/>
                <w:strike w:val="0"/>
                <w:color w:val="000000"/>
                <w:spacing w:val="0"/>
                <w:w w:val="100"/>
                <w:position w:val="0"/>
                <w:sz w:val="19"/>
                <w:szCs w:val="19"/>
              </w:rPr>
              <w:t>务院关于建立完善守信联合激励和失信联合惩戒制度加快推进社会诚信建设的指导意见》（国发〔201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〕33号）</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（十）依法依规加强对失信行为的行政性约束和惩戒。对严重失信主体，各地区、各有关部门应将其 列为重点监管对象，依法依规采取行政性约束和惩戒措施。从严审核行政许可审批项目，从严控制生产许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限制参与基础设施利公用事业特许经营。对严重失信企业及其法定代表人、主要负责人和对失信行为负有 直接责任的注册执业人员等实施市场和行业禁入措施。及时撤销严重失信企业及其法定代表人、负责人、 髙级管理人员和对失信行为负有直接责任的董事、股东等人员的荣誉称号，取消参加评先评优资格。</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《国务院办公厅转发财政部发展改革委人民银行关于在公共服务领域推广政府和社会资本合作模式指导意见的通知》（国办发〔201</w:t>
            </w:r>
            <w:r>
              <w:rPr>
                <w:rFonts w:hint="eastAsia"/>
                <w:b w:val="0"/>
                <w:bCs w:val="0"/>
                <w:i w:val="0"/>
                <w:iCs w:val="0"/>
                <w:smallCaps w:val="0"/>
                <w:strike w:val="0"/>
                <w:color w:val="000000"/>
                <w:spacing w:val="0"/>
                <w:w w:val="100"/>
                <w:position w:val="0"/>
                <w:sz w:val="19"/>
                <w:szCs w:val="19"/>
                <w:lang w:val="en-US" w:eastAsia="zh-CN"/>
              </w:rPr>
              <w:t>5</w:t>
            </w:r>
            <w:r>
              <w:rPr>
                <w:b w:val="0"/>
                <w:bCs w:val="0"/>
                <w:i w:val="0"/>
                <w:iCs w:val="0"/>
                <w:smallCaps w:val="0"/>
                <w:strike w:val="0"/>
                <w:color w:val="000000"/>
                <w:spacing w:val="0"/>
                <w:w w:val="100"/>
                <w:position w:val="0"/>
                <w:sz w:val="19"/>
                <w:szCs w:val="19"/>
              </w:rPr>
              <w:t>〕 42号）</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四、规范推进政府和社会资本合作项目实施</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（十五）择优选择项目合作伙伴。对使用财政性资金作为社会资本提供公共服务对价的项目，地方政府应当根据预算法、合同法、政府采购法及其实施条例等法律法规规定，选择项目合作伙伴。依托政府采 购信息平台，及时、充分向社会公布项目采购信息’综合评估项目合作伙伴的专业资质、技术能力、管理 经验、财务实力和信用状况等因素，依法择优选择诚实守信的合作伙伴。加强项目政府釆购环节的监督管 理，保证采购过程公平、公正、公开。</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《基础设施和公用事业特许经营管理办法》（国家发展和改革委员会令第25号）</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第十七条实施机构应当公平择优选择具有相应管理经验、专业能力、融资实力以及信用状况良好的法人或者其他蛆织作为特许经营者。鼓励金融机构与参与竞争的法人或其他组织共同制定投融资方案。</w:t>
            </w:r>
          </w:p>
          <w:p>
            <w:pPr>
              <w:pStyle w:val="20"/>
              <w:keepNext w:val="0"/>
              <w:keepLines w:val="0"/>
              <w:widowControl w:val="0"/>
              <w:shd w:val="clear" w:color="auto" w:fill="auto"/>
              <w:bidi w:val="0"/>
              <w:spacing w:before="0" w:after="0" w:line="32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特许经营者选择应当符合内外资准入等有关法律、行政法规规定。依法选定的特许经营者，应当向社会公示。第五十三条特许经营者违反法律、行政法规和国家强制性标准，严重危害公共利益，或者造成重大 质量、安全事故或者突发环境事件的，有关部门应当责令限期改正并依法予以行政处罚；拒不改正、情节 严重的，可以终止特许经营协议；构成犯罪的，依法追究刑事责任。</w:t>
            </w:r>
          </w:p>
          <w:p>
            <w:pPr>
              <w:pStyle w:val="20"/>
              <w:keepNext w:val="0"/>
              <w:keepLines w:val="0"/>
              <w:widowControl w:val="0"/>
              <w:shd w:val="clear" w:color="auto" w:fill="auto"/>
              <w:bidi w:val="0"/>
              <w:spacing w:before="0" w:after="0" w:line="329" w:lineRule="exact"/>
              <w:ind w:right="0"/>
              <w:jc w:val="both"/>
              <w:rPr>
                <w:sz w:val="19"/>
                <w:szCs w:val="19"/>
              </w:rPr>
            </w:pPr>
            <w:r>
              <w:rPr>
                <w:b w:val="0"/>
                <w:bCs w:val="0"/>
                <w:i w:val="0"/>
                <w:iCs w:val="0"/>
                <w:smallCaps w:val="0"/>
                <w:strike w:val="0"/>
                <w:color w:val="000000"/>
                <w:spacing w:val="0"/>
                <w:w w:val="100"/>
                <w:position w:val="0"/>
                <w:sz w:val="19"/>
                <w:szCs w:val="19"/>
              </w:rPr>
              <w:t>第五十六条县级以上人民政府有关部门应当对特许经营者及其从业人员的不良行为建立信用记录， 纳入全国统一的信用信息共享交换平台。对严重违法失信行为依法予以曝光，并会同有关部门实施联合惩成。</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22" w:lineRule="exact"/>
              <w:ind w:left="0" w:right="0" w:firstLine="0"/>
              <w:jc w:val="left"/>
              <w:rPr>
                <w:sz w:val="19"/>
                <w:szCs w:val="19"/>
              </w:rPr>
            </w:pPr>
            <w:r>
              <w:rPr>
                <w:color w:val="000000"/>
                <w:spacing w:val="0"/>
                <w:w w:val="100"/>
                <w:position w:val="0"/>
                <w:sz w:val="19"/>
                <w:szCs w:val="19"/>
              </w:rPr>
              <w:t>国家发展改革委、财政部等有关部门</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51"/>
        <w:gridCol w:w="9922"/>
        <w:gridCol w:w="2030"/>
      </w:tblGrid>
      <w:tr>
        <w:tblPrEx>
          <w:tblCellMar>
            <w:top w:w="0" w:type="dxa"/>
            <w:left w:w="10" w:type="dxa"/>
            <w:bottom w:w="0" w:type="dxa"/>
            <w:right w:w="10" w:type="dxa"/>
          </w:tblCellMar>
        </w:tblPrEx>
        <w:trPr>
          <w:trHeight w:val="2512" w:hRule="exact"/>
          <w:jc w:val="center"/>
        </w:trPr>
        <w:tc>
          <w:tcPr>
            <w:tcW w:w="2251"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right="0" w:firstLine="0"/>
              <w:jc w:val="both"/>
              <w:rPr>
                <w:sz w:val="19"/>
                <w:szCs w:val="19"/>
              </w:rPr>
            </w:pPr>
            <w:r>
              <w:rPr>
                <w:rFonts w:hint="eastAsia"/>
                <w:b w:val="0"/>
                <w:bCs w:val="0"/>
                <w:i w:val="0"/>
                <w:iCs w:val="0"/>
                <w:smallCaps w:val="0"/>
                <w:strike w:val="0"/>
                <w:color w:val="000000"/>
                <w:spacing w:val="0"/>
                <w:w w:val="100"/>
                <w:position w:val="0"/>
                <w:sz w:val="19"/>
                <w:szCs w:val="19"/>
                <w:lang w:val="en-US" w:eastAsia="zh-CN"/>
              </w:rPr>
              <w:t>5、</w:t>
            </w:r>
            <w:r>
              <w:rPr>
                <w:b w:val="0"/>
                <w:bCs w:val="0"/>
                <w:i w:val="0"/>
                <w:iCs w:val="0"/>
                <w:smallCaps w:val="0"/>
                <w:strike w:val="0"/>
                <w:color w:val="000000"/>
                <w:spacing w:val="0"/>
                <w:w w:val="100"/>
                <w:position w:val="0"/>
                <w:sz w:val="19"/>
                <w:szCs w:val="19"/>
              </w:rPr>
              <w:t>依</w:t>
            </w:r>
            <w:r>
              <w:rPr>
                <w:color w:val="000000"/>
                <w:spacing w:val="0"/>
                <w:w w:val="100"/>
                <w:position w:val="0"/>
                <w:sz w:val="19"/>
                <w:szCs w:val="19"/>
              </w:rPr>
              <w:t>法限制失信相关人担任国有企业法定代表人、董事、监事。</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《中华人民共和国企业国有资产法》</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第二十三条履行出资人职责的机构任命或者建议任命的董事、监事、高级管理人员，应当具备下列条件：</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w:t>
            </w:r>
            <w:r>
              <w:rPr>
                <w:b w:val="0"/>
                <w:bCs w:val="0"/>
                <w:i w:val="0"/>
                <w:iCs w:val="0"/>
                <w:smallCaps w:val="0"/>
                <w:strike w:val="0"/>
                <w:color w:val="000000"/>
                <w:spacing w:val="0"/>
                <w:w w:val="100"/>
                <w:position w:val="0"/>
                <w:sz w:val="19"/>
                <w:szCs w:val="19"/>
              </w:rPr>
              <w:tab/>
            </w:r>
            <w:r>
              <w:rPr>
                <w:b w:val="0"/>
                <w:bCs w:val="0"/>
                <w:i w:val="0"/>
                <w:iCs w:val="0"/>
                <w:smallCaps w:val="0"/>
                <w:strike w:val="0"/>
                <w:color w:val="000000"/>
                <w:spacing w:val="0"/>
                <w:w w:val="100"/>
                <w:position w:val="0"/>
                <w:sz w:val="19"/>
                <w:szCs w:val="19"/>
              </w:rPr>
              <w:t>有良好的品行；</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w:t>
            </w:r>
            <w:r>
              <w:rPr>
                <w:b w:val="0"/>
                <w:bCs w:val="0"/>
                <w:i w:val="0"/>
                <w:iCs w:val="0"/>
                <w:smallCaps w:val="0"/>
                <w:strike w:val="0"/>
                <w:color w:val="000000"/>
                <w:spacing w:val="0"/>
                <w:w w:val="100"/>
                <w:position w:val="0"/>
                <w:sz w:val="19"/>
                <w:szCs w:val="19"/>
              </w:rPr>
              <w:tab/>
            </w:r>
            <w:r>
              <w:rPr>
                <w:b w:val="0"/>
                <w:bCs w:val="0"/>
                <w:i w:val="0"/>
                <w:iCs w:val="0"/>
                <w:smallCaps w:val="0"/>
                <w:strike w:val="0"/>
                <w:color w:val="000000"/>
                <w:spacing w:val="0"/>
                <w:w w:val="100"/>
                <w:position w:val="0"/>
                <w:sz w:val="19"/>
                <w:szCs w:val="19"/>
              </w:rPr>
              <w:t>有符合职位要求的专业知识利工作能力；</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w:t>
            </w:r>
            <w:r>
              <w:rPr>
                <w:b w:val="0"/>
                <w:bCs w:val="0"/>
                <w:i w:val="0"/>
                <w:iCs w:val="0"/>
                <w:smallCaps w:val="0"/>
                <w:strike w:val="0"/>
                <w:color w:val="000000"/>
                <w:spacing w:val="0"/>
                <w:w w:val="100"/>
                <w:position w:val="0"/>
                <w:sz w:val="19"/>
                <w:szCs w:val="19"/>
              </w:rPr>
              <w:tab/>
            </w:r>
            <w:r>
              <w:rPr>
                <w:b w:val="0"/>
                <w:bCs w:val="0"/>
                <w:i w:val="0"/>
                <w:iCs w:val="0"/>
                <w:smallCaps w:val="0"/>
                <w:strike w:val="0"/>
                <w:color w:val="000000"/>
                <w:spacing w:val="0"/>
                <w:w w:val="100"/>
                <w:position w:val="0"/>
                <w:sz w:val="19"/>
                <w:szCs w:val="19"/>
              </w:rPr>
              <w:t>有能够正常履行职责的身体条件；</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w:t>
            </w:r>
            <w:r>
              <w:rPr>
                <w:b w:val="0"/>
                <w:bCs w:val="0"/>
                <w:i w:val="0"/>
                <w:iCs w:val="0"/>
                <w:smallCaps w:val="0"/>
                <w:strike w:val="0"/>
                <w:color w:val="000000"/>
                <w:spacing w:val="0"/>
                <w:w w:val="100"/>
                <w:position w:val="0"/>
                <w:sz w:val="19"/>
                <w:szCs w:val="19"/>
              </w:rPr>
              <w:tab/>
            </w:r>
            <w:r>
              <w:rPr>
                <w:b w:val="0"/>
                <w:bCs w:val="0"/>
                <w:i w:val="0"/>
                <w:iCs w:val="0"/>
                <w:smallCaps w:val="0"/>
                <w:strike w:val="0"/>
                <w:color w:val="000000"/>
                <w:spacing w:val="0"/>
                <w:w w:val="100"/>
                <w:position w:val="0"/>
                <w:sz w:val="19"/>
                <w:szCs w:val="19"/>
              </w:rPr>
              <w:t>法律、行政法规规定的其他条件。</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380" w:firstLineChars="200"/>
              <w:jc w:val="left"/>
              <w:rPr>
                <w:color w:val="000000"/>
                <w:spacing w:val="0"/>
                <w:w w:val="100"/>
                <w:position w:val="0"/>
                <w:sz w:val="19"/>
                <w:szCs w:val="19"/>
              </w:rPr>
            </w:pPr>
            <w:r>
              <w:rPr>
                <w:color w:val="000000"/>
                <w:spacing w:val="0"/>
                <w:w w:val="100"/>
                <w:position w:val="0"/>
                <w:sz w:val="19"/>
                <w:szCs w:val="19"/>
              </w:rPr>
              <w:t>国</w:t>
            </w:r>
            <w:r>
              <w:rPr>
                <w:rFonts w:hint="eastAsia"/>
                <w:color w:val="000000"/>
                <w:spacing w:val="0"/>
                <w:w w:val="100"/>
                <w:position w:val="0"/>
                <w:sz w:val="19"/>
                <w:szCs w:val="19"/>
                <w:lang w:eastAsia="zh-CN"/>
              </w:rPr>
              <w:t>资</w:t>
            </w:r>
            <w:r>
              <w:rPr>
                <w:color w:val="000000"/>
                <w:spacing w:val="0"/>
                <w:w w:val="100"/>
                <w:position w:val="0"/>
                <w:sz w:val="19"/>
                <w:szCs w:val="19"/>
              </w:rPr>
              <w:t>委、财政部等</w:t>
            </w:r>
          </w:p>
          <w:p>
            <w:pPr>
              <w:pStyle w:val="20"/>
              <w:keepNext w:val="0"/>
              <w:keepLines w:val="0"/>
              <w:widowControl w:val="0"/>
              <w:shd w:val="clear" w:color="auto" w:fill="auto"/>
              <w:bidi w:val="0"/>
              <w:spacing w:before="0" w:after="0" w:line="317" w:lineRule="exact"/>
              <w:ind w:left="0" w:right="0" w:firstLine="380" w:firstLineChars="200"/>
              <w:jc w:val="left"/>
              <w:rPr>
                <w:sz w:val="19"/>
                <w:szCs w:val="19"/>
              </w:rPr>
            </w:pPr>
            <w:r>
              <w:rPr>
                <w:color w:val="000000"/>
                <w:spacing w:val="0"/>
                <w:w w:val="100"/>
                <w:position w:val="0"/>
                <w:sz w:val="19"/>
                <w:szCs w:val="19"/>
              </w:rPr>
              <w:t>有关部门</w:t>
            </w:r>
          </w:p>
        </w:tc>
      </w:tr>
      <w:tr>
        <w:tblPrEx>
          <w:tblCellMar>
            <w:top w:w="0" w:type="dxa"/>
            <w:left w:w="10" w:type="dxa"/>
            <w:bottom w:w="0" w:type="dxa"/>
            <w:right w:w="10" w:type="dxa"/>
          </w:tblCellMar>
        </w:tblPrEx>
        <w:trPr>
          <w:trHeight w:val="2698" w:hRule="exact"/>
          <w:jc w:val="center"/>
        </w:trPr>
        <w:tc>
          <w:tcPr>
            <w:tcW w:w="2251"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18" w:lineRule="exact"/>
              <w:ind w:left="0" w:right="0" w:firstLine="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18" w:lineRule="exact"/>
              <w:ind w:left="0" w:right="0" w:firstLine="0"/>
              <w:jc w:val="both"/>
              <w:rPr>
                <w:sz w:val="19"/>
                <w:szCs w:val="19"/>
              </w:rPr>
            </w:pPr>
            <w:r>
              <w:rPr>
                <w:b w:val="0"/>
                <w:bCs w:val="0"/>
                <w:i w:val="0"/>
                <w:iCs w:val="0"/>
                <w:smallCaps w:val="0"/>
                <w:strike w:val="0"/>
                <w:color w:val="000000"/>
                <w:spacing w:val="0"/>
                <w:w w:val="100"/>
                <w:position w:val="0"/>
                <w:sz w:val="19"/>
                <w:szCs w:val="19"/>
              </w:rPr>
              <w:t>6</w:t>
            </w:r>
            <w:r>
              <w:rPr>
                <w:rFonts w:hint="eastAsia"/>
                <w:b w:val="0"/>
                <w:bCs w:val="0"/>
                <w:i w:val="0"/>
                <w:iCs w:val="0"/>
                <w:smallCaps w:val="0"/>
                <w:strike w:val="0"/>
                <w:color w:val="000000"/>
                <w:spacing w:val="0"/>
                <w:w w:val="100"/>
                <w:position w:val="0"/>
                <w:sz w:val="19"/>
                <w:szCs w:val="19"/>
                <w:lang w:eastAsia="zh-CN"/>
              </w:rPr>
              <w:t>、</w:t>
            </w:r>
            <w:r>
              <w:rPr>
                <w:color w:val="000000"/>
                <w:spacing w:val="0"/>
                <w:w w:val="100"/>
                <w:position w:val="0"/>
                <w:sz w:val="19"/>
                <w:szCs w:val="19"/>
              </w:rPr>
              <w:t>在申请信贷融资或办理信用卡时，金融机构将其失信信息作为审核的重要参考因素。</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《国务院关于促进市场公平竞争维护市场正常秩序的若干意见》（国发〔201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w:t>
            </w:r>
            <w:r>
              <w:rPr>
                <w:b w:val="0"/>
                <w:bCs w:val="0"/>
                <w:i w:val="0"/>
                <w:iCs w:val="0"/>
                <w:smallCaps w:val="0"/>
                <w:strike w:val="0"/>
                <w:color w:val="000000"/>
                <w:spacing w:val="0"/>
                <w:w w:val="100"/>
                <w:position w:val="0"/>
                <w:sz w:val="19"/>
                <w:szCs w:val="19"/>
                <w:lang w:val="en-US" w:eastAsia="en-US"/>
              </w:rPr>
              <w:t xml:space="preserve"> </w:t>
            </w:r>
            <w:r>
              <w:rPr>
                <w:b w:val="0"/>
                <w:bCs w:val="0"/>
                <w:i w:val="0"/>
                <w:iCs w:val="0"/>
                <w:smallCaps w:val="0"/>
                <w:strike w:val="0"/>
                <w:color w:val="000000"/>
                <w:spacing w:val="0"/>
                <w:w w:val="100"/>
                <w:position w:val="0"/>
                <w:sz w:val="19"/>
                <w:szCs w:val="19"/>
              </w:rPr>
              <w:t>20号）</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（十五）建立健全守信激励和失信惩戒机制。将市场主体的信用信息作为实施行政管理的重要参考。根据市场主体信用状况实行分类分级、动态监管，建立健全经营异常名录制度，对违背市场竞争原则和侵 犯消费者、劳动者合法权益的市场主体建立“黑名单</w:t>
            </w:r>
            <w:r>
              <w:rPr>
                <w:b w:val="0"/>
                <w:bCs w:val="0"/>
                <w:i w:val="0"/>
                <w:iCs w:val="0"/>
                <w:smallCaps w:val="0"/>
                <w:strike w:val="0"/>
                <w:color w:val="000000"/>
                <w:spacing w:val="0"/>
                <w:w w:val="100"/>
                <w:position w:val="0"/>
                <w:sz w:val="19"/>
                <w:szCs w:val="19"/>
                <w:lang w:val="zh-CN" w:eastAsia="zh-CN"/>
              </w:rPr>
              <w:t>”制度</w:t>
            </w:r>
            <w:r>
              <w:rPr>
                <w:b w:val="0"/>
                <w:bCs w:val="0"/>
                <w:i w:val="0"/>
                <w:iCs w:val="0"/>
                <w:smallCaps w:val="0"/>
                <w:strike w:val="0"/>
                <w:color w:val="000000"/>
                <w:spacing w:val="0"/>
                <w:w w:val="100"/>
                <w:position w:val="0"/>
                <w:sz w:val="19"/>
                <w:szCs w:val="19"/>
              </w:rPr>
              <w:t>。（工商总局牵头负责）对守信主体予以支持和 激励，对失信主体在经营、投融资、取得政府供应土地、进出口、岀入境、注册新公司、工程招投标、政 府采购、获得荣誉、安全许可、生产许可、从业任职资格、资质审核等方面依法予以限制或禁止，对严重 违法失信主体实行市场禁入制度。</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80" w:firstLineChars="200"/>
              <w:jc w:val="left"/>
              <w:rPr>
                <w:sz w:val="19"/>
                <w:szCs w:val="19"/>
              </w:rPr>
            </w:pPr>
            <w:r>
              <w:rPr>
                <w:color w:val="000000"/>
                <w:spacing w:val="0"/>
                <w:w w:val="100"/>
                <w:position w:val="0"/>
                <w:sz w:val="19"/>
                <w:szCs w:val="19"/>
              </w:rPr>
              <w:t>银监会</w:t>
            </w:r>
          </w:p>
        </w:tc>
      </w:tr>
      <w:tr>
        <w:tblPrEx>
          <w:tblCellMar>
            <w:top w:w="0" w:type="dxa"/>
            <w:left w:w="10" w:type="dxa"/>
            <w:bottom w:w="0" w:type="dxa"/>
            <w:right w:w="10" w:type="dxa"/>
          </w:tblCellMar>
        </w:tblPrEx>
        <w:trPr>
          <w:trHeight w:val="2839" w:hRule="exact"/>
          <w:jc w:val="center"/>
        </w:trPr>
        <w:tc>
          <w:tcPr>
            <w:tcW w:w="2251"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6"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sz w:val="19"/>
                <w:szCs w:val="19"/>
              </w:rPr>
            </w:pPr>
            <w:r>
              <w:rPr>
                <w:rFonts w:hint="eastAsia"/>
                <w:b w:val="0"/>
                <w:bCs w:val="0"/>
                <w:i w:val="0"/>
                <w:iCs w:val="0"/>
                <w:smallCaps w:val="0"/>
                <w:strike w:val="0"/>
                <w:color w:val="000000"/>
                <w:spacing w:val="0"/>
                <w:w w:val="100"/>
                <w:position w:val="0"/>
                <w:sz w:val="19"/>
                <w:szCs w:val="19"/>
                <w:lang w:val="en-US" w:eastAsia="zh-CN"/>
              </w:rPr>
              <w:t>7、</w:t>
            </w:r>
            <w:r>
              <w:rPr>
                <w:color w:val="000000"/>
                <w:spacing w:val="0"/>
                <w:w w:val="100"/>
                <w:position w:val="0"/>
                <w:sz w:val="19"/>
                <w:szCs w:val="19"/>
              </w:rPr>
              <w:t>依法限制有不良信用记录的基金、基金管理人和从业人员从事政府出资产业投资基金相关活动.</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《国家发展改革委关于印发</w:t>
            </w:r>
            <w:r>
              <w:rPr>
                <w:b w:val="0"/>
                <w:bCs w:val="0"/>
                <w:i w:val="0"/>
                <w:iCs w:val="0"/>
                <w:smallCaps w:val="0"/>
                <w:strike w:val="0"/>
                <w:color w:val="000000"/>
                <w:spacing w:val="0"/>
                <w:w w:val="100"/>
                <w:position w:val="0"/>
                <w:sz w:val="19"/>
                <w:szCs w:val="19"/>
                <w:lang w:val="en-US" w:eastAsia="en-US"/>
              </w:rPr>
              <w:t>v</w:t>
            </w:r>
            <w:r>
              <w:rPr>
                <w:b w:val="0"/>
                <w:bCs w:val="0"/>
                <w:i w:val="0"/>
                <w:iCs w:val="0"/>
                <w:smallCaps w:val="0"/>
                <w:strike w:val="0"/>
                <w:color w:val="000000"/>
                <w:spacing w:val="0"/>
                <w:w w:val="100"/>
                <w:position w:val="0"/>
                <w:sz w:val="19"/>
                <w:szCs w:val="19"/>
              </w:rPr>
              <w:t>政府出资产业投资基金管理暂行办法</w:t>
            </w:r>
            <w:r>
              <w:rPr>
                <w:b w:val="0"/>
                <w:bCs w:val="0"/>
                <w:i w:val="0"/>
                <w:iCs w:val="0"/>
                <w:smallCaps w:val="0"/>
                <w:strike w:val="0"/>
                <w:color w:val="000000"/>
                <w:spacing w:val="0"/>
                <w:w w:val="100"/>
                <w:position w:val="0"/>
                <w:sz w:val="19"/>
                <w:szCs w:val="19"/>
                <w:lang w:val="en-US" w:eastAsia="en-US"/>
              </w:rPr>
              <w:t>a</w:t>
            </w:r>
            <w:r>
              <w:rPr>
                <w:b w:val="0"/>
                <w:bCs w:val="0"/>
                <w:i w:val="0"/>
                <w:iCs w:val="0"/>
                <w:smallCaps w:val="0"/>
                <w:strike w:val="0"/>
                <w:color w:val="000000"/>
                <w:spacing w:val="0"/>
                <w:w w:val="100"/>
                <w:position w:val="0"/>
                <w:sz w:val="19"/>
                <w:szCs w:val="19"/>
              </w:rPr>
              <w:t>的通知》（发改财金规〔201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 2800号） 第十九条政府出资产业投资基金管理人履行下列职责：</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（一）制定投资方案.并对所投企业进行监督、管理；</w:t>
            </w:r>
          </w:p>
          <w:p>
            <w:pPr>
              <w:pStyle w:val="20"/>
              <w:keepNext w:val="0"/>
              <w:keepLines w:val="0"/>
              <w:widowControl w:val="0"/>
              <w:shd w:val="clear" w:color="auto" w:fill="auto"/>
              <w:bidi w:val="0"/>
              <w:spacing w:before="0" w:after="0" w:line="315" w:lineRule="exact"/>
              <w:ind w:left="0" w:right="0" w:firstLine="62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（二）按基金公司章程规定向基金投资者披露基金投资运作、基金管理信息服务等信息。定期编制基金财务报吿，经有资质的会计师事务所审计后，向基金董事会（持有人大会）报告</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15"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（三）</w:t>
            </w:r>
            <w:r>
              <w:rPr>
                <w:b w:val="0"/>
                <w:bCs w:val="0"/>
                <w:i w:val="0"/>
                <w:iCs w:val="0"/>
                <w:smallCaps w:val="0"/>
                <w:strike w:val="0"/>
                <w:color w:val="000000"/>
                <w:spacing w:val="0"/>
                <w:w w:val="100"/>
                <w:position w:val="0"/>
                <w:sz w:val="19"/>
                <w:szCs w:val="19"/>
              </w:rPr>
              <w:t>基金公司章程、基金管理协议中确定的其他职责。</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80" w:firstLineChars="200"/>
              <w:jc w:val="left"/>
              <w:rPr>
                <w:sz w:val="19"/>
                <w:szCs w:val="19"/>
              </w:rPr>
            </w:pPr>
            <w:r>
              <w:rPr>
                <w:color w:val="000000"/>
                <w:spacing w:val="0"/>
                <w:w w:val="100"/>
                <w:position w:val="0"/>
                <w:sz w:val="19"/>
                <w:szCs w:val="19"/>
              </w:rPr>
              <w:t>国家发展改革委</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2"/>
        <w:gridCol w:w="9917"/>
        <w:gridCol w:w="2035"/>
      </w:tblGrid>
      <w:tr>
        <w:tblPrEx>
          <w:tblCellMar>
            <w:top w:w="0" w:type="dxa"/>
            <w:left w:w="10" w:type="dxa"/>
            <w:bottom w:w="0" w:type="dxa"/>
            <w:right w:w="10" w:type="dxa"/>
          </w:tblCellMar>
        </w:tblPrEx>
        <w:trPr>
          <w:trHeight w:val="41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第二十条基金管理人应符合以下条件：</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（一）在中国大陆依法设立的公司或合伙企业，实收资本不低于</w:t>
            </w:r>
            <w:r>
              <w:rPr>
                <w:rFonts w:hint="eastAsia"/>
                <w:b w:val="0"/>
                <w:bCs w:val="0"/>
                <w:i w:val="0"/>
                <w:iCs w:val="0"/>
                <w:smallCaps w:val="0"/>
                <w:strike w:val="0"/>
                <w:color w:val="000000"/>
                <w:spacing w:val="0"/>
                <w:w w:val="100"/>
                <w:position w:val="0"/>
                <w:sz w:val="19"/>
                <w:szCs w:val="19"/>
                <w:lang w:val="en-US" w:eastAsia="zh-CN"/>
              </w:rPr>
              <w:t>1000</w:t>
            </w:r>
            <w:r>
              <w:rPr>
                <w:b w:val="0"/>
                <w:bCs w:val="0"/>
                <w:i w:val="0"/>
                <w:iCs w:val="0"/>
                <w:smallCaps w:val="0"/>
                <w:strike w:val="0"/>
                <w:color w:val="000000"/>
                <w:spacing w:val="0"/>
                <w:w w:val="100"/>
                <w:position w:val="0"/>
                <w:sz w:val="19"/>
                <w:szCs w:val="19"/>
              </w:rPr>
              <w:t>万元人民币；</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w:t>
            </w:r>
            <w:r>
              <w:rPr>
                <w:rFonts w:hint="eastAsia"/>
                <w:b w:val="0"/>
                <w:bCs w:val="0"/>
                <w:i w:val="0"/>
                <w:iCs w:val="0"/>
                <w:smallCaps w:val="0"/>
                <w:strike w:val="0"/>
                <w:color w:val="000000"/>
                <w:spacing w:val="0"/>
                <w:w w:val="100"/>
                <w:position w:val="0"/>
                <w:sz w:val="19"/>
                <w:szCs w:val="19"/>
                <w:lang w:eastAsia="zh-CN"/>
              </w:rPr>
              <w:t>二</w:t>
            </w:r>
            <w:r>
              <w:rPr>
                <w:b w:val="0"/>
                <w:bCs w:val="0"/>
                <w:i w:val="0"/>
                <w:iCs w:val="0"/>
                <w:smallCaps w:val="0"/>
                <w:strike w:val="0"/>
                <w:color w:val="000000"/>
                <w:spacing w:val="0"/>
                <w:w w:val="100"/>
                <w:position w:val="0"/>
                <w:sz w:val="19"/>
                <w:szCs w:val="19"/>
              </w:rPr>
              <w:t>）至少有3名具备3年以上资产管理工作经验的高级管理人员；</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（三）产业投资基金管理人及其董事、监事、高级管理人员及其他从业人员在最近三年无重大违法行为：</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（四）有符合要求的营业场所、安全防范设施和与基金管理业务有关的其他设施：</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（五）有良好的内部治理结构和风险控制制度。</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第三十六条对有不良信用记录的基金、基金管理人和从业人员，国家发展改革委通过“信用中国” 网站统一向社会公布。地方发展改革部门可以根据各地实际情况，将区域内失信基金、基金管理人和从业 人员名单以适当方式予以公告。</w:t>
            </w:r>
          </w:p>
          <w:p>
            <w:pPr>
              <w:pStyle w:val="20"/>
              <w:keepNext w:val="0"/>
              <w:keepLines w:val="0"/>
              <w:widowControl w:val="0"/>
              <w:shd w:val="clear" w:color="auto" w:fill="auto"/>
              <w:tabs>
                <w:tab w:val="left" w:pos="1143"/>
              </w:tabs>
              <w:bidi w:val="0"/>
              <w:spacing w:before="0" w:after="0" w:line="319" w:lineRule="exact"/>
              <w:ind w:left="0" w:right="0" w:firstLine="6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发展改革部门会同有关部门依据所适用的法律法规及多部门签署的联合惩戒备忘录等对列入失信联合惩戒名单的基金、基金管理人和从业人员开展联合惩戒，惩戒措施包括但不限于市场禁入、限制作为供应 商参加政府釆购活动、限制财政补助补贴性资金支持、从严审核发行企业债券等。</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38"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6" w:lineRule="exact"/>
              <w:ind w:left="0" w:right="0" w:firstLine="0"/>
              <w:jc w:val="left"/>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left"/>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left"/>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left"/>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left"/>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left"/>
              <w:rPr>
                <w:sz w:val="19"/>
                <w:szCs w:val="19"/>
              </w:rPr>
            </w:pPr>
            <w:r>
              <w:rPr>
                <w:rFonts w:hint="eastAsia"/>
                <w:b w:val="0"/>
                <w:bCs w:val="0"/>
                <w:i w:val="0"/>
                <w:iCs w:val="0"/>
                <w:smallCaps w:val="0"/>
                <w:strike w:val="0"/>
                <w:color w:val="000000"/>
                <w:spacing w:val="0"/>
                <w:w w:val="100"/>
                <w:position w:val="0"/>
                <w:sz w:val="19"/>
                <w:szCs w:val="19"/>
                <w:lang w:val="en-US" w:eastAsia="zh-CN"/>
              </w:rPr>
              <w:t>8、</w:t>
            </w:r>
            <w:r>
              <w:rPr>
                <w:b w:val="0"/>
                <w:bCs w:val="0"/>
                <w:i w:val="0"/>
                <w:iCs w:val="0"/>
                <w:smallCaps w:val="0"/>
                <w:strike w:val="0"/>
                <w:color w:val="000000"/>
                <w:spacing w:val="0"/>
                <w:w w:val="100"/>
                <w:position w:val="0"/>
                <w:sz w:val="19"/>
                <w:szCs w:val="19"/>
              </w:rPr>
              <w:t>依</w:t>
            </w:r>
            <w:r>
              <w:rPr>
                <w:color w:val="000000"/>
                <w:spacing w:val="0"/>
                <w:w w:val="100"/>
                <w:position w:val="0"/>
                <w:sz w:val="19"/>
                <w:szCs w:val="19"/>
              </w:rPr>
              <w:t>法对申请发行企业债券不予受理。</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《国家发展改革委关于推进企业债券市场发展、简化发行核准程序有关事项的通知》（发改财金〔20</w:t>
            </w:r>
            <w:r>
              <w:rPr>
                <w:rFonts w:hint="eastAsia"/>
                <w:b w:val="0"/>
                <w:bCs w:val="0"/>
                <w:i w:val="0"/>
                <w:iCs w:val="0"/>
                <w:smallCaps w:val="0"/>
                <w:strike w:val="0"/>
                <w:color w:val="000000"/>
                <w:spacing w:val="0"/>
                <w:w w:val="100"/>
                <w:position w:val="0"/>
                <w:sz w:val="19"/>
                <w:szCs w:val="19"/>
                <w:lang w:val="en-US" w:eastAsia="zh-CN"/>
              </w:rPr>
              <w:t>08</w:t>
            </w:r>
            <w:r>
              <w:rPr>
                <w:b w:val="0"/>
                <w:bCs w:val="0"/>
                <w:i w:val="0"/>
                <w:iCs w:val="0"/>
                <w:smallCaps w:val="0"/>
                <w:strike w:val="0"/>
                <w:color w:val="000000"/>
                <w:spacing w:val="0"/>
                <w:w w:val="100"/>
                <w:position w:val="0"/>
                <w:sz w:val="19"/>
                <w:szCs w:val="19"/>
              </w:rPr>
              <w:t>〕7 号）</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第二条第（七）项：企业公开发行企业债券应符合下列条件：</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en-US" w:eastAsia="en-US"/>
              </w:rPr>
              <w:t>（</w:t>
            </w:r>
            <w:r>
              <w:rPr>
                <w:rFonts w:hint="eastAsia"/>
                <w:b w:val="0"/>
                <w:bCs w:val="0"/>
                <w:i w:val="0"/>
                <w:iCs w:val="0"/>
                <w:smallCaps w:val="0"/>
                <w:strike w:val="0"/>
                <w:color w:val="000000"/>
                <w:spacing w:val="0"/>
                <w:w w:val="100"/>
                <w:position w:val="0"/>
                <w:sz w:val="19"/>
                <w:szCs w:val="19"/>
                <w:lang w:val="en-US" w:eastAsia="zh-CN"/>
              </w:rPr>
              <w:t>一</w:t>
            </w:r>
            <w:r>
              <w:rPr>
                <w:b w:val="0"/>
                <w:bCs w:val="0"/>
                <w:i w:val="0"/>
                <w:iCs w:val="0"/>
                <w:smallCaps w:val="0"/>
                <w:strike w:val="0"/>
                <w:color w:val="000000"/>
                <w:spacing w:val="0"/>
                <w:w w:val="100"/>
                <w:position w:val="0"/>
                <w:sz w:val="19"/>
                <w:szCs w:val="19"/>
                <w:lang w:val="en-US" w:eastAsia="en-US"/>
              </w:rPr>
              <w:t>）</w:t>
            </w:r>
            <w:r>
              <w:rPr>
                <w:b w:val="0"/>
                <w:bCs w:val="0"/>
                <w:i w:val="0"/>
                <w:iCs w:val="0"/>
                <w:smallCaps w:val="0"/>
                <w:strike w:val="0"/>
                <w:color w:val="000000"/>
                <w:spacing w:val="0"/>
                <w:w w:val="100"/>
                <w:position w:val="0"/>
                <w:sz w:val="19"/>
                <w:szCs w:val="19"/>
              </w:rPr>
              <w:t>股份有限公司的净资产不低于人民币3000万元，有限责任公司和其他类型企业的净资产不低于人民币6000万元；</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（二）累计债券余额不超过企业净资产（不包括少数股东权益）的40%；</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（三）最近三年可分配利润（净利润）足以支付企业债券一年的利息；</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筹集资金的投向符合国家产业政策和行业发展方向，所需相关手续齐全。用于固定资产投资项目的，应符合固定资产投资项目资本金制度的要求，原则上累计发行额不得超过该项目总投资的60%。用于收购 产权（股权）的，比照该比例执行。用于调整债务结构的，不受该比例限制，但企业应提供银行同意以债 还贷的证明；</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（四）用于补充营运资金的，不超过发债总额的20%；</w:t>
            </w:r>
          </w:p>
          <w:p>
            <w:pPr>
              <w:pStyle w:val="20"/>
              <w:keepNext w:val="0"/>
              <w:keepLines w:val="0"/>
              <w:widowControl w:val="0"/>
              <w:shd w:val="clear" w:color="auto" w:fill="auto"/>
              <w:tabs>
                <w:tab w:val="left" w:pos="1143"/>
              </w:tabs>
              <w:bidi w:val="0"/>
              <w:spacing w:before="0" w:after="0" w:line="319"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（五）债券的利率由企业根据市场情况确定，但不得超过国务院限定的利率水平；</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80" w:firstLineChars="200"/>
              <w:jc w:val="left"/>
              <w:rPr>
                <w:sz w:val="19"/>
                <w:szCs w:val="19"/>
              </w:rPr>
            </w:pPr>
            <w:r>
              <w:rPr>
                <w:color w:val="000000"/>
                <w:spacing w:val="0"/>
                <w:w w:val="100"/>
                <w:position w:val="0"/>
                <w:sz w:val="19"/>
                <w:szCs w:val="19"/>
              </w:rPr>
              <w:t>国家发展改革委</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6"/>
        <w:gridCol w:w="9922"/>
        <w:gridCol w:w="2035"/>
      </w:tblGrid>
      <w:tr>
        <w:tblPrEx>
          <w:tblCellMar>
            <w:top w:w="0" w:type="dxa"/>
            <w:left w:w="10" w:type="dxa"/>
            <w:bottom w:w="0" w:type="dxa"/>
            <w:right w:w="10" w:type="dxa"/>
          </w:tblCellMar>
        </w:tblPrEx>
        <w:trPr>
          <w:trHeight w:val="7949"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color w:val="000000"/>
                <w:spacing w:val="0"/>
                <w:w w:val="100"/>
                <w:position w:val="0"/>
                <w:sz w:val="19"/>
                <w:szCs w:val="19"/>
              </w:rPr>
              <w:t>（六）</w:t>
            </w:r>
            <w:r>
              <w:rPr>
                <w:b w:val="0"/>
                <w:bCs w:val="0"/>
                <w:i w:val="0"/>
                <w:iCs w:val="0"/>
                <w:smallCaps w:val="0"/>
                <w:strike w:val="0"/>
                <w:color w:val="000000"/>
                <w:spacing w:val="0"/>
                <w:w w:val="100"/>
                <w:position w:val="0"/>
                <w:sz w:val="19"/>
                <w:szCs w:val="19"/>
              </w:rPr>
              <w:t>己发行的企业债券或者其他债务未处于违约或者延迟支付本息的状态；</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（七）最近三年没有重大违法违规行为。</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《国家发展改革委人民银行中央编办关于在行政管理事项中使用信用记录和信用报告的若干意见》（发 改财金〔20</w:t>
            </w:r>
            <w:r>
              <w:rPr>
                <w:rFonts w:hint="eastAsia"/>
                <w:b w:val="0"/>
                <w:bCs w:val="0"/>
                <w:i w:val="0"/>
                <w:iCs w:val="0"/>
                <w:smallCaps w:val="0"/>
                <w:strike w:val="0"/>
                <w:color w:val="000000"/>
                <w:spacing w:val="0"/>
                <w:w w:val="100"/>
                <w:position w:val="0"/>
                <w:sz w:val="19"/>
                <w:szCs w:val="19"/>
                <w:lang w:val="en-US" w:eastAsia="zh-CN"/>
              </w:rPr>
              <w:t>13</w:t>
            </w:r>
            <w:r>
              <w:rPr>
                <w:b w:val="0"/>
                <w:bCs w:val="0"/>
                <w:i w:val="0"/>
                <w:iCs w:val="0"/>
                <w:smallCaps w:val="0"/>
                <w:strike w:val="0"/>
                <w:color w:val="000000"/>
                <w:spacing w:val="0"/>
                <w:w w:val="100"/>
                <w:position w:val="0"/>
                <w:sz w:val="19"/>
                <w:szCs w:val="19"/>
              </w:rPr>
              <w:t>〕 920号）</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二、切实发挥在行政管理事项中使用信用记录和信用报告的作用</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各级政府、各相关部门应将相关市场主体所提供的信用记录或信用报吿作为其实施行政管理的重要参考</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对守信者应探索实行优先办理、简化程序、</w:t>
            </w:r>
            <w:r>
              <w:rPr>
                <w:b w:val="0"/>
                <w:bCs w:val="0"/>
                <w:i w:val="0"/>
                <w:iCs w:val="0"/>
                <w:smallCaps w:val="0"/>
                <w:strike w:val="0"/>
                <w:color w:val="000000"/>
                <w:spacing w:val="0"/>
                <w:w w:val="100"/>
                <w:position w:val="0"/>
                <w:sz w:val="19"/>
                <w:szCs w:val="19"/>
                <w:lang w:val="zh-CN" w:eastAsia="zh-CN"/>
              </w:rPr>
              <w:t>“绿</w:t>
            </w:r>
            <w:r>
              <w:rPr>
                <w:b w:val="0"/>
                <w:bCs w:val="0"/>
                <w:i w:val="0"/>
                <w:iCs w:val="0"/>
                <w:smallCaps w:val="0"/>
                <w:strike w:val="0"/>
                <w:color w:val="000000"/>
                <w:spacing w:val="0"/>
                <w:w w:val="100"/>
                <w:position w:val="0"/>
                <w:sz w:val="19"/>
                <w:szCs w:val="19"/>
              </w:rPr>
              <w:t>色通道</w:t>
            </w:r>
            <w:r>
              <w:rPr>
                <w:b w:val="0"/>
                <w:bCs w:val="0"/>
                <w:i w:val="0"/>
                <w:iCs w:val="0"/>
                <w:smallCaps w:val="0"/>
                <w:strike w:val="0"/>
                <w:color w:val="000000"/>
                <w:spacing w:val="0"/>
                <w:w w:val="100"/>
                <w:position w:val="0"/>
                <w:sz w:val="19"/>
                <w:szCs w:val="19"/>
                <w:lang w:val="zh-CN" w:eastAsia="zh-CN"/>
              </w:rPr>
              <w:t>”和重</w:t>
            </w:r>
            <w:r>
              <w:rPr>
                <w:b w:val="0"/>
                <w:bCs w:val="0"/>
                <w:i w:val="0"/>
                <w:iCs w:val="0"/>
                <w:smallCaps w:val="0"/>
                <w:strike w:val="0"/>
                <w:color w:val="000000"/>
                <w:spacing w:val="0"/>
                <w:w w:val="100"/>
                <w:position w:val="0"/>
                <w:sz w:val="19"/>
                <w:szCs w:val="19"/>
              </w:rPr>
              <w:t>点支持等激励政策</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对失信者，应结合失信类别和程度，严格落实失信惩戒制度。</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三、探索完善在行政管理事项中使用信用记录和信用报告的制度规范</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各级政府、各相关部门应结合地方和部门实际，在政府釆购、招标投标、行政审批、市场准入、资质审核等行政管理事项中依法要求相关市场主体提供由第三方信用服务机构出具的信用记录或信用报告。</w:t>
            </w:r>
          </w:p>
          <w:p>
            <w:pPr>
              <w:pStyle w:val="20"/>
              <w:keepNext w:val="0"/>
              <w:keepLines w:val="0"/>
              <w:widowControl w:val="0"/>
              <w:shd w:val="clear" w:color="auto" w:fill="auto"/>
              <w:bidi w:val="0"/>
              <w:spacing w:before="0" w:after="0" w:line="315" w:lineRule="exact"/>
              <w:ind w:left="0" w:right="0" w:firstLine="620"/>
              <w:jc w:val="left"/>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各级政府、各相关部门应根据履职需要，研究明确信用记录或信用报告的主要内容和运用规范</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五、不断健全全社会守信激励和失信惩戒的联动机制</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《国家发展改革委办公厅关于进一步改进企业债券发行审核工作的通知》（发改办财金〔201</w:t>
            </w:r>
            <w:r>
              <w:rPr>
                <w:rFonts w:hint="eastAsia"/>
                <w:b w:val="0"/>
                <w:bCs w:val="0"/>
                <w:i w:val="0"/>
                <w:iCs w:val="0"/>
                <w:smallCaps w:val="0"/>
                <w:strike w:val="0"/>
                <w:color w:val="000000"/>
                <w:spacing w:val="0"/>
                <w:w w:val="100"/>
                <w:position w:val="0"/>
                <w:sz w:val="19"/>
                <w:szCs w:val="19"/>
                <w:lang w:val="en-US" w:eastAsia="zh-CN"/>
              </w:rPr>
              <w:t>3</w:t>
            </w:r>
            <w:r>
              <w:rPr>
                <w:b w:val="0"/>
                <w:bCs w:val="0"/>
                <w:i w:val="0"/>
                <w:iCs w:val="0"/>
                <w:smallCaps w:val="0"/>
                <w:strike w:val="0"/>
                <w:color w:val="000000"/>
                <w:spacing w:val="0"/>
                <w:w w:val="100"/>
                <w:position w:val="0"/>
                <w:sz w:val="19"/>
                <w:szCs w:val="19"/>
              </w:rPr>
              <w:t>〕957号）对于以下两类发债申请，要从严审核，有效防范市场风险。</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（一）募集资金用于产能过剩、高污染、高耗能等国家产业政策限制领域的发债申请。</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w:t>
            </w:r>
            <w:r>
              <w:rPr>
                <w:rFonts w:hint="eastAsia"/>
                <w:b w:val="0"/>
                <w:bCs w:val="0"/>
                <w:i w:val="0"/>
                <w:iCs w:val="0"/>
                <w:smallCaps w:val="0"/>
                <w:strike w:val="0"/>
                <w:color w:val="000000"/>
                <w:spacing w:val="0"/>
                <w:w w:val="100"/>
                <w:position w:val="0"/>
                <w:sz w:val="19"/>
                <w:szCs w:val="19"/>
                <w:lang w:eastAsia="zh-CN"/>
              </w:rPr>
              <w:t>二</w:t>
            </w:r>
            <w:r>
              <w:rPr>
                <w:b w:val="0"/>
                <w:bCs w:val="0"/>
                <w:i w:val="0"/>
                <w:iCs w:val="0"/>
                <w:smallCaps w:val="0"/>
                <w:strike w:val="0"/>
                <w:color w:val="000000"/>
                <w:spacing w:val="0"/>
                <w:w w:val="100"/>
                <w:position w:val="0"/>
                <w:sz w:val="19"/>
                <w:szCs w:val="19"/>
              </w:rPr>
              <w:t>）企业信用等级较低，负债率高，债券余额较大或运作不规范、资产不实、偿债措施较弱的发债申请。</w:t>
            </w:r>
          </w:p>
          <w:p>
            <w:pPr>
              <w:pStyle w:val="20"/>
              <w:keepNext w:val="0"/>
              <w:keepLines w:val="0"/>
              <w:widowControl w:val="0"/>
              <w:shd w:val="clear" w:color="auto" w:fill="auto"/>
              <w:bidi w:val="0"/>
              <w:spacing w:before="0" w:after="0" w:line="315"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《国务院关于促进市场公平竞争维护市场正常秩序的若干意见》（国发〔201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〕20号）</w:t>
            </w:r>
          </w:p>
          <w:p>
            <w:pPr>
              <w:pStyle w:val="20"/>
              <w:keepNext w:val="0"/>
              <w:keepLines w:val="0"/>
              <w:widowControl w:val="0"/>
              <w:shd w:val="clear" w:color="auto" w:fill="auto"/>
              <w:bidi w:val="0"/>
              <w:spacing w:before="0" w:after="0" w:line="315" w:lineRule="exact"/>
              <w:ind w:left="0" w:right="0" w:firstLine="620"/>
              <w:jc w:val="left"/>
              <w:rPr>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（十五）建立健全守信激励和失信惩戒机制。将市场主体的信用信息作为实施行政管理的重要参考。根据市场主体信用状况实行分类分级、动态监管，建立健全经营异常名录制度，对违背市场竞争原则和侵 犯消费者、劳动者合法权益的市场主体建立</w:t>
            </w:r>
            <w:r>
              <w:rPr>
                <w:b w:val="0"/>
                <w:bCs w:val="0"/>
                <w:i w:val="0"/>
                <w:iCs w:val="0"/>
                <w:smallCaps w:val="0"/>
                <w:strike w:val="0"/>
                <w:color w:val="000000"/>
                <w:spacing w:val="0"/>
                <w:w w:val="100"/>
                <w:position w:val="0"/>
                <w:sz w:val="19"/>
                <w:szCs w:val="19"/>
                <w:lang w:val="zh-CN" w:eastAsia="zh-CN"/>
              </w:rPr>
              <w:t>“黑</w:t>
            </w:r>
            <w:r>
              <w:rPr>
                <w:b w:val="0"/>
                <w:bCs w:val="0"/>
                <w:i w:val="0"/>
                <w:iCs w:val="0"/>
                <w:smallCaps w:val="0"/>
                <w:strike w:val="0"/>
                <w:color w:val="000000"/>
                <w:spacing w:val="0"/>
                <w:w w:val="100"/>
                <w:position w:val="0"/>
                <w:sz w:val="19"/>
                <w:szCs w:val="19"/>
              </w:rPr>
              <w:t>名单”制度。（工商总局牵头負责）对守信主体予以支持 和激励，对失信主体在经营、投融资、取得政府供应土地、进出口、出入境、注册新公司、工程招投标、 政府采购、获得荣誉、安全许可、</w:t>
            </w:r>
            <w:r>
              <w:rPr>
                <w:color w:val="000000"/>
                <w:spacing w:val="0"/>
                <w:w w:val="100"/>
                <w:position w:val="0"/>
                <w:sz w:val="19"/>
                <w:szCs w:val="19"/>
              </w:rPr>
              <w:t>生产许可、从业任职资格、资质审核等方面依法予以限制或禁止，对严 重违法失信主体实行市场禁入制度。（各相关市场监管部门按职责分工分别负责）</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6"/>
        <w:gridCol w:w="9917"/>
        <w:gridCol w:w="2030"/>
      </w:tblGrid>
      <w:tr>
        <w:tblPrEx>
          <w:tblCellMar>
            <w:top w:w="0" w:type="dxa"/>
            <w:left w:w="10" w:type="dxa"/>
            <w:bottom w:w="0" w:type="dxa"/>
            <w:right w:w="10" w:type="dxa"/>
          </w:tblCellMar>
        </w:tblPrEx>
        <w:trPr>
          <w:trHeight w:val="2558" w:hRule="exact"/>
          <w:jc w:val="center"/>
        </w:trPr>
        <w:tc>
          <w:tcPr>
            <w:tcW w:w="2246"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lang w:val="zh-CN" w:eastAsia="zh-CN"/>
              </w:rPr>
            </w:pPr>
          </w:p>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lang w:val="zh-CN" w:eastAsia="zh-CN"/>
              </w:rPr>
            </w:pPr>
          </w:p>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9</w:t>
            </w:r>
            <w:r>
              <w:rPr>
                <w:rFonts w:hint="eastAsia"/>
                <w:b w:val="0"/>
                <w:bCs w:val="0"/>
                <w:i w:val="0"/>
                <w:iCs w:val="0"/>
                <w:smallCaps w:val="0"/>
                <w:strike w:val="0"/>
                <w:color w:val="000000"/>
                <w:spacing w:val="0"/>
                <w:w w:val="100"/>
                <w:position w:val="0"/>
                <w:sz w:val="19"/>
                <w:szCs w:val="19"/>
                <w:lang w:val="zh-CN" w:eastAsia="zh-CN"/>
              </w:rPr>
              <w:t>、</w:t>
            </w:r>
            <w:r>
              <w:rPr>
                <w:b w:val="0"/>
                <w:bCs w:val="0"/>
                <w:i w:val="0"/>
                <w:iCs w:val="0"/>
                <w:smallCaps w:val="0"/>
                <w:strike w:val="0"/>
                <w:color w:val="000000"/>
                <w:spacing w:val="0"/>
                <w:w w:val="100"/>
                <w:position w:val="0"/>
                <w:sz w:val="19"/>
                <w:szCs w:val="19"/>
              </w:rPr>
              <w:t>在注册非金融企业债务融资工具时，加强管理，按照注册发行有关工作要求，强化信息披露，加强投资人保护机制管理，防范有关风 险。</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《银行间债券市场非金融企业债务融资工具管理办法》（中国人民银行令</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08</w:t>
            </w:r>
            <w:r>
              <w:rPr>
                <w:b w:val="0"/>
                <w:bCs w:val="0"/>
                <w:i w:val="0"/>
                <w:iCs w:val="0"/>
                <w:smallCaps w:val="0"/>
                <w:strike w:val="0"/>
                <w:color w:val="000000"/>
                <w:spacing w:val="0"/>
                <w:w w:val="100"/>
                <w:position w:val="0"/>
                <w:sz w:val="19"/>
                <w:szCs w:val="19"/>
              </w:rPr>
              <w:t>〕</w:t>
            </w:r>
            <w:r>
              <w:rPr>
                <w:b w:val="0"/>
                <w:bCs w:val="0"/>
                <w:i w:val="0"/>
                <w:iCs w:val="0"/>
                <w:smallCaps w:val="0"/>
                <w:strike w:val="0"/>
                <w:sz w:val="19"/>
                <w:szCs w:val="19"/>
              </w:rPr>
              <w:t>第1号） 第三条债券融资工具发行与交易应通循诚信、自律原则.</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第七条企业发行债务融资工具应在银行间债券市场披露信息。披露信息应遵循诚实信用原则，不得有虚假记载、误导性陈述或重大遗漏。</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第九条为债务融资工具提供服务的承销机构、信用评级机构、注册会计师、律师等专业机构和人员应勤勉尽责，严格遵守执业规范和职业道德，按规定和约定履行义务。</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上述专业机构和人员所出具的文件含有虚假记载、误导性陈述和重大遗漏的，应当就其负有责任的部分承担相应的法律责任。</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人民银行</w:t>
            </w:r>
          </w:p>
        </w:tc>
      </w:tr>
      <w:tr>
        <w:tblPrEx>
          <w:tblCellMar>
            <w:top w:w="0" w:type="dxa"/>
            <w:left w:w="10" w:type="dxa"/>
            <w:bottom w:w="0" w:type="dxa"/>
            <w:right w:w="10" w:type="dxa"/>
          </w:tblCellMar>
        </w:tblPrEx>
        <w:trPr>
          <w:trHeight w:val="1906" w:hRule="exact"/>
          <w:jc w:val="center"/>
        </w:trPr>
        <w:tc>
          <w:tcPr>
            <w:tcW w:w="2246"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rPr>
            </w:pPr>
          </w:p>
          <w:p>
            <w:pPr>
              <w:pStyle w:val="20"/>
              <w:keepNext w:val="0"/>
              <w:keepLines w:val="0"/>
              <w:widowControl w:val="0"/>
              <w:shd w:val="clear" w:color="auto" w:fill="auto"/>
              <w:tabs>
                <w:tab w:val="left" w:pos="1133"/>
              </w:tabs>
              <w:bidi w:val="0"/>
              <w:spacing w:before="0" w:after="80" w:line="240" w:lineRule="auto"/>
              <w:ind w:left="0" w:leftChars="0" w:right="0" w:firstLine="0" w:firstLineChars="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10</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依法将失信信息作为公开发行公司债券核准的参考。</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《公司债券发行与交易管理办法》（中国证券监督管理委员会令第113号）</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第十七条存在下列情形之一的，不得公开发行公司债券：</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（一）</w:t>
            </w:r>
            <w:r>
              <w:rPr>
                <w:b w:val="0"/>
                <w:bCs w:val="0"/>
                <w:i w:val="0"/>
                <w:iCs w:val="0"/>
                <w:smallCaps w:val="0"/>
                <w:strike w:val="0"/>
                <w:sz w:val="19"/>
                <w:szCs w:val="19"/>
              </w:rPr>
              <w:tab/>
            </w:r>
            <w:r>
              <w:rPr>
                <w:b w:val="0"/>
                <w:bCs w:val="0"/>
                <w:i w:val="0"/>
                <w:iCs w:val="0"/>
                <w:smallCaps w:val="0"/>
                <w:strike w:val="0"/>
                <w:sz w:val="19"/>
                <w:szCs w:val="19"/>
              </w:rPr>
              <w:t>最近三十六个月内公司财务会计文件存在虚假记载，或公司存在其他重大违法行为；</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（二）</w:t>
            </w:r>
            <w:r>
              <w:rPr>
                <w:b w:val="0"/>
                <w:bCs w:val="0"/>
                <w:i w:val="0"/>
                <w:iCs w:val="0"/>
                <w:smallCaps w:val="0"/>
                <w:strike w:val="0"/>
                <w:sz w:val="19"/>
                <w:szCs w:val="19"/>
              </w:rPr>
              <w:tab/>
            </w:r>
            <w:r>
              <w:rPr>
                <w:b w:val="0"/>
                <w:bCs w:val="0"/>
                <w:i w:val="0"/>
                <w:iCs w:val="0"/>
                <w:smallCaps w:val="0"/>
                <w:strike w:val="0"/>
                <w:sz w:val="19"/>
                <w:szCs w:val="19"/>
              </w:rPr>
              <w:t>本次发行申请文件存在虚假记载、误导性陈述或者重大遗漏；</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（三）</w:t>
            </w:r>
            <w:r>
              <w:rPr>
                <w:b w:val="0"/>
                <w:bCs w:val="0"/>
                <w:i w:val="0"/>
                <w:iCs w:val="0"/>
                <w:smallCaps w:val="0"/>
                <w:strike w:val="0"/>
                <w:sz w:val="19"/>
                <w:szCs w:val="19"/>
              </w:rPr>
              <w:tab/>
            </w:r>
            <w:r>
              <w:rPr>
                <w:b w:val="0"/>
                <w:bCs w:val="0"/>
                <w:i w:val="0"/>
                <w:iCs w:val="0"/>
                <w:smallCaps w:val="0"/>
                <w:strike w:val="0"/>
                <w:sz w:val="19"/>
                <w:szCs w:val="19"/>
              </w:rPr>
              <w:t>对己发行的公司债券或者其他债务有违约或者迟延支付本息的事实，仍处于继续状态；</w:t>
            </w:r>
          </w:p>
          <w:p>
            <w:pPr>
              <w:pStyle w:val="20"/>
              <w:keepNext w:val="0"/>
              <w:keepLines w:val="0"/>
              <w:widowControl w:val="0"/>
              <w:shd w:val="clear" w:color="auto" w:fill="auto"/>
              <w:bidi w:val="0"/>
              <w:spacing w:before="0" w:after="0" w:line="320" w:lineRule="exact"/>
              <w:ind w:left="0" w:right="0" w:firstLine="500"/>
              <w:jc w:val="both"/>
              <w:rPr>
                <w:b w:val="0"/>
                <w:bCs w:val="0"/>
                <w:i w:val="0"/>
                <w:iCs w:val="0"/>
                <w:smallCaps w:val="0"/>
                <w:strike w:val="0"/>
                <w:sz w:val="19"/>
                <w:szCs w:val="19"/>
              </w:rPr>
            </w:pPr>
            <w:r>
              <w:rPr>
                <w:b w:val="0"/>
                <w:bCs w:val="0"/>
                <w:i w:val="0"/>
                <w:iCs w:val="0"/>
                <w:smallCaps w:val="0"/>
                <w:strike w:val="0"/>
                <w:sz w:val="19"/>
                <w:szCs w:val="19"/>
              </w:rPr>
              <w:t>（四）</w:t>
            </w:r>
            <w:r>
              <w:rPr>
                <w:b w:val="0"/>
                <w:bCs w:val="0"/>
                <w:i w:val="0"/>
                <w:iCs w:val="0"/>
                <w:smallCaps w:val="0"/>
                <w:strike w:val="0"/>
                <w:sz w:val="19"/>
                <w:szCs w:val="19"/>
              </w:rPr>
              <w:tab/>
            </w:r>
            <w:r>
              <w:rPr>
                <w:b w:val="0"/>
                <w:bCs w:val="0"/>
                <w:i w:val="0"/>
                <w:iCs w:val="0"/>
                <w:smallCaps w:val="0"/>
                <w:strike w:val="0"/>
                <w:sz w:val="19"/>
                <w:szCs w:val="19"/>
              </w:rPr>
              <w:t>严重损害投资者合法权益和社会公共利益的其他情形。</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r>
        <w:tblPrEx>
          <w:tblCellMar>
            <w:top w:w="0" w:type="dxa"/>
            <w:left w:w="10" w:type="dxa"/>
            <w:bottom w:w="0" w:type="dxa"/>
            <w:right w:w="10" w:type="dxa"/>
          </w:tblCellMar>
        </w:tblPrEx>
        <w:trPr>
          <w:trHeight w:val="4041" w:hRule="exact"/>
          <w:jc w:val="center"/>
        </w:trPr>
        <w:tc>
          <w:tcPr>
            <w:tcW w:w="2246"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b w:val="0"/>
                <w:bCs w:val="0"/>
                <w:i w:val="0"/>
                <w:iCs w:val="0"/>
                <w:smallCaps w:val="0"/>
                <w:strike w:val="0"/>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sz w:val="19"/>
                <w:szCs w:val="19"/>
              </w:rPr>
            </w:pPr>
            <w:r>
              <w:rPr>
                <w:rFonts w:hint="eastAsia"/>
                <w:b w:val="0"/>
                <w:bCs w:val="0"/>
                <w:i w:val="0"/>
                <w:iCs w:val="0"/>
                <w:smallCaps w:val="0"/>
                <w:strike w:val="0"/>
                <w:color w:val="000000"/>
                <w:spacing w:val="0"/>
                <w:w w:val="100"/>
                <w:position w:val="0"/>
                <w:sz w:val="19"/>
                <w:szCs w:val="19"/>
                <w:lang w:val="en-US" w:eastAsia="zh-CN"/>
              </w:rPr>
              <w:t>11、</w:t>
            </w:r>
            <w:r>
              <w:rPr>
                <w:color w:val="000000"/>
                <w:spacing w:val="0"/>
                <w:w w:val="100"/>
                <w:position w:val="0"/>
                <w:sz w:val="19"/>
                <w:szCs w:val="19"/>
              </w:rPr>
              <w:t>在股票发行审核及在全国中小企业股份转让系统挂牌公开转让审核中，依法将失信信息作为参考。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6" w:lineRule="exact"/>
              <w:ind w:left="0" w:right="0" w:firstLine="180"/>
              <w:jc w:val="left"/>
              <w:rPr>
                <w:sz w:val="19"/>
                <w:szCs w:val="19"/>
              </w:rPr>
            </w:pPr>
            <w:r>
              <w:rPr>
                <w:color w:val="000000"/>
                <w:spacing w:val="0"/>
                <w:w w:val="100"/>
                <w:position w:val="0"/>
                <w:sz w:val="19"/>
                <w:szCs w:val="19"/>
              </w:rPr>
              <w:t>《中华人民共和国证券法》</w:t>
            </w:r>
          </w:p>
          <w:p>
            <w:pPr>
              <w:pStyle w:val="20"/>
              <w:keepNext w:val="0"/>
              <w:keepLines w:val="0"/>
              <w:widowControl w:val="0"/>
              <w:shd w:val="clear" w:color="auto" w:fill="auto"/>
              <w:bidi w:val="0"/>
              <w:spacing w:before="0" w:after="80" w:line="326" w:lineRule="exact"/>
              <w:ind w:left="0" w:right="0" w:firstLine="500"/>
              <w:jc w:val="left"/>
              <w:rPr>
                <w:sz w:val="19"/>
                <w:szCs w:val="19"/>
              </w:rPr>
            </w:pPr>
            <w:r>
              <w:rPr>
                <w:color w:val="000000"/>
                <w:spacing w:val="0"/>
                <w:w w:val="100"/>
                <w:position w:val="0"/>
                <w:sz w:val="19"/>
                <w:szCs w:val="19"/>
              </w:rPr>
              <w:t>第十三条公司公开发行新股，应当符合下列条件：</w:t>
            </w:r>
          </w:p>
          <w:p>
            <w:pPr>
              <w:pStyle w:val="20"/>
              <w:keepNext w:val="0"/>
              <w:keepLines w:val="0"/>
              <w:widowControl w:val="0"/>
              <w:shd w:val="clear" w:color="auto" w:fill="auto"/>
              <w:bidi w:val="0"/>
              <w:spacing w:before="0" w:after="0" w:line="326" w:lineRule="exact"/>
              <w:ind w:left="0" w:right="0" w:firstLine="500"/>
              <w:jc w:val="both"/>
              <w:rPr>
                <w:rFonts w:hint="eastAsia" w:eastAsia="宋体"/>
                <w:b w:val="0"/>
                <w:bCs w:val="0"/>
                <w:i w:val="0"/>
                <w:iCs w:val="0"/>
                <w:smallCaps w:val="0"/>
                <w:strike w:val="0"/>
                <w:color w:val="000000"/>
                <w:spacing w:val="0"/>
                <w:w w:val="100"/>
                <w:position w:val="0"/>
                <w:sz w:val="19"/>
                <w:szCs w:val="19"/>
                <w:lang w:eastAsia="zh-CN"/>
              </w:rPr>
            </w:pPr>
            <w:r>
              <w:rPr>
                <w:color w:val="000000"/>
                <w:spacing w:val="0"/>
                <w:w w:val="100"/>
                <w:position w:val="0"/>
                <w:sz w:val="19"/>
                <w:szCs w:val="19"/>
              </w:rPr>
              <w:t>（一）具备健全且运行良好的</w:t>
            </w:r>
            <w:r>
              <w:rPr>
                <w:b w:val="0"/>
                <w:bCs w:val="0"/>
                <w:i w:val="0"/>
                <w:iCs w:val="0"/>
                <w:smallCaps w:val="0"/>
                <w:strike w:val="0"/>
                <w:color w:val="000000"/>
                <w:spacing w:val="0"/>
                <w:w w:val="100"/>
                <w:position w:val="0"/>
                <w:sz w:val="19"/>
                <w:szCs w:val="19"/>
              </w:rPr>
              <w:t>组织机构</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26"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（二）具有持续盈利能力，财务状况良好；</w:t>
            </w:r>
          </w:p>
          <w:p>
            <w:pPr>
              <w:pStyle w:val="20"/>
              <w:keepNext w:val="0"/>
              <w:keepLines w:val="0"/>
              <w:widowControl w:val="0"/>
              <w:shd w:val="clear" w:color="auto" w:fill="auto"/>
              <w:bidi w:val="0"/>
              <w:spacing w:before="0" w:after="0" w:line="326" w:lineRule="exact"/>
              <w:ind w:left="0" w:right="0" w:firstLine="5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（三）最近三年财务会计文件无虚假记载，无其他重大违法行为</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26"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（四）经国务院批准的国务院证券监督管理机构规定的其他条件。</w:t>
            </w:r>
          </w:p>
          <w:p>
            <w:pPr>
              <w:pStyle w:val="20"/>
              <w:keepNext w:val="0"/>
              <w:keepLines w:val="0"/>
              <w:widowControl w:val="0"/>
              <w:shd w:val="clear" w:color="auto" w:fill="auto"/>
              <w:bidi w:val="0"/>
              <w:spacing w:before="0" w:after="0" w:line="326"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上市公司非公开发行新股，应当符合经国务院批准的国务院证券监督管理机构规定的条件，并报国务院证券监督管理机构核准。</w:t>
            </w:r>
          </w:p>
          <w:p>
            <w:pPr>
              <w:pStyle w:val="20"/>
              <w:keepNext w:val="0"/>
              <w:keepLines w:val="0"/>
              <w:widowControl w:val="0"/>
              <w:shd w:val="clear" w:color="auto" w:fill="auto"/>
              <w:bidi w:val="0"/>
              <w:spacing w:before="0" w:after="0" w:line="326"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《首次公开发行股票并上市管理办法》（证监会令第122号）</w:t>
            </w:r>
          </w:p>
          <w:p>
            <w:pPr>
              <w:pStyle w:val="20"/>
              <w:keepNext w:val="0"/>
              <w:keepLines w:val="0"/>
              <w:widowControl w:val="0"/>
              <w:shd w:val="clear" w:color="auto" w:fill="auto"/>
              <w:bidi w:val="0"/>
              <w:spacing w:before="0" w:after="0" w:line="326" w:lineRule="exact"/>
              <w:ind w:left="0" w:right="0" w:firstLine="5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第十八条发行人不得有下列情形</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26" w:lineRule="exact"/>
              <w:ind w:left="0" w:right="0" w:firstLine="500"/>
              <w:jc w:val="both"/>
              <w:rPr>
                <w:sz w:val="19"/>
                <w:szCs w:val="19"/>
              </w:rPr>
            </w:pPr>
            <w:r>
              <w:rPr>
                <w:b w:val="0"/>
                <w:bCs w:val="0"/>
                <w:i w:val="0"/>
                <w:iCs w:val="0"/>
                <w:smallCaps w:val="0"/>
                <w:strike w:val="0"/>
                <w:color w:val="000000"/>
                <w:spacing w:val="0"/>
                <w:w w:val="100"/>
                <w:position w:val="0"/>
                <w:sz w:val="19"/>
                <w:szCs w:val="19"/>
              </w:rPr>
              <w:t>（一）最近36个月内未经法定机关核准，擅自公开或者变相公开发行过证券</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或者有关违法行为虽然发生在36个月前，但目前仍处于持续状态；</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37"/>
        <w:gridCol w:w="9936"/>
        <w:gridCol w:w="2026"/>
      </w:tblGrid>
      <w:tr>
        <w:tblPrEx>
          <w:tblCellMar>
            <w:top w:w="0" w:type="dxa"/>
            <w:left w:w="10" w:type="dxa"/>
            <w:bottom w:w="0" w:type="dxa"/>
            <w:right w:w="10" w:type="dxa"/>
          </w:tblCellMar>
        </w:tblPrEx>
        <w:trPr>
          <w:trHeight w:val="827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6" w:lineRule="exact"/>
              <w:ind w:right="0"/>
              <w:jc w:val="left"/>
              <w:rPr>
                <w:rFonts w:hint="eastAsia" w:eastAsia="宋体"/>
                <w:sz w:val="19"/>
                <w:szCs w:val="19"/>
                <w:lang w:eastAsia="zh-CN"/>
              </w:rPr>
            </w:pPr>
            <w:r>
              <w:rPr>
                <w:color w:val="000000"/>
                <w:spacing w:val="0"/>
                <w:w w:val="100"/>
                <w:position w:val="0"/>
                <w:sz w:val="19"/>
                <w:szCs w:val="19"/>
              </w:rPr>
              <w:t>（</w:t>
            </w:r>
            <w:r>
              <w:rPr>
                <w:rFonts w:hint="eastAsia"/>
                <w:color w:val="000000"/>
                <w:spacing w:val="0"/>
                <w:w w:val="100"/>
                <w:position w:val="0"/>
                <w:sz w:val="19"/>
                <w:szCs w:val="19"/>
                <w:lang w:eastAsia="zh-CN"/>
              </w:rPr>
              <w:t>二</w:t>
            </w:r>
            <w:r>
              <w:rPr>
                <w:color w:val="000000"/>
                <w:spacing w:val="0"/>
                <w:w w:val="100"/>
                <w:position w:val="0"/>
                <w:sz w:val="19"/>
                <w:szCs w:val="19"/>
              </w:rPr>
              <w:t>）最近</w:t>
            </w:r>
            <w:r>
              <w:rPr>
                <w:b/>
                <w:bCs/>
                <w:color w:val="000000"/>
                <w:spacing w:val="0"/>
                <w:w w:val="100"/>
                <w:position w:val="0"/>
                <w:sz w:val="19"/>
                <w:szCs w:val="19"/>
                <w:lang w:val="zh-CN" w:eastAsia="zh-CN" w:bidi="zh-CN"/>
              </w:rPr>
              <w:t>36</w:t>
            </w:r>
            <w:r>
              <w:rPr>
                <w:color w:val="000000"/>
                <w:spacing w:val="0"/>
                <w:w w:val="100"/>
                <w:position w:val="0"/>
                <w:sz w:val="19"/>
                <w:szCs w:val="19"/>
              </w:rPr>
              <w:t>个月内违反工商、税收、土地、环保、海关以及其他法律、行政法规，受到行政处罚，且情节严重</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032"/>
              </w:tabs>
              <w:bidi w:val="0"/>
              <w:spacing w:before="0" w:after="0" w:line="316" w:lineRule="exact"/>
              <w:ind w:right="0"/>
              <w:jc w:val="left"/>
              <w:rPr>
                <w:sz w:val="19"/>
                <w:szCs w:val="19"/>
              </w:rPr>
            </w:pPr>
            <w:r>
              <w:rPr>
                <w:color w:val="000000"/>
                <w:spacing w:val="0"/>
                <w:w w:val="100"/>
                <w:position w:val="0"/>
                <w:sz w:val="19"/>
                <w:szCs w:val="19"/>
              </w:rPr>
              <w:t>（三）最近</w:t>
            </w:r>
            <w:r>
              <w:rPr>
                <w:b/>
                <w:bCs/>
                <w:color w:val="000000"/>
                <w:spacing w:val="0"/>
                <w:w w:val="100"/>
                <w:position w:val="0"/>
                <w:sz w:val="19"/>
                <w:szCs w:val="19"/>
              </w:rPr>
              <w:t>36</w:t>
            </w:r>
            <w:r>
              <w:rPr>
                <w:color w:val="000000"/>
                <w:spacing w:val="0"/>
                <w:w w:val="100"/>
                <w:position w:val="0"/>
                <w:sz w:val="19"/>
                <w:szCs w:val="19"/>
              </w:rPr>
              <w:t>个月内曾向中国证监会提出发行申请，但报送的发行中请文件有虚假记载、误导性陈述 或重大遗漏；或者不符合发行条件以欺骗手段骗取发行核准；或者以不正当手段干扰中国证监会及其发行审核委员会审核工作</w:t>
            </w:r>
            <w:r>
              <w:rPr>
                <w:rFonts w:hint="eastAsia"/>
                <w:color w:val="000000"/>
                <w:spacing w:val="0"/>
                <w:w w:val="100"/>
                <w:position w:val="0"/>
                <w:sz w:val="19"/>
                <w:szCs w:val="19"/>
                <w:lang w:eastAsia="zh-CN"/>
              </w:rPr>
              <w:t>；</w:t>
            </w:r>
            <w:r>
              <w:rPr>
                <w:color w:val="000000"/>
                <w:spacing w:val="0"/>
                <w:w w:val="100"/>
                <w:position w:val="0"/>
                <w:sz w:val="19"/>
                <w:szCs w:val="19"/>
              </w:rPr>
              <w:t>或者伪造、变造发行人或其董事、监事、高级管理人员的签字、盖章；</w:t>
            </w:r>
          </w:p>
          <w:p>
            <w:pPr>
              <w:pStyle w:val="20"/>
              <w:keepNext w:val="0"/>
              <w:keepLines w:val="0"/>
              <w:widowControl w:val="0"/>
              <w:shd w:val="clear" w:color="auto" w:fill="auto"/>
              <w:tabs>
                <w:tab w:val="left" w:pos="1138"/>
              </w:tabs>
              <w:bidi w:val="0"/>
              <w:spacing w:before="0" w:after="0" w:line="316" w:lineRule="exact"/>
              <w:ind w:right="0"/>
              <w:jc w:val="left"/>
              <w:rPr>
                <w:sz w:val="19"/>
                <w:szCs w:val="19"/>
              </w:rPr>
            </w:pPr>
            <w:r>
              <w:rPr>
                <w:color w:val="000000"/>
                <w:spacing w:val="0"/>
                <w:w w:val="100"/>
                <w:position w:val="0"/>
                <w:sz w:val="19"/>
                <w:szCs w:val="19"/>
              </w:rPr>
              <w:t>（四）本次报送的发行申请文件有虚假记载、误导性陈述或者重大遗漏；</w:t>
            </w:r>
          </w:p>
          <w:p>
            <w:pPr>
              <w:pStyle w:val="20"/>
              <w:keepNext w:val="0"/>
              <w:keepLines w:val="0"/>
              <w:widowControl w:val="0"/>
              <w:shd w:val="clear" w:color="auto" w:fill="auto"/>
              <w:tabs>
                <w:tab w:val="left" w:pos="1134"/>
              </w:tabs>
              <w:bidi w:val="0"/>
              <w:spacing w:before="0" w:after="0" w:line="316" w:lineRule="exact"/>
              <w:ind w:right="0"/>
              <w:jc w:val="both"/>
              <w:rPr>
                <w:sz w:val="19"/>
                <w:szCs w:val="19"/>
              </w:rPr>
            </w:pPr>
            <w:r>
              <w:rPr>
                <w:color w:val="000000"/>
                <w:spacing w:val="0"/>
                <w:w w:val="100"/>
                <w:position w:val="0"/>
                <w:sz w:val="19"/>
                <w:szCs w:val="19"/>
              </w:rPr>
              <w:t>（五）渉嫌犯罪被司法机关立案侦查，尚未有明确结论意见；</w:t>
            </w:r>
          </w:p>
          <w:p>
            <w:pPr>
              <w:pStyle w:val="20"/>
              <w:keepNext w:val="0"/>
              <w:keepLines w:val="0"/>
              <w:widowControl w:val="0"/>
              <w:shd w:val="clear" w:color="auto" w:fill="auto"/>
              <w:tabs>
                <w:tab w:val="left" w:pos="1143"/>
              </w:tabs>
              <w:bidi w:val="0"/>
              <w:spacing w:before="0" w:after="0" w:line="316" w:lineRule="exact"/>
              <w:ind w:right="0"/>
              <w:jc w:val="both"/>
              <w:rPr>
                <w:sz w:val="19"/>
                <w:szCs w:val="19"/>
              </w:rPr>
            </w:pPr>
            <w:r>
              <w:rPr>
                <w:color w:val="000000"/>
                <w:spacing w:val="0"/>
                <w:w w:val="100"/>
                <w:position w:val="0"/>
                <w:sz w:val="19"/>
                <w:szCs w:val="19"/>
              </w:rPr>
              <w:t>（六）严重损害投资者合法权益和社会公共利益的其他情形。</w:t>
            </w:r>
          </w:p>
          <w:p>
            <w:pPr>
              <w:pStyle w:val="20"/>
              <w:keepNext w:val="0"/>
              <w:keepLines w:val="0"/>
              <w:widowControl w:val="0"/>
              <w:shd w:val="clear" w:color="auto" w:fill="auto"/>
              <w:bidi w:val="0"/>
              <w:spacing w:before="0" w:after="0" w:line="316" w:lineRule="exact"/>
              <w:ind w:left="0" w:right="0" w:firstLine="180"/>
              <w:jc w:val="both"/>
              <w:rPr>
                <w:sz w:val="19"/>
                <w:szCs w:val="19"/>
              </w:rPr>
            </w:pPr>
            <w:r>
              <w:rPr>
                <w:color w:val="000000"/>
                <w:spacing w:val="0"/>
                <w:w w:val="100"/>
                <w:position w:val="0"/>
                <w:sz w:val="19"/>
                <w:szCs w:val="19"/>
              </w:rPr>
              <w:t>《首次公开发行股票并在创业板上市管理办法》（证监会令第</w:t>
            </w:r>
            <w:r>
              <w:rPr>
                <w:b/>
                <w:bCs/>
                <w:color w:val="000000"/>
                <w:spacing w:val="0"/>
                <w:w w:val="100"/>
                <w:position w:val="0"/>
                <w:sz w:val="19"/>
                <w:szCs w:val="19"/>
              </w:rPr>
              <w:t>123</w:t>
            </w:r>
            <w:r>
              <w:rPr>
                <w:color w:val="000000"/>
                <w:spacing w:val="0"/>
                <w:w w:val="100"/>
                <w:position w:val="0"/>
                <w:sz w:val="19"/>
                <w:szCs w:val="19"/>
              </w:rPr>
              <w:t>号）</w:t>
            </w:r>
          </w:p>
          <w:p>
            <w:pPr>
              <w:pStyle w:val="20"/>
              <w:keepNext w:val="0"/>
              <w:keepLines w:val="0"/>
              <w:widowControl w:val="0"/>
              <w:shd w:val="clear" w:color="auto" w:fill="auto"/>
              <w:bidi w:val="0"/>
              <w:spacing w:before="0" w:after="0" w:line="316" w:lineRule="exact"/>
              <w:ind w:left="0" w:right="0" w:firstLine="520"/>
              <w:jc w:val="both"/>
              <w:rPr>
                <w:sz w:val="19"/>
                <w:szCs w:val="19"/>
              </w:rPr>
            </w:pPr>
            <w:r>
              <w:rPr>
                <w:color w:val="000000"/>
                <w:spacing w:val="0"/>
                <w:w w:val="100"/>
                <w:position w:val="0"/>
                <w:sz w:val="19"/>
                <w:szCs w:val="19"/>
              </w:rPr>
              <w:t>第二十条发行人及其控股股东、实际控制人最近三年内不存在损害投资者合法权益和社会公共利益的重大违法行为。</w:t>
            </w:r>
          </w:p>
          <w:p>
            <w:pPr>
              <w:pStyle w:val="20"/>
              <w:keepNext w:val="0"/>
              <w:keepLines w:val="0"/>
              <w:widowControl w:val="0"/>
              <w:shd w:val="clear" w:color="auto" w:fill="auto"/>
              <w:bidi w:val="0"/>
              <w:spacing w:before="0" w:after="0" w:line="316" w:lineRule="exact"/>
              <w:ind w:left="0" w:right="0" w:firstLine="520"/>
              <w:jc w:val="both"/>
              <w:rPr>
                <w:rFonts w:hint="eastAsia" w:eastAsia="宋体"/>
                <w:sz w:val="19"/>
                <w:szCs w:val="19"/>
                <w:lang w:eastAsia="zh-CN"/>
              </w:rPr>
            </w:pPr>
            <w:r>
              <w:rPr>
                <w:color w:val="000000"/>
                <w:spacing w:val="0"/>
                <w:w w:val="100"/>
                <w:position w:val="0"/>
                <w:sz w:val="19"/>
                <w:szCs w:val="19"/>
              </w:rPr>
              <w:t>发行人及其控股股东、实际控制人最近三年内不存在未经法定机关核准，擅自公开或者变相公开发行证券，或者有关违法行为虽然发生在三年前，但目前仍处于持续状态的情形</w:t>
            </w:r>
            <w:r>
              <w:rPr>
                <w:rFonts w:hint="eastAsia"/>
                <w:color w:val="000000"/>
                <w:spacing w:val="0"/>
                <w:w w:val="100"/>
                <w:position w:val="0"/>
                <w:sz w:val="19"/>
                <w:szCs w:val="19"/>
                <w:lang w:eastAsia="zh-CN"/>
              </w:rPr>
              <w:t>。</w:t>
            </w:r>
          </w:p>
          <w:p>
            <w:pPr>
              <w:pStyle w:val="20"/>
              <w:keepNext w:val="0"/>
              <w:keepLines w:val="0"/>
              <w:widowControl w:val="0"/>
              <w:shd w:val="clear" w:color="auto" w:fill="auto"/>
              <w:bidi w:val="0"/>
              <w:spacing w:before="0" w:after="0" w:line="316" w:lineRule="exact"/>
              <w:ind w:left="0" w:right="0" w:firstLine="180"/>
              <w:jc w:val="both"/>
              <w:rPr>
                <w:sz w:val="19"/>
                <w:szCs w:val="19"/>
              </w:rPr>
            </w:pPr>
            <w:r>
              <w:rPr>
                <w:color w:val="000000"/>
                <w:spacing w:val="0"/>
                <w:w w:val="100"/>
                <w:position w:val="0"/>
                <w:sz w:val="19"/>
                <w:szCs w:val="19"/>
              </w:rPr>
              <w:t>《上市公司证券发行管理办法》（证监会令第</w:t>
            </w:r>
            <w:r>
              <w:rPr>
                <w:b/>
                <w:bCs/>
                <w:color w:val="000000"/>
                <w:spacing w:val="0"/>
                <w:w w:val="100"/>
                <w:position w:val="0"/>
                <w:sz w:val="19"/>
                <w:szCs w:val="19"/>
              </w:rPr>
              <w:t>30</w:t>
            </w:r>
            <w:r>
              <w:rPr>
                <w:color w:val="000000"/>
                <w:spacing w:val="0"/>
                <w:w w:val="100"/>
                <w:position w:val="0"/>
                <w:sz w:val="19"/>
                <w:szCs w:val="19"/>
              </w:rPr>
              <w:t>号）</w:t>
            </w:r>
          </w:p>
          <w:p>
            <w:pPr>
              <w:pStyle w:val="20"/>
              <w:keepNext w:val="0"/>
              <w:keepLines w:val="0"/>
              <w:widowControl w:val="0"/>
              <w:shd w:val="clear" w:color="auto" w:fill="auto"/>
              <w:bidi w:val="0"/>
              <w:spacing w:before="0" w:after="0" w:line="316" w:lineRule="exact"/>
              <w:ind w:left="0" w:right="0" w:firstLine="520"/>
              <w:jc w:val="both"/>
              <w:rPr>
                <w:sz w:val="19"/>
                <w:szCs w:val="19"/>
              </w:rPr>
            </w:pPr>
            <w:r>
              <w:rPr>
                <w:color w:val="000000"/>
                <w:spacing w:val="0"/>
                <w:w w:val="100"/>
                <w:position w:val="0"/>
                <w:sz w:val="19"/>
                <w:szCs w:val="19"/>
              </w:rPr>
              <w:t>第九条上市公司最近三十六个月内财务会计文件无虚假记载，且不存在下列重大违法行为：</w:t>
            </w:r>
          </w:p>
          <w:p>
            <w:pPr>
              <w:pStyle w:val="20"/>
              <w:keepNext w:val="0"/>
              <w:keepLines w:val="0"/>
              <w:widowControl w:val="0"/>
              <w:shd w:val="clear" w:color="auto" w:fill="auto"/>
              <w:tabs>
                <w:tab w:val="left" w:pos="1138"/>
              </w:tabs>
              <w:bidi w:val="0"/>
              <w:spacing w:before="0" w:after="0" w:line="316" w:lineRule="exact"/>
              <w:ind w:right="0"/>
              <w:jc w:val="both"/>
              <w:rPr>
                <w:sz w:val="19"/>
                <w:szCs w:val="19"/>
              </w:rPr>
            </w:pPr>
            <w:r>
              <w:rPr>
                <w:color w:val="000000"/>
                <w:spacing w:val="0"/>
                <w:w w:val="100"/>
                <w:position w:val="0"/>
                <w:sz w:val="19"/>
                <w:szCs w:val="19"/>
              </w:rPr>
              <w:t>（一）违反证券法律、行政法规或规章，受到中国证监会的行政处罚，或者受到刑事处罚；</w:t>
            </w:r>
          </w:p>
          <w:p>
            <w:pPr>
              <w:pStyle w:val="20"/>
              <w:keepNext w:val="0"/>
              <w:keepLines w:val="0"/>
              <w:widowControl w:val="0"/>
              <w:shd w:val="clear" w:color="auto" w:fill="auto"/>
              <w:tabs>
                <w:tab w:val="left" w:pos="1051"/>
              </w:tabs>
              <w:bidi w:val="0"/>
              <w:spacing w:before="0" w:after="0" w:line="316" w:lineRule="exact"/>
              <w:ind w:right="0"/>
              <w:jc w:val="both"/>
              <w:rPr>
                <w:sz w:val="19"/>
                <w:szCs w:val="19"/>
              </w:rPr>
            </w:pPr>
            <w:r>
              <w:rPr>
                <w:color w:val="000000"/>
                <w:spacing w:val="0"/>
                <w:w w:val="100"/>
                <w:position w:val="0"/>
                <w:sz w:val="19"/>
                <w:szCs w:val="19"/>
              </w:rPr>
              <w:t>（二）违反工商、税收、土地、环保、海关法律、行政法规或规章，受到行政处罚且情节严重，或者受到刑事处罚；</w:t>
            </w:r>
          </w:p>
          <w:p>
            <w:pPr>
              <w:pStyle w:val="20"/>
              <w:keepNext w:val="0"/>
              <w:keepLines w:val="0"/>
              <w:widowControl w:val="0"/>
              <w:shd w:val="clear" w:color="auto" w:fill="auto"/>
              <w:tabs>
                <w:tab w:val="left" w:pos="1138"/>
              </w:tabs>
              <w:bidi w:val="0"/>
              <w:spacing w:before="0" w:after="0" w:line="316" w:lineRule="exact"/>
              <w:ind w:right="0"/>
              <w:jc w:val="both"/>
              <w:rPr>
                <w:sz w:val="19"/>
                <w:szCs w:val="19"/>
              </w:rPr>
            </w:pPr>
            <w:r>
              <w:rPr>
                <w:color w:val="000000"/>
                <w:spacing w:val="0"/>
                <w:w w:val="100"/>
                <w:position w:val="0"/>
                <w:sz w:val="19"/>
                <w:szCs w:val="19"/>
              </w:rPr>
              <w:t>（三）违反国家其他法律、行政法规且情节严重的行为。</w:t>
            </w:r>
          </w:p>
          <w:p>
            <w:pPr>
              <w:pStyle w:val="20"/>
              <w:keepNext w:val="0"/>
              <w:keepLines w:val="0"/>
              <w:widowControl w:val="0"/>
              <w:shd w:val="clear" w:color="auto" w:fill="auto"/>
              <w:bidi w:val="0"/>
              <w:spacing w:before="0" w:after="0" w:line="316" w:lineRule="exact"/>
              <w:ind w:left="0" w:right="0" w:firstLine="180"/>
              <w:jc w:val="both"/>
              <w:rPr>
                <w:sz w:val="19"/>
                <w:szCs w:val="19"/>
              </w:rPr>
            </w:pPr>
            <w:r>
              <w:rPr>
                <w:color w:val="000000"/>
                <w:spacing w:val="0"/>
                <w:w w:val="100"/>
                <w:position w:val="0"/>
                <w:sz w:val="19"/>
                <w:szCs w:val="19"/>
              </w:rPr>
              <w:t>《创业板上市公司证券发行管理暂行办法》（证监会令第</w:t>
            </w:r>
            <w:r>
              <w:rPr>
                <w:b/>
                <w:bCs/>
                <w:color w:val="000000"/>
                <w:spacing w:val="0"/>
                <w:w w:val="100"/>
                <w:position w:val="0"/>
                <w:sz w:val="19"/>
                <w:szCs w:val="19"/>
              </w:rPr>
              <w:t>100</w:t>
            </w:r>
            <w:r>
              <w:rPr>
                <w:color w:val="000000"/>
                <w:spacing w:val="0"/>
                <w:w w:val="100"/>
                <w:position w:val="0"/>
                <w:sz w:val="19"/>
                <w:szCs w:val="19"/>
              </w:rPr>
              <w:t>号）</w:t>
            </w:r>
          </w:p>
          <w:p>
            <w:pPr>
              <w:pStyle w:val="20"/>
              <w:keepNext w:val="0"/>
              <w:keepLines w:val="0"/>
              <w:widowControl w:val="0"/>
              <w:shd w:val="clear" w:color="auto" w:fill="auto"/>
              <w:bidi w:val="0"/>
              <w:spacing w:before="0" w:after="0" w:line="316" w:lineRule="exact"/>
              <w:ind w:left="0" w:right="0" w:firstLine="520"/>
              <w:jc w:val="both"/>
              <w:rPr>
                <w:sz w:val="19"/>
                <w:szCs w:val="19"/>
              </w:rPr>
            </w:pPr>
            <w:r>
              <w:rPr>
                <w:color w:val="000000"/>
                <w:spacing w:val="0"/>
                <w:w w:val="100"/>
                <w:position w:val="0"/>
                <w:sz w:val="19"/>
                <w:szCs w:val="19"/>
              </w:rPr>
              <w:t>第十条上市公司存在下列情形之一的，不得发行证券：</w:t>
            </w:r>
          </w:p>
          <w:p>
            <w:pPr>
              <w:pStyle w:val="20"/>
              <w:keepNext w:val="0"/>
              <w:keepLines w:val="0"/>
              <w:widowControl w:val="0"/>
              <w:shd w:val="clear" w:color="auto" w:fill="auto"/>
              <w:bidi w:val="0"/>
              <w:spacing w:before="0" w:after="0" w:line="316" w:lineRule="exact"/>
              <w:ind w:right="0"/>
              <w:jc w:val="both"/>
              <w:rPr>
                <w:sz w:val="19"/>
                <w:szCs w:val="19"/>
              </w:rPr>
            </w:pPr>
            <w:r>
              <w:rPr>
                <w:color w:val="000000"/>
                <w:spacing w:val="0"/>
                <w:w w:val="100"/>
                <w:position w:val="0"/>
                <w:sz w:val="19"/>
                <w:szCs w:val="19"/>
              </w:rPr>
              <w:t>（</w:t>
            </w:r>
            <w:r>
              <w:rPr>
                <w:rFonts w:hint="eastAsia"/>
                <w:color w:val="000000"/>
                <w:spacing w:val="0"/>
                <w:w w:val="100"/>
                <w:position w:val="0"/>
                <w:sz w:val="19"/>
                <w:szCs w:val="19"/>
                <w:lang w:eastAsia="zh-CN"/>
              </w:rPr>
              <w:t>一</w:t>
            </w:r>
            <w:r>
              <w:rPr>
                <w:color w:val="000000"/>
                <w:spacing w:val="0"/>
                <w:w w:val="100"/>
                <w:position w:val="0"/>
                <w:sz w:val="19"/>
                <w:szCs w:val="19"/>
              </w:rPr>
              <w:t>）本次发行申请文件有虚假记载、误导性陈述或者重大遗漏；</w:t>
            </w:r>
          </w:p>
          <w:p>
            <w:pPr>
              <w:pStyle w:val="20"/>
              <w:keepNext w:val="0"/>
              <w:keepLines w:val="0"/>
              <w:widowControl w:val="0"/>
              <w:shd w:val="clear" w:color="auto" w:fill="auto"/>
              <w:tabs>
                <w:tab w:val="left" w:pos="1138"/>
              </w:tabs>
              <w:bidi w:val="0"/>
              <w:spacing w:before="0" w:after="0" w:line="316" w:lineRule="exact"/>
              <w:ind w:right="0"/>
              <w:jc w:val="both"/>
              <w:rPr>
                <w:sz w:val="19"/>
                <w:szCs w:val="19"/>
              </w:rPr>
            </w:pPr>
            <w:r>
              <w:rPr>
                <w:color w:val="000000"/>
                <w:spacing w:val="0"/>
                <w:w w:val="100"/>
                <w:position w:val="0"/>
                <w:sz w:val="19"/>
                <w:szCs w:val="19"/>
              </w:rPr>
              <w:t>（二）最近十二个月内未履行向投资者作出的公开承诺；</w:t>
            </w:r>
          </w:p>
          <w:p>
            <w:pPr>
              <w:pStyle w:val="20"/>
              <w:keepNext w:val="0"/>
              <w:keepLines w:val="0"/>
              <w:widowControl w:val="0"/>
              <w:shd w:val="clear" w:color="auto" w:fill="auto"/>
              <w:tabs>
                <w:tab w:val="left" w:pos="1042"/>
              </w:tabs>
              <w:bidi w:val="0"/>
              <w:spacing w:before="0" w:after="0" w:line="316" w:lineRule="exact"/>
              <w:ind w:right="0"/>
              <w:jc w:val="both"/>
              <w:rPr>
                <w:sz w:val="19"/>
                <w:szCs w:val="19"/>
              </w:rPr>
            </w:pPr>
            <w:r>
              <w:rPr>
                <w:color w:val="000000"/>
                <w:spacing w:val="0"/>
                <w:w w:val="100"/>
                <w:position w:val="0"/>
                <w:sz w:val="19"/>
                <w:szCs w:val="19"/>
              </w:rPr>
              <w:t>（三）最近三十六个月内因违反法律、行政法规、规章受到行政处罚且情节严重，或者受到刑事处罚，或者因违反证券法律、行政法规、规章受到中国证监会的行政处罚；最近十二个月内受到证券交易所的公开谴责；因涉嫌犯罪被司法机关立案侦査或者涉嫌违法违规被中国证监会立案调查；</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6"/>
        <w:gridCol w:w="9922"/>
        <w:gridCol w:w="2035"/>
      </w:tblGrid>
      <w:tr>
        <w:tblPrEx>
          <w:tblCellMar>
            <w:top w:w="0" w:type="dxa"/>
            <w:left w:w="10" w:type="dxa"/>
            <w:bottom w:w="0" w:type="dxa"/>
            <w:right w:w="10" w:type="dxa"/>
          </w:tblCellMar>
        </w:tblPrEx>
        <w:trPr>
          <w:trHeight w:val="302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046"/>
              </w:tabs>
              <w:bidi w:val="0"/>
              <w:spacing w:before="0" w:after="0" w:line="326" w:lineRule="exact"/>
              <w:ind w:left="0" w:right="0" w:firstLine="620"/>
              <w:jc w:val="left"/>
              <w:rPr>
                <w:sz w:val="19"/>
                <w:szCs w:val="19"/>
              </w:rPr>
            </w:pPr>
            <w:r>
              <w:rPr>
                <w:color w:val="000000"/>
                <w:spacing w:val="0"/>
                <w:w w:val="100"/>
                <w:position w:val="0"/>
                <w:sz w:val="19"/>
                <w:szCs w:val="19"/>
              </w:rPr>
              <w:t>（四）上市公司控股股东或者实际控制人最近十二个月内因违反证券法律、行政法规、规章，受到中国证监会的行政处罚，或者受到刑事处罚；</w:t>
            </w:r>
          </w:p>
          <w:p>
            <w:pPr>
              <w:pStyle w:val="20"/>
              <w:keepNext w:val="0"/>
              <w:keepLines w:val="0"/>
              <w:widowControl w:val="0"/>
              <w:shd w:val="clear" w:color="auto" w:fill="auto"/>
              <w:tabs>
                <w:tab w:val="left" w:pos="1148"/>
              </w:tabs>
              <w:bidi w:val="0"/>
              <w:spacing w:before="0" w:after="0" w:line="324" w:lineRule="exact"/>
              <w:ind w:left="0" w:right="0" w:firstLine="620"/>
              <w:jc w:val="left"/>
              <w:rPr>
                <w:b w:val="0"/>
                <w:bCs w:val="0"/>
                <w:i w:val="0"/>
                <w:iCs w:val="0"/>
                <w:smallCaps w:val="0"/>
                <w:strike w:val="0"/>
                <w:color w:val="000000"/>
                <w:spacing w:val="0"/>
                <w:w w:val="100"/>
                <w:position w:val="0"/>
                <w:sz w:val="19"/>
                <w:szCs w:val="19"/>
              </w:rPr>
            </w:pPr>
            <w:r>
              <w:rPr>
                <w:color w:val="000000"/>
                <w:spacing w:val="0"/>
                <w:w w:val="100"/>
                <w:position w:val="0"/>
                <w:sz w:val="19"/>
                <w:szCs w:val="19"/>
              </w:rPr>
              <w:t>（五）现任董事、监事和髙级管理人员存在违反《公司法》第一百四十七条、第一百四十八条规定的行为，或者最近三十六个月内受到中国证</w:t>
            </w:r>
            <w:r>
              <w:rPr>
                <w:b w:val="0"/>
                <w:bCs w:val="0"/>
                <w:i w:val="0"/>
                <w:iCs w:val="0"/>
                <w:smallCaps w:val="0"/>
                <w:strike w:val="0"/>
                <w:color w:val="000000"/>
                <w:spacing w:val="0"/>
                <w:w w:val="100"/>
                <w:position w:val="0"/>
                <w:sz w:val="19"/>
                <w:szCs w:val="19"/>
              </w:rPr>
              <w:t>监会的行政处罚、最近十二个月内受到证券交易所的公开谴责； 因涉嫌犯罪被司法机关立案侦查或者涉嫌违法违规被中国证监会立案调查；</w:t>
            </w:r>
          </w:p>
          <w:p>
            <w:pPr>
              <w:pStyle w:val="20"/>
              <w:keepNext w:val="0"/>
              <w:keepLines w:val="0"/>
              <w:widowControl w:val="0"/>
              <w:shd w:val="clear" w:color="auto" w:fill="auto"/>
              <w:tabs>
                <w:tab w:val="left" w:pos="1148"/>
              </w:tabs>
              <w:bidi w:val="0"/>
              <w:spacing w:before="0" w:after="0" w:line="324"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（六）严重损害投资者的合法权益和社会公共利益的其他情形。</w:t>
            </w:r>
          </w:p>
          <w:p>
            <w:pPr>
              <w:pStyle w:val="20"/>
              <w:keepNext w:val="0"/>
              <w:keepLines w:val="0"/>
              <w:widowControl w:val="0"/>
              <w:shd w:val="clear" w:color="auto" w:fill="auto"/>
              <w:tabs>
                <w:tab w:val="left" w:pos="1148"/>
              </w:tabs>
              <w:bidi w:val="0"/>
              <w:spacing w:before="0" w:after="0" w:line="324" w:lineRule="exact"/>
              <w:ind w:left="0" w:right="0" w:firstLine="62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《非上市公众公司监督管理办法》（证监会令第96号）</w:t>
            </w:r>
          </w:p>
          <w:p>
            <w:pPr>
              <w:pStyle w:val="20"/>
              <w:keepNext w:val="0"/>
              <w:keepLines w:val="0"/>
              <w:widowControl w:val="0"/>
              <w:shd w:val="clear" w:color="auto" w:fill="auto"/>
              <w:tabs>
                <w:tab w:val="left" w:pos="1148"/>
              </w:tabs>
              <w:bidi w:val="0"/>
              <w:spacing w:before="0" w:after="0" w:line="324" w:lineRule="exact"/>
              <w:ind w:left="0" w:right="0" w:firstLine="620"/>
              <w:jc w:val="left"/>
              <w:rPr>
                <w:rFonts w:hint="eastAsia" w:eastAsia="宋体"/>
                <w:sz w:val="19"/>
                <w:szCs w:val="19"/>
                <w:lang w:eastAsia="zh-CN"/>
              </w:rPr>
            </w:pPr>
            <w:r>
              <w:rPr>
                <w:b w:val="0"/>
                <w:bCs w:val="0"/>
                <w:i w:val="0"/>
                <w:iCs w:val="0"/>
                <w:smallCaps w:val="0"/>
                <w:strike w:val="0"/>
                <w:color w:val="000000"/>
                <w:spacing w:val="0"/>
                <w:w w:val="100"/>
                <w:position w:val="0"/>
                <w:sz w:val="19"/>
                <w:szCs w:val="19"/>
              </w:rPr>
              <w:t>第三条公众公司应当按照法律、行政法规、本办法和</w:t>
            </w:r>
            <w:r>
              <w:rPr>
                <w:color w:val="000000"/>
                <w:spacing w:val="0"/>
                <w:w w:val="100"/>
                <w:position w:val="0"/>
                <w:sz w:val="19"/>
                <w:szCs w:val="19"/>
              </w:rPr>
              <w:t>公司章程的规定，做到股权明晰，合法规范经营，公司治理机制健全，履行信息披露义务</w:t>
            </w:r>
            <w:r>
              <w:rPr>
                <w:rFonts w:hint="eastAsia"/>
                <w:color w:val="000000"/>
                <w:spacing w:val="0"/>
                <w:w w:val="100"/>
                <w:position w:val="0"/>
                <w:sz w:val="19"/>
                <w:szCs w:val="19"/>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90"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sz w:val="19"/>
                <w:szCs w:val="19"/>
              </w:rPr>
            </w:pPr>
            <w:r>
              <w:rPr>
                <w:rFonts w:hint="eastAsia"/>
                <w:color w:val="000000"/>
                <w:spacing w:val="0"/>
                <w:w w:val="100"/>
                <w:position w:val="0"/>
                <w:sz w:val="19"/>
                <w:szCs w:val="19"/>
                <w:lang w:val="en-US" w:eastAsia="zh-CN"/>
              </w:rPr>
              <w:t>12、</w:t>
            </w:r>
            <w:r>
              <w:rPr>
                <w:color w:val="000000"/>
                <w:spacing w:val="0"/>
                <w:w w:val="100"/>
                <w:position w:val="0"/>
                <w:sz w:val="19"/>
                <w:szCs w:val="19"/>
              </w:rPr>
              <w:t>依法将失信信息作为证券公司、基金管理公司及期货公司的设立及股权或实际控制人变更审批或备案，私募投资基金管理人登 记、重大事项变更以及基金备案的参考。</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80" w:line="240" w:lineRule="auto"/>
              <w:ind w:left="0" w:right="0" w:firstLine="347" w:firstLineChars="183"/>
              <w:jc w:val="left"/>
              <w:rPr>
                <w:sz w:val="19"/>
                <w:szCs w:val="19"/>
              </w:rPr>
            </w:pPr>
            <w:r>
              <w:rPr>
                <w:color w:val="000000"/>
                <w:spacing w:val="0"/>
                <w:w w:val="100"/>
                <w:position w:val="0"/>
                <w:sz w:val="19"/>
                <w:szCs w:val="19"/>
              </w:rPr>
              <w:t>《中华人民共和国证券法》</w:t>
            </w:r>
          </w:p>
          <w:p>
            <w:pPr>
              <w:pStyle w:val="20"/>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第一百二十四条设立证券公司，应当具备下列条件：</w:t>
            </w:r>
          </w:p>
          <w:p>
            <w:pPr>
              <w:pStyle w:val="20"/>
              <w:keepNext w:val="0"/>
              <w:keepLines w:val="0"/>
              <w:widowControl w:val="0"/>
              <w:shd w:val="clear" w:color="auto" w:fill="auto"/>
              <w:bidi w:val="0"/>
              <w:spacing w:before="0" w:after="0" w:line="324" w:lineRule="exact"/>
              <w:ind w:left="0" w:right="0" w:firstLine="620"/>
              <w:jc w:val="left"/>
              <w:rPr>
                <w:sz w:val="19"/>
                <w:szCs w:val="19"/>
              </w:rPr>
            </w:pPr>
            <w:r>
              <w:rPr>
                <w:color w:val="000000"/>
                <w:spacing w:val="0"/>
                <w:w w:val="100"/>
                <w:position w:val="0"/>
                <w:sz w:val="19"/>
                <w:szCs w:val="19"/>
              </w:rPr>
              <w:t>（</w:t>
            </w:r>
            <w:r>
              <w:rPr>
                <w:rFonts w:hint="eastAsia"/>
                <w:color w:val="000000"/>
                <w:spacing w:val="0"/>
                <w:w w:val="100"/>
                <w:position w:val="0"/>
                <w:sz w:val="19"/>
                <w:szCs w:val="19"/>
                <w:lang w:eastAsia="zh-CN"/>
              </w:rPr>
              <w:t>一</w:t>
            </w:r>
            <w:r>
              <w:rPr>
                <w:color w:val="000000"/>
                <w:spacing w:val="0"/>
                <w:w w:val="100"/>
                <w:position w:val="0"/>
                <w:sz w:val="19"/>
                <w:szCs w:val="19"/>
              </w:rPr>
              <w:t>）有符合法律、行政法规规定的公司章程；</w:t>
            </w:r>
          </w:p>
          <w:p>
            <w:pPr>
              <w:pStyle w:val="20"/>
              <w:keepNext w:val="0"/>
              <w:keepLines w:val="0"/>
              <w:widowControl w:val="0"/>
              <w:shd w:val="clear" w:color="auto" w:fill="auto"/>
              <w:bidi w:val="0"/>
              <w:spacing w:before="0" w:after="0" w:line="336" w:lineRule="exact"/>
              <w:ind w:left="0" w:right="0" w:firstLine="620"/>
              <w:jc w:val="left"/>
              <w:rPr>
                <w:sz w:val="19"/>
                <w:szCs w:val="19"/>
              </w:rPr>
            </w:pPr>
            <w:r>
              <w:rPr>
                <w:color w:val="000000"/>
                <w:spacing w:val="0"/>
                <w:w w:val="100"/>
                <w:position w:val="0"/>
                <w:sz w:val="19"/>
                <w:szCs w:val="19"/>
              </w:rPr>
              <w:t>（</w:t>
            </w:r>
            <w:r>
              <w:rPr>
                <w:rFonts w:hint="eastAsia"/>
                <w:color w:val="000000"/>
                <w:spacing w:val="0"/>
                <w:w w:val="100"/>
                <w:position w:val="0"/>
                <w:sz w:val="19"/>
                <w:szCs w:val="19"/>
                <w:lang w:eastAsia="zh-CN"/>
              </w:rPr>
              <w:t>二</w:t>
            </w:r>
            <w:r>
              <w:rPr>
                <w:color w:val="000000"/>
                <w:spacing w:val="0"/>
                <w:w w:val="100"/>
                <w:position w:val="0"/>
                <w:sz w:val="19"/>
                <w:szCs w:val="19"/>
              </w:rPr>
              <w:t>）主要股东具有持续盈利能力，信誉良好，最近三年无重大违法违规记录，净资产不低于人民币二亿元；</w:t>
            </w:r>
          </w:p>
          <w:p>
            <w:pPr>
              <w:pStyle w:val="20"/>
              <w:keepNext w:val="0"/>
              <w:keepLines w:val="0"/>
              <w:widowControl w:val="0"/>
              <w:shd w:val="clear" w:color="auto" w:fill="auto"/>
              <w:tabs>
                <w:tab w:val="left" w:pos="1143"/>
              </w:tabs>
              <w:bidi w:val="0"/>
              <w:spacing w:before="0" w:after="0" w:line="324" w:lineRule="exact"/>
              <w:ind w:left="0" w:right="0" w:firstLine="620"/>
              <w:jc w:val="left"/>
              <w:rPr>
                <w:rFonts w:hint="eastAsia" w:eastAsia="宋体"/>
                <w:sz w:val="19"/>
                <w:szCs w:val="19"/>
                <w:lang w:eastAsia="zh-CN"/>
              </w:rPr>
            </w:pPr>
            <w:r>
              <w:rPr>
                <w:color w:val="000000"/>
                <w:spacing w:val="0"/>
                <w:w w:val="100"/>
                <w:position w:val="0"/>
                <w:sz w:val="19"/>
                <w:szCs w:val="19"/>
              </w:rPr>
              <w:t>（三）有符合本法规定的注册资本</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148"/>
              </w:tabs>
              <w:bidi w:val="0"/>
              <w:spacing w:before="0" w:after="0" w:line="324" w:lineRule="exact"/>
              <w:ind w:left="0" w:right="0" w:firstLine="620"/>
              <w:jc w:val="left"/>
              <w:rPr>
                <w:sz w:val="19"/>
                <w:szCs w:val="19"/>
              </w:rPr>
            </w:pPr>
            <w:r>
              <w:rPr>
                <w:color w:val="000000"/>
                <w:spacing w:val="0"/>
                <w:w w:val="100"/>
                <w:position w:val="0"/>
                <w:sz w:val="19"/>
                <w:szCs w:val="19"/>
              </w:rPr>
              <w:t>（四）董事、监事、高级管理人员具备任职资格，从业人员具有证券从业资格；</w:t>
            </w:r>
          </w:p>
          <w:p>
            <w:pPr>
              <w:pStyle w:val="20"/>
              <w:keepNext w:val="0"/>
              <w:keepLines w:val="0"/>
              <w:widowControl w:val="0"/>
              <w:shd w:val="clear" w:color="auto" w:fill="auto"/>
              <w:tabs>
                <w:tab w:val="left" w:pos="1143"/>
              </w:tabs>
              <w:bidi w:val="0"/>
              <w:spacing w:before="0" w:after="0" w:line="324" w:lineRule="exact"/>
              <w:ind w:left="0" w:right="0" w:firstLine="620"/>
              <w:jc w:val="left"/>
              <w:rPr>
                <w:sz w:val="19"/>
                <w:szCs w:val="19"/>
              </w:rPr>
            </w:pPr>
            <w:r>
              <w:rPr>
                <w:color w:val="000000"/>
                <w:spacing w:val="0"/>
                <w:w w:val="100"/>
                <w:position w:val="0"/>
                <w:sz w:val="19"/>
                <w:szCs w:val="19"/>
              </w:rPr>
              <w:t>（五）有完善的风险管理与内部控制制度；</w:t>
            </w:r>
          </w:p>
          <w:p>
            <w:pPr>
              <w:pStyle w:val="20"/>
              <w:keepNext w:val="0"/>
              <w:keepLines w:val="0"/>
              <w:widowControl w:val="0"/>
              <w:shd w:val="clear" w:color="auto" w:fill="auto"/>
              <w:tabs>
                <w:tab w:val="left" w:pos="1138"/>
              </w:tabs>
              <w:bidi w:val="0"/>
              <w:spacing w:before="0" w:after="0" w:line="324" w:lineRule="exact"/>
              <w:ind w:left="0" w:right="0" w:firstLine="620"/>
              <w:jc w:val="left"/>
              <w:rPr>
                <w:rFonts w:hint="eastAsia" w:eastAsia="宋体"/>
                <w:sz w:val="19"/>
                <w:szCs w:val="19"/>
                <w:lang w:eastAsia="zh-CN"/>
              </w:rPr>
            </w:pPr>
            <w:r>
              <w:rPr>
                <w:color w:val="000000"/>
                <w:spacing w:val="0"/>
                <w:w w:val="100"/>
                <w:position w:val="0"/>
                <w:sz w:val="19"/>
                <w:szCs w:val="19"/>
              </w:rPr>
              <w:t>（六）有合格的经营场所和业务设施</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138"/>
              </w:tabs>
              <w:bidi w:val="0"/>
              <w:spacing w:before="0" w:after="80" w:line="324" w:lineRule="exact"/>
              <w:ind w:left="0" w:right="0" w:firstLine="620"/>
              <w:jc w:val="left"/>
              <w:rPr>
                <w:sz w:val="19"/>
                <w:szCs w:val="19"/>
              </w:rPr>
            </w:pPr>
            <w:r>
              <w:rPr>
                <w:color w:val="000000"/>
                <w:spacing w:val="0"/>
                <w:w w:val="100"/>
                <w:position w:val="0"/>
                <w:sz w:val="19"/>
                <w:szCs w:val="19"/>
              </w:rPr>
              <w:t>（七）法律、行政法规规定的和经国务院批准的国务院证券监督管理机构规定的其他条件。</w:t>
            </w:r>
          </w:p>
          <w:p>
            <w:pPr>
              <w:pStyle w:val="20"/>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《中华人民共和国证券投资基金法》</w:t>
            </w:r>
          </w:p>
          <w:p>
            <w:pPr>
              <w:pStyle w:val="20"/>
              <w:keepNext w:val="0"/>
              <w:keepLines w:val="0"/>
              <w:widowControl w:val="0"/>
              <w:shd w:val="clear" w:color="auto" w:fill="auto"/>
              <w:bidi w:val="0"/>
              <w:spacing w:before="0" w:after="0" w:line="331" w:lineRule="exact"/>
              <w:ind w:left="0" w:right="0" w:firstLine="520"/>
              <w:jc w:val="both"/>
              <w:rPr>
                <w:sz w:val="19"/>
                <w:szCs w:val="19"/>
              </w:rPr>
            </w:pPr>
            <w:r>
              <w:rPr>
                <w:color w:val="000000"/>
                <w:spacing w:val="0"/>
                <w:w w:val="100"/>
                <w:position w:val="0"/>
                <w:sz w:val="19"/>
                <w:szCs w:val="19"/>
              </w:rPr>
              <w:t>第十三条设立管理公开募集基金的基金管理公司，应当具备下列条件，并经国务院证券监督管理机构批准：</w:t>
            </w:r>
          </w:p>
          <w:p>
            <w:pPr>
              <w:pStyle w:val="20"/>
              <w:keepNext w:val="0"/>
              <w:keepLines w:val="0"/>
              <w:widowControl w:val="0"/>
              <w:shd w:val="clear" w:color="auto" w:fill="auto"/>
              <w:tabs>
                <w:tab w:val="left" w:pos="1138"/>
              </w:tabs>
              <w:bidi w:val="0"/>
              <w:spacing w:before="0" w:after="0" w:line="317" w:lineRule="exact"/>
              <w:ind w:left="0" w:right="0" w:firstLine="620"/>
              <w:jc w:val="left"/>
              <w:rPr>
                <w:rFonts w:hint="eastAsia" w:eastAsia="宋体"/>
                <w:sz w:val="19"/>
                <w:szCs w:val="19"/>
                <w:lang w:eastAsia="zh-CN"/>
              </w:rPr>
            </w:pPr>
            <w:r>
              <w:rPr>
                <w:color w:val="000000"/>
                <w:spacing w:val="0"/>
                <w:w w:val="100"/>
                <w:position w:val="0"/>
                <w:sz w:val="19"/>
                <w:szCs w:val="19"/>
              </w:rPr>
              <w:t>（一）有符合本法和《中华人民共和国公司法》规定的章程</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134"/>
              </w:tabs>
              <w:bidi w:val="0"/>
              <w:spacing w:before="0" w:after="0" w:line="317" w:lineRule="exact"/>
              <w:ind w:left="0" w:right="0" w:firstLine="620"/>
              <w:jc w:val="left"/>
              <w:rPr>
                <w:sz w:val="19"/>
                <w:szCs w:val="19"/>
              </w:rPr>
            </w:pPr>
            <w:r>
              <w:rPr>
                <w:color w:val="000000"/>
                <w:spacing w:val="0"/>
                <w:w w:val="100"/>
                <w:position w:val="0"/>
                <w:sz w:val="19"/>
                <w:szCs w:val="19"/>
              </w:rPr>
              <w:t>（二）注册资本不低于一亿元人民币，且必须为实缴货币资本；</w:t>
            </w:r>
          </w:p>
          <w:p>
            <w:pPr>
              <w:pStyle w:val="20"/>
              <w:keepNext w:val="0"/>
              <w:keepLines w:val="0"/>
              <w:widowControl w:val="0"/>
              <w:shd w:val="clear" w:color="auto" w:fill="auto"/>
              <w:tabs>
                <w:tab w:val="left" w:pos="1042"/>
              </w:tabs>
              <w:bidi w:val="0"/>
              <w:spacing w:before="0" w:after="80" w:line="317" w:lineRule="exact"/>
              <w:ind w:left="0" w:right="0" w:firstLine="620"/>
              <w:jc w:val="left"/>
              <w:rPr>
                <w:rFonts w:hint="eastAsia" w:eastAsia="宋体"/>
                <w:sz w:val="19"/>
                <w:szCs w:val="19"/>
                <w:lang w:eastAsia="zh-CN"/>
              </w:rPr>
            </w:pPr>
            <w:r>
              <w:rPr>
                <w:color w:val="000000"/>
                <w:spacing w:val="0"/>
                <w:w w:val="100"/>
                <w:position w:val="0"/>
                <w:sz w:val="19"/>
                <w:szCs w:val="19"/>
              </w:rPr>
              <w:t>（三）主要股东应当具有经营金融业务或者管理金融机构的良好业绩、良好的财务状况利社会信誉，资产规模达到国务院规定的标准，最近三年没有违法记录</w:t>
            </w:r>
            <w:r>
              <w:rPr>
                <w:rFonts w:hint="eastAsia"/>
                <w:color w:val="000000"/>
                <w:spacing w:val="0"/>
                <w:w w:val="100"/>
                <w:position w:val="0"/>
                <w:sz w:val="19"/>
                <w:szCs w:val="19"/>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51"/>
        <w:gridCol w:w="9922"/>
        <w:gridCol w:w="2030"/>
      </w:tblGrid>
      <w:tr>
        <w:tblPrEx>
          <w:tblCellMar>
            <w:top w:w="0" w:type="dxa"/>
            <w:left w:w="10" w:type="dxa"/>
            <w:bottom w:w="0" w:type="dxa"/>
            <w:right w:w="10" w:type="dxa"/>
          </w:tblCellMar>
        </w:tblPrEx>
        <w:trPr>
          <w:trHeight w:val="828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18"/>
              </w:tabs>
              <w:bidi w:val="0"/>
              <w:spacing w:before="0" w:after="0" w:line="305" w:lineRule="exact"/>
              <w:ind w:left="0" w:right="0" w:firstLine="600"/>
              <w:jc w:val="both"/>
              <w:rPr>
                <w:sz w:val="19"/>
                <w:szCs w:val="19"/>
              </w:rPr>
            </w:pPr>
            <w:r>
              <w:rPr>
                <w:color w:val="000000"/>
                <w:spacing w:val="0"/>
                <w:w w:val="100"/>
                <w:position w:val="0"/>
                <w:sz w:val="19"/>
                <w:szCs w:val="19"/>
              </w:rPr>
              <w:t>（四）取得基金从业资格的人员达到法定人数；</w:t>
            </w:r>
          </w:p>
          <w:p>
            <w:pPr>
              <w:pStyle w:val="20"/>
              <w:keepNext w:val="0"/>
              <w:keepLines w:val="0"/>
              <w:widowControl w:val="0"/>
              <w:shd w:val="clear" w:color="auto" w:fill="auto"/>
              <w:tabs>
                <w:tab w:val="left" w:pos="1128"/>
              </w:tabs>
              <w:bidi w:val="0"/>
              <w:spacing w:before="0" w:after="0" w:line="305" w:lineRule="exact"/>
              <w:ind w:left="0" w:right="0" w:firstLine="600"/>
              <w:jc w:val="both"/>
              <w:rPr>
                <w:rFonts w:hint="eastAsia" w:eastAsia="宋体"/>
                <w:sz w:val="19"/>
                <w:szCs w:val="19"/>
                <w:lang w:eastAsia="zh-CN"/>
              </w:rPr>
            </w:pPr>
            <w:r>
              <w:rPr>
                <w:color w:val="000000"/>
                <w:spacing w:val="0"/>
                <w:w w:val="100"/>
                <w:position w:val="0"/>
                <w:sz w:val="19"/>
                <w:szCs w:val="19"/>
              </w:rPr>
              <w:t>（五）董事、监事、高级管理人员具备相应的任职条件</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118"/>
              </w:tabs>
              <w:bidi w:val="0"/>
              <w:spacing w:before="0" w:after="0" w:line="305" w:lineRule="exact"/>
              <w:ind w:left="0" w:right="0" w:firstLine="600"/>
              <w:jc w:val="both"/>
              <w:rPr>
                <w:rFonts w:hint="eastAsia" w:eastAsia="宋体"/>
                <w:b w:val="0"/>
                <w:bCs w:val="0"/>
                <w:i w:val="0"/>
                <w:iCs w:val="0"/>
                <w:smallCaps w:val="0"/>
                <w:strike w:val="0"/>
                <w:color w:val="000000"/>
                <w:spacing w:val="0"/>
                <w:w w:val="100"/>
                <w:position w:val="0"/>
                <w:sz w:val="19"/>
                <w:szCs w:val="19"/>
                <w:lang w:eastAsia="zh-CN"/>
              </w:rPr>
            </w:pPr>
            <w:r>
              <w:rPr>
                <w:color w:val="000000"/>
                <w:spacing w:val="0"/>
                <w:w w:val="100"/>
                <w:position w:val="0"/>
                <w:sz w:val="19"/>
                <w:szCs w:val="19"/>
              </w:rPr>
              <w:t>（六）有符合要求的营业场</w:t>
            </w:r>
            <w:r>
              <w:rPr>
                <w:b w:val="0"/>
                <w:bCs w:val="0"/>
                <w:i w:val="0"/>
                <w:iCs w:val="0"/>
                <w:smallCaps w:val="0"/>
                <w:strike w:val="0"/>
                <w:color w:val="000000"/>
                <w:spacing w:val="0"/>
                <w:w w:val="100"/>
                <w:position w:val="0"/>
                <w:sz w:val="19"/>
                <w:szCs w:val="19"/>
              </w:rPr>
              <w:t>所、安全防范设施和与基金管理业务有关的其他设施</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（七）有良好的内部治理结构、完善的内部稽核监控制度、风险控制制度；</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（八）法律、行政法规规定的和经国务院批准的国务院证券监督管理机构规定的其他条件。</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《期货交易管理条例》（国务院令第627号）</w:t>
            </w:r>
          </w:p>
          <w:p>
            <w:pPr>
              <w:pStyle w:val="20"/>
              <w:keepNext w:val="0"/>
              <w:keepLines w:val="0"/>
              <w:widowControl w:val="0"/>
              <w:shd w:val="clear" w:color="auto" w:fill="auto"/>
              <w:tabs>
                <w:tab w:val="left" w:pos="1118"/>
              </w:tabs>
              <w:bidi w:val="0"/>
              <w:spacing w:before="0" w:after="0" w:line="305" w:lineRule="exact"/>
              <w:ind w:left="0" w:right="0" w:firstLine="6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第十六条 申请设立期货公司，应当符合《中华人民共和国公司法》的规定，并具备下列条件</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tabs>
                <w:tab w:val="left" w:pos="1118"/>
              </w:tabs>
              <w:bidi w:val="0"/>
              <w:spacing w:before="0" w:after="0" w:line="305" w:lineRule="exact"/>
              <w:ind w:left="0" w:right="0" w:firstLine="6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（一）注册资本最低限额为人民币3000万元</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（二）董事、监事、高级管理人员具备任职资格，从业人员具有期货从业资格；</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（三）有符合法律、行政法规规定的公司章程；</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（四）主要股东以及实际控制人具有持续盈利能力，信誉良好，最近3年无重大违法违规记录；</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（五）有合格的经营场所和业务设施；</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（六）有健全的风险管理和内部控制制度；</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（七）国务院期货监督管理机构规定的其他条件。</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国务院期货监督管理机构根据审慎监管原则和各项业务的风险程度，可以提高注册资本最低限额。注册资本应当是实缴资本。股东应当以货币或者期货公司经营必需的非货币财产出资，货币出资比例不得低于85%。</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国务院期货监督管理机构应当在受理期货公司设立申请之日起6个月内，根据审慎监管原则进行审査，作出批准或者不批准的决定。</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未经国务院期货监督管理机构批准，任何单位和个人不得委托或者接受他人委托持有或者管理期货公司的股权。</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《证券投资基金管理公司管理办法》（证监会令第84号）</w:t>
            </w:r>
          </w:p>
          <w:p>
            <w:pPr>
              <w:pStyle w:val="20"/>
              <w:keepNext w:val="0"/>
              <w:keepLines w:val="0"/>
              <w:widowControl w:val="0"/>
              <w:shd w:val="clear" w:color="auto" w:fill="auto"/>
              <w:tabs>
                <w:tab w:val="left" w:pos="1118"/>
              </w:tabs>
              <w:bidi w:val="0"/>
              <w:spacing w:before="0" w:after="0" w:line="30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第七条 申请设立基金管理公司，出资或者持有股份占基金管理公司注册资本的比例（以下简称持股比例）在5%以上的股东，应当具备下列条件：</w:t>
            </w:r>
          </w:p>
          <w:p>
            <w:pPr>
              <w:pStyle w:val="20"/>
              <w:keepNext w:val="0"/>
              <w:keepLines w:val="0"/>
              <w:widowControl w:val="0"/>
              <w:shd w:val="clear" w:color="auto" w:fill="auto"/>
              <w:tabs>
                <w:tab w:val="left" w:pos="1118"/>
              </w:tabs>
              <w:bidi w:val="0"/>
              <w:spacing w:before="0" w:after="0" w:line="305" w:lineRule="exact"/>
              <w:ind w:left="0" w:right="0" w:firstLine="6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（一）注册资本、净资产不低于1亿元人民币，资产质量良好</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tabs>
                <w:tab w:val="left" w:pos="1118"/>
              </w:tabs>
              <w:bidi w:val="0"/>
              <w:spacing w:before="0" w:after="0" w:line="305" w:lineRule="exact"/>
              <w:ind w:left="0" w:right="0" w:firstLine="600"/>
              <w:jc w:val="both"/>
              <w:rPr>
                <w:rFonts w:hint="eastAsia" w:eastAsia="宋体"/>
                <w:sz w:val="19"/>
                <w:szCs w:val="19"/>
                <w:lang w:eastAsia="zh-CN"/>
              </w:rPr>
            </w:pPr>
            <w:r>
              <w:rPr>
                <w:b w:val="0"/>
                <w:bCs w:val="0"/>
                <w:i w:val="0"/>
                <w:iCs w:val="0"/>
                <w:smallCaps w:val="0"/>
                <w:strike w:val="0"/>
                <w:color w:val="000000"/>
                <w:spacing w:val="0"/>
                <w:w w:val="100"/>
                <w:position w:val="0"/>
                <w:sz w:val="19"/>
                <w:szCs w:val="19"/>
              </w:rPr>
              <w:t>（二）持续经营3个以上完整的会计年度，公司治理健全，内部监控制度完善</w:t>
            </w:r>
            <w:r>
              <w:rPr>
                <w:rFonts w:hint="eastAsia"/>
                <w:b w:val="0"/>
                <w:bCs w:val="0"/>
                <w:i w:val="0"/>
                <w:iCs w:val="0"/>
                <w:smallCaps w:val="0"/>
                <w:strike w:val="0"/>
                <w:color w:val="000000"/>
                <w:spacing w:val="0"/>
                <w:w w:val="100"/>
                <w:position w:val="0"/>
                <w:sz w:val="19"/>
                <w:szCs w:val="19"/>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37"/>
        <w:gridCol w:w="9922"/>
        <w:gridCol w:w="2021"/>
      </w:tblGrid>
      <w:tr>
        <w:tblPrEx>
          <w:tblCellMar>
            <w:top w:w="0" w:type="dxa"/>
            <w:left w:w="10" w:type="dxa"/>
            <w:bottom w:w="0" w:type="dxa"/>
            <w:right w:w="10" w:type="dxa"/>
          </w:tblCellMar>
        </w:tblPrEx>
        <w:trPr>
          <w:trHeight w:val="8589"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tabs>
                <w:tab w:val="left" w:pos="1148"/>
              </w:tabs>
              <w:bidi w:val="0"/>
              <w:spacing w:before="0" w:after="0" w:line="307" w:lineRule="exact"/>
              <w:ind w:right="0"/>
              <w:jc w:val="both"/>
              <w:rPr>
                <w:sz w:val="19"/>
                <w:szCs w:val="19"/>
              </w:rPr>
            </w:pPr>
            <w:r>
              <w:rPr>
                <w:color w:val="000000"/>
                <w:spacing w:val="0"/>
                <w:w w:val="100"/>
                <w:position w:val="0"/>
                <w:sz w:val="19"/>
                <w:szCs w:val="19"/>
              </w:rPr>
              <w:t>（三）最近</w:t>
            </w:r>
            <w:r>
              <w:rPr>
                <w:b/>
                <w:bCs/>
                <w:color w:val="000000"/>
                <w:spacing w:val="0"/>
                <w:w w:val="100"/>
                <w:position w:val="0"/>
                <w:sz w:val="19"/>
                <w:szCs w:val="19"/>
              </w:rPr>
              <w:t>3</w:t>
            </w:r>
            <w:r>
              <w:rPr>
                <w:color w:val="000000"/>
                <w:spacing w:val="0"/>
                <w:w w:val="100"/>
                <w:position w:val="0"/>
                <w:sz w:val="19"/>
                <w:szCs w:val="19"/>
              </w:rPr>
              <w:t>年没有因违法违规行为受到行政处罚或者刑事处罚；</w:t>
            </w:r>
          </w:p>
          <w:p>
            <w:pPr>
              <w:pStyle w:val="20"/>
              <w:keepNext w:val="0"/>
              <w:keepLines w:val="0"/>
              <w:widowControl w:val="0"/>
              <w:shd w:val="clear" w:color="auto" w:fill="auto"/>
              <w:tabs>
                <w:tab w:val="left" w:pos="1051"/>
              </w:tabs>
              <w:bidi w:val="0"/>
              <w:spacing w:before="0" w:after="0" w:line="341" w:lineRule="exact"/>
              <w:ind w:right="0"/>
              <w:jc w:val="both"/>
              <w:rPr>
                <w:rFonts w:hint="eastAsia"/>
                <w:color w:val="000000"/>
                <w:spacing w:val="0"/>
                <w:w w:val="100"/>
                <w:position w:val="0"/>
                <w:sz w:val="19"/>
                <w:szCs w:val="19"/>
                <w:lang w:eastAsia="zh-CN"/>
              </w:rPr>
            </w:pPr>
            <w:r>
              <w:rPr>
                <w:color w:val="000000"/>
                <w:spacing w:val="0"/>
                <w:w w:val="100"/>
                <w:position w:val="0"/>
                <w:sz w:val="19"/>
                <w:szCs w:val="19"/>
              </w:rPr>
              <w:t>（四）没有挪用客户资产等损害客户利益的行为</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（五）没有因违法违规行为正在被监管机构调查，或者正处于整改期间；</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（六）具有良好的社会信誉，最近3</w:t>
            </w:r>
            <w:r>
              <w:rPr>
                <w:color w:val="000000"/>
                <w:spacing w:val="0"/>
                <w:w w:val="100"/>
                <w:position w:val="0"/>
                <w:sz w:val="19"/>
                <w:szCs w:val="19"/>
              </w:rPr>
              <w:t>年在金融监管、税务、工商等行政机关，以及自律管理、商业银行等机构无不良记录。</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《期货公司监督管理办法》（证监会令第110</w:t>
            </w:r>
            <w:r>
              <w:rPr>
                <w:color w:val="000000"/>
                <w:spacing w:val="0"/>
                <w:w w:val="100"/>
                <w:position w:val="0"/>
                <w:sz w:val="19"/>
                <w:szCs w:val="19"/>
              </w:rPr>
              <w:t>号）</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第七条 持有5%</w:t>
            </w:r>
            <w:r>
              <w:rPr>
                <w:color w:val="000000"/>
                <w:spacing w:val="0"/>
                <w:w w:val="100"/>
                <w:position w:val="0"/>
                <w:sz w:val="19"/>
                <w:szCs w:val="19"/>
              </w:rPr>
              <w:t>以上股权的股东为法人或者其他组织的，应当具备下列条件：</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（一）实收资本和净资产均不低于人民币3000</w:t>
            </w:r>
            <w:r>
              <w:rPr>
                <w:color w:val="000000"/>
                <w:spacing w:val="0"/>
                <w:w w:val="100"/>
                <w:position w:val="0"/>
                <w:sz w:val="19"/>
                <w:szCs w:val="19"/>
              </w:rPr>
              <w:t>万元；</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（二）净资产不低于实收资本的50%,</w:t>
            </w:r>
            <w:r>
              <w:rPr>
                <w:color w:val="000000"/>
                <w:spacing w:val="0"/>
                <w:w w:val="100"/>
                <w:position w:val="0"/>
                <w:sz w:val="19"/>
                <w:szCs w:val="19"/>
              </w:rPr>
              <w:t>或有负债低于净资产的50%,</w:t>
            </w:r>
            <w:r>
              <w:rPr>
                <w:color w:val="000000"/>
                <w:spacing w:val="0"/>
                <w:w w:val="100"/>
                <w:position w:val="0"/>
                <w:sz w:val="19"/>
                <w:szCs w:val="19"/>
              </w:rPr>
              <w:t>不存在对财务状况产生重大不确定影响其他风险；</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（三）没有较大数额的到期未清偿债务；</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（四）近3</w:t>
            </w:r>
            <w:r>
              <w:rPr>
                <w:color w:val="000000"/>
                <w:spacing w:val="0"/>
                <w:w w:val="100"/>
                <w:position w:val="0"/>
                <w:sz w:val="19"/>
                <w:szCs w:val="19"/>
              </w:rPr>
              <w:t>年未因重大违法违规行为受到行政处罚或者刑事处罚；</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（五）未因涉嫌重大违法违规正在被有权机关立案调査或者采取强制措施；</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（六）近3年作为公司（含金融机构）的股东或者实际控制人，未有滥用股东权利、逃避股东义务等不诚信行为；</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（七）</w:t>
            </w:r>
            <w:r>
              <w:rPr>
                <w:color w:val="000000"/>
                <w:spacing w:val="0"/>
                <w:w w:val="100"/>
                <w:position w:val="0"/>
                <w:sz w:val="19"/>
                <w:szCs w:val="19"/>
              </w:rPr>
              <w:tab/>
            </w:r>
            <w:r>
              <w:rPr>
                <w:color w:val="000000"/>
                <w:spacing w:val="0"/>
                <w:w w:val="100"/>
                <w:position w:val="0"/>
                <w:sz w:val="19"/>
                <w:szCs w:val="19"/>
              </w:rPr>
              <w:t>不存在中国证监会根据审慎监管原则认定的其他不适合持有期货公司股权的情形。</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《证券公司监督管理条例》（国务院令第522号）</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第十条有下列情形之一的单位或者个人，不得成为持有证券公司5%以上股权的股东、实际控制人：</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（一）因故意犯罪被判处刑罚，刑罚执行完毕未逾3年；</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（二）净资产低于实收资本的50%.或者或有负债达到浄资产的50%；</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（三）不能清偿到期债务；</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（四）国务院证券监督管理机构认定的其他情形。</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证券公司的其他股东应当符合国务院证券监督管理机构的相关要求。</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《孤募投资基金监督管理暂行办法》（证监会令第105号）</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第四条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pPr>
              <w:pStyle w:val="20"/>
              <w:keepNext w:val="0"/>
              <w:keepLines w:val="0"/>
              <w:widowControl w:val="0"/>
              <w:shd w:val="clear" w:color="auto" w:fill="auto"/>
              <w:tabs>
                <w:tab w:val="left" w:pos="1051"/>
              </w:tabs>
              <w:bidi w:val="0"/>
              <w:spacing w:before="0" w:after="0" w:line="341" w:lineRule="exact"/>
              <w:ind w:right="0"/>
              <w:jc w:val="both"/>
              <w:rPr>
                <w:color w:val="000000"/>
                <w:spacing w:val="0"/>
                <w:w w:val="100"/>
                <w:position w:val="0"/>
                <w:sz w:val="19"/>
                <w:szCs w:val="19"/>
              </w:rPr>
            </w:pPr>
            <w:r>
              <w:rPr>
                <w:color w:val="000000"/>
                <w:spacing w:val="0"/>
                <w:w w:val="100"/>
                <w:position w:val="0"/>
                <w:sz w:val="19"/>
                <w:szCs w:val="19"/>
              </w:rPr>
              <w:t>私募基金从业人员应当遵守法律、行政法规，恪守职业道德和行为规范。</w:t>
            </w:r>
          </w:p>
          <w:p>
            <w:pPr>
              <w:pStyle w:val="20"/>
              <w:keepNext w:val="0"/>
              <w:keepLines w:val="0"/>
              <w:widowControl w:val="0"/>
              <w:shd w:val="clear" w:color="auto" w:fill="auto"/>
              <w:bidi w:val="0"/>
              <w:spacing w:before="0" w:after="0" w:line="307" w:lineRule="exact"/>
              <w:ind w:left="0" w:right="0" w:firstLine="520"/>
              <w:jc w:val="both"/>
              <w:rPr>
                <w:sz w:val="19"/>
                <w:szCs w:val="19"/>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2"/>
        <w:gridCol w:w="9931"/>
        <w:gridCol w:w="2030"/>
      </w:tblGrid>
      <w:tr>
        <w:tblPrEx>
          <w:tblCellMar>
            <w:top w:w="0" w:type="dxa"/>
            <w:left w:w="10" w:type="dxa"/>
            <w:bottom w:w="0" w:type="dxa"/>
            <w:right w:w="10" w:type="dxa"/>
          </w:tblCellMar>
        </w:tblPrEx>
        <w:trPr>
          <w:trHeight w:val="5716"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leftChars="0" w:right="0" w:firstLine="0" w:firstLineChars="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leftChars="0" w:right="0" w:firstLine="0" w:firstLineChars="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leftChars="0" w:right="0" w:firstLine="0" w:firstLineChars="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leftChars="0" w:right="0" w:firstLine="0" w:firstLineChars="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leftChars="0" w:right="0" w:firstLine="0" w:firstLineChars="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9" w:lineRule="exact"/>
              <w:ind w:left="0" w:leftChars="0" w:right="0" w:firstLine="0" w:firstLineChars="0"/>
              <w:jc w:val="both"/>
              <w:rPr>
                <w:sz w:val="19"/>
                <w:szCs w:val="19"/>
              </w:rPr>
            </w:pPr>
            <w:r>
              <w:rPr>
                <w:rFonts w:hint="eastAsia"/>
                <w:color w:val="000000"/>
                <w:spacing w:val="0"/>
                <w:w w:val="100"/>
                <w:position w:val="0"/>
                <w:sz w:val="19"/>
                <w:szCs w:val="19"/>
                <w:lang w:val="en-US" w:eastAsia="zh-CN"/>
              </w:rPr>
              <w:t>13、</w:t>
            </w:r>
            <w:r>
              <w:rPr>
                <w:color w:val="000000"/>
                <w:spacing w:val="0"/>
                <w:w w:val="100"/>
                <w:position w:val="0"/>
                <w:sz w:val="19"/>
                <w:szCs w:val="19"/>
              </w:rPr>
              <w:t>依法将失信行为作为境内上市公司实行 股权激励计划或相关人员成为股权激励对象事中事后监管的参考。</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《上市公司股权激励管理办法》（证监会令第126号）</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第七条上市公司具有下列情形之一的，不得实行股权激励：</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（一）最近一个会计年度财务会计报告被注册会计师岀具否定意见或者无法表示意见的审计报告；</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（二）最近一个会计年度财务报告内部控制被注册会计师出具否定意见或无法表示意见的审计报告；</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（三）上市后最近36个月内出现过未按法律法规、公司章程、公开承诺进行利润分配的情形；</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（四）法律法规规定不得实行股权激励的；</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（五）中国证监会认定的其他情形。</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第八条激励对象可以包括上市公司的董事、髙级管理人员、核心技术人员或者核心业务人员，以及公司认为应当激励的对公司经营业绩利未来发展有直接影响的其他员工，但不应当包括独立董事和监事。 在境内工作的外籍员工任职上市公司董事、高级管理人员、核心技术人员或者核心业务人员的，可以成为 激励对象。单独或合计持有上市公司5%以上股份的股东或实际控制人及其配偶、父母、子女，不得成为激励对象。</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下列人员也不得成为激励对象：</w:t>
            </w:r>
          </w:p>
          <w:p>
            <w:pPr>
              <w:pStyle w:val="20"/>
              <w:keepNext w:val="0"/>
              <w:keepLines w:val="0"/>
              <w:widowControl w:val="0"/>
              <w:shd w:val="clear" w:color="auto" w:fill="auto"/>
              <w:bidi w:val="0"/>
              <w:spacing w:before="0" w:after="0" w:line="316" w:lineRule="exact"/>
              <w:ind w:left="0" w:right="0" w:firstLine="52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w:t>
            </w:r>
            <w:r>
              <w:rPr>
                <w:rFonts w:hint="eastAsia"/>
                <w:b w:val="0"/>
                <w:bCs w:val="0"/>
                <w:i w:val="0"/>
                <w:iCs w:val="0"/>
                <w:smallCaps w:val="0"/>
                <w:strike w:val="0"/>
                <w:color w:val="000000"/>
                <w:spacing w:val="0"/>
                <w:w w:val="100"/>
                <w:position w:val="0"/>
                <w:sz w:val="19"/>
                <w:szCs w:val="19"/>
                <w:lang w:eastAsia="zh-CN"/>
              </w:rPr>
              <w:t>一</w:t>
            </w:r>
            <w:r>
              <w:rPr>
                <w:b w:val="0"/>
                <w:bCs w:val="0"/>
                <w:i w:val="0"/>
                <w:iCs w:val="0"/>
                <w:smallCaps w:val="0"/>
                <w:strike w:val="0"/>
                <w:color w:val="000000"/>
                <w:spacing w:val="0"/>
                <w:w w:val="100"/>
                <w:position w:val="0"/>
                <w:sz w:val="19"/>
                <w:szCs w:val="19"/>
              </w:rPr>
              <w:t>）最近12月内被证券交易所认定为不适当人选</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16" w:lineRule="exact"/>
              <w:ind w:left="0" w:right="0" w:firstLine="52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（二）最近12个月内被中国证监会及其派出机构认定为不适当人选</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（三）最近12个月内因重大违法违规行为被中国证监会及其派出机构行政处罚或者釆取市场禁入措施；</w:t>
            </w:r>
          </w:p>
          <w:p>
            <w:pPr>
              <w:pStyle w:val="20"/>
              <w:keepNext w:val="0"/>
              <w:keepLines w:val="0"/>
              <w:widowControl w:val="0"/>
              <w:shd w:val="clear" w:color="auto" w:fill="auto"/>
              <w:bidi w:val="0"/>
              <w:spacing w:before="0" w:after="0" w:line="316" w:lineRule="exact"/>
              <w:ind w:left="0" w:right="0" w:firstLine="52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（四）具有《公司法》规定的不得担任公司董事、高级管理人员情形的</w:t>
            </w:r>
            <w:r>
              <w:rPr>
                <w:rFonts w:hint="eastAsia"/>
                <w:b w:val="0"/>
                <w:bCs w:val="0"/>
                <w:i w:val="0"/>
                <w:iCs w:val="0"/>
                <w:smallCaps w:val="0"/>
                <w:strike w:val="0"/>
                <w:color w:val="000000"/>
                <w:spacing w:val="0"/>
                <w:w w:val="100"/>
                <w:position w:val="0"/>
                <w:sz w:val="19"/>
                <w:szCs w:val="19"/>
                <w:lang w:eastAsia="zh-CN"/>
              </w:rPr>
              <w:t>；</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（五）法律法规规定不得参与上市公司股权激励的；</w:t>
            </w:r>
          </w:p>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（六）中国证监会认定的其他情形。</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6" w:lineRule="exact"/>
              <w:ind w:left="0" w:right="0" w:firstLine="52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证监会</w:t>
            </w:r>
          </w:p>
        </w:tc>
      </w:tr>
      <w:tr>
        <w:tblPrEx>
          <w:tblCellMar>
            <w:top w:w="0" w:type="dxa"/>
            <w:left w:w="10" w:type="dxa"/>
            <w:bottom w:w="0" w:type="dxa"/>
            <w:right w:w="10" w:type="dxa"/>
          </w:tblCellMar>
        </w:tblPrEx>
        <w:trPr>
          <w:trHeight w:val="2291"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sz w:val="19"/>
                <w:szCs w:val="19"/>
              </w:rPr>
            </w:pPr>
            <w:r>
              <w:rPr>
                <w:rFonts w:hint="eastAsia"/>
                <w:color w:val="000000"/>
                <w:spacing w:val="0"/>
                <w:w w:val="100"/>
                <w:position w:val="0"/>
                <w:sz w:val="19"/>
                <w:szCs w:val="19"/>
                <w:lang w:val="en-US" w:eastAsia="zh-CN"/>
              </w:rPr>
              <w:t>14、</w:t>
            </w:r>
            <w:r>
              <w:rPr>
                <w:color w:val="000000"/>
                <w:spacing w:val="0"/>
                <w:w w:val="100"/>
                <w:position w:val="0"/>
                <w:sz w:val="19"/>
                <w:szCs w:val="19"/>
              </w:rPr>
              <w:t>依法将违法失信行为作为非上市公众公司重大资产重组审核 的参考。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200"/>
              <w:jc w:val="both"/>
              <w:rPr>
                <w:sz w:val="19"/>
                <w:szCs w:val="19"/>
              </w:rPr>
            </w:pPr>
            <w:r>
              <w:rPr>
                <w:color w:val="000000"/>
                <w:spacing w:val="0"/>
                <w:w w:val="100"/>
                <w:position w:val="0"/>
                <w:sz w:val="19"/>
                <w:szCs w:val="19"/>
              </w:rPr>
              <w:t>《非上市公众公司重大资产重组管理办法》（证监会令</w:t>
            </w:r>
            <w:r>
              <w:rPr>
                <w:b w:val="0"/>
                <w:bCs w:val="0"/>
                <w:i w:val="0"/>
                <w:iCs w:val="0"/>
                <w:smallCaps w:val="0"/>
                <w:strike w:val="0"/>
                <w:color w:val="000000"/>
                <w:spacing w:val="0"/>
                <w:w w:val="100"/>
                <w:position w:val="0"/>
                <w:sz w:val="19"/>
                <w:szCs w:val="19"/>
              </w:rPr>
              <w:t>第103号）</w:t>
            </w:r>
          </w:p>
          <w:p>
            <w:pPr>
              <w:pStyle w:val="20"/>
              <w:keepNext w:val="0"/>
              <w:keepLines w:val="0"/>
              <w:widowControl w:val="0"/>
              <w:shd w:val="clear" w:color="auto" w:fill="auto"/>
              <w:bidi w:val="0"/>
              <w:spacing w:before="0" w:after="0" w:line="317" w:lineRule="exact"/>
              <w:ind w:left="0" w:right="0" w:firstLine="520"/>
              <w:jc w:val="both"/>
              <w:rPr>
                <w:sz w:val="19"/>
                <w:szCs w:val="19"/>
              </w:rPr>
            </w:pPr>
            <w:r>
              <w:rPr>
                <w:color w:val="000000"/>
                <w:spacing w:val="0"/>
                <w:w w:val="100"/>
                <w:position w:val="0"/>
                <w:sz w:val="19"/>
                <w:szCs w:val="19"/>
              </w:rPr>
              <w:t>第五条公众公司的董事、监事和高级管理人员在重大资产重组中，应当诚实守信、勤勉尽责，维护公众公司资产的安全，保护公众公司和全体股东的合法权益。</w:t>
            </w:r>
          </w:p>
          <w:p>
            <w:pPr>
              <w:pStyle w:val="20"/>
              <w:keepNext w:val="0"/>
              <w:keepLines w:val="0"/>
              <w:widowControl w:val="0"/>
              <w:shd w:val="clear" w:color="auto" w:fill="auto"/>
              <w:bidi w:val="0"/>
              <w:spacing w:before="0" w:after="0" w:line="317" w:lineRule="exact"/>
              <w:ind w:left="0" w:right="0" w:firstLine="520"/>
              <w:jc w:val="both"/>
              <w:rPr>
                <w:sz w:val="19"/>
                <w:szCs w:val="19"/>
              </w:rPr>
            </w:pPr>
            <w:r>
              <w:rPr>
                <w:color w:val="000000"/>
                <w:spacing w:val="0"/>
                <w:w w:val="100"/>
                <w:position w:val="0"/>
                <w:sz w:val="19"/>
                <w:szCs w:val="19"/>
              </w:rPr>
              <w:t>第二十七条全国股份转让系统对公众公司重大资产重组实施自律管理。</w:t>
            </w:r>
          </w:p>
          <w:p>
            <w:pPr>
              <w:pStyle w:val="20"/>
              <w:keepNext w:val="0"/>
              <w:keepLines w:val="0"/>
              <w:widowControl w:val="0"/>
              <w:shd w:val="clear" w:color="auto" w:fill="auto"/>
              <w:bidi w:val="0"/>
              <w:spacing w:before="0" w:after="0" w:line="319" w:lineRule="exact"/>
              <w:ind w:left="0" w:right="0" w:firstLine="0"/>
              <w:jc w:val="both"/>
              <w:rPr>
                <w:rFonts w:hint="eastAsia" w:eastAsia="宋体"/>
                <w:sz w:val="19"/>
                <w:szCs w:val="19"/>
                <w:lang w:eastAsia="zh-CN"/>
              </w:rPr>
            </w:pPr>
            <w:r>
              <w:rPr>
                <w:color w:val="000000"/>
                <w:spacing w:val="0"/>
                <w:w w:val="100"/>
                <w:position w:val="0"/>
                <w:sz w:val="19"/>
                <w:szCs w:val="19"/>
              </w:rPr>
              <w:t>全国股份转让系统应当对公众公司涉及重大资产重组的股票暂停与恢复转让、防范内幕交易等作出制度安排；加强对公众公司重大资产重组期间股票转让的实时监管，建立相应的市场核査机制，并在后续阶 段对股票转让情况进行持续监管</w:t>
            </w:r>
            <w:r>
              <w:rPr>
                <w:rFonts w:hint="eastAsia"/>
                <w:color w:val="000000"/>
                <w:spacing w:val="0"/>
                <w:w w:val="100"/>
                <w:position w:val="0"/>
                <w:sz w:val="19"/>
                <w:szCs w:val="19"/>
                <w:lang w:eastAsia="zh-CN"/>
              </w:rPr>
              <w:t>。</w:t>
            </w:r>
          </w:p>
          <w:p>
            <w:pPr>
              <w:pStyle w:val="20"/>
              <w:keepNext w:val="0"/>
              <w:keepLines w:val="0"/>
              <w:widowControl w:val="0"/>
              <w:shd w:val="clear" w:color="auto" w:fill="auto"/>
              <w:bidi w:val="0"/>
              <w:spacing w:before="0" w:after="0" w:line="317" w:lineRule="exact"/>
              <w:ind w:left="0" w:right="0" w:firstLine="520"/>
              <w:jc w:val="both"/>
              <w:rPr>
                <w:sz w:val="19"/>
                <w:szCs w:val="19"/>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2"/>
        <w:gridCol w:w="9922"/>
        <w:gridCol w:w="2030"/>
      </w:tblGrid>
      <w:tr>
        <w:tblPrEx>
          <w:tblCellMar>
            <w:top w:w="0" w:type="dxa"/>
            <w:left w:w="10" w:type="dxa"/>
            <w:bottom w:w="0" w:type="dxa"/>
            <w:right w:w="10" w:type="dxa"/>
          </w:tblCellMar>
        </w:tblPrEx>
        <w:trPr>
          <w:trHeight w:val="23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9922"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9" w:lineRule="exact"/>
              <w:ind w:left="0" w:leftChars="0" w:right="0" w:firstLine="570" w:firstLineChars="300"/>
              <w:jc w:val="left"/>
              <w:rPr>
                <w:sz w:val="19"/>
                <w:szCs w:val="19"/>
              </w:rPr>
            </w:pPr>
            <w:r>
              <w:rPr>
                <w:color w:val="000000"/>
                <w:spacing w:val="0"/>
                <w:w w:val="100"/>
                <w:position w:val="0"/>
                <w:sz w:val="19"/>
                <w:szCs w:val="19"/>
              </w:rPr>
              <w:t>全国股份转让系统应当督促公众公司及其他信息披露义务人依法履行信息披露义务，发现公众公司重 大资产重组信息披露文件中有违反法律、行政法规和中国证监会规定行为的，应当向中国证监会报告，并 釆取相应的自律监管措施；情形严重的，应当要求其暫停重大资产重组。</w:t>
            </w:r>
          </w:p>
          <w:p>
            <w:pPr>
              <w:pStyle w:val="20"/>
              <w:keepNext w:val="0"/>
              <w:keepLines w:val="0"/>
              <w:widowControl w:val="0"/>
              <w:shd w:val="clear" w:color="auto" w:fill="auto"/>
              <w:bidi w:val="0"/>
              <w:spacing w:before="0" w:after="0" w:line="319" w:lineRule="exact"/>
              <w:ind w:left="0" w:right="0" w:firstLine="500"/>
              <w:jc w:val="left"/>
              <w:rPr>
                <w:sz w:val="19"/>
                <w:szCs w:val="19"/>
              </w:rPr>
            </w:pPr>
            <w:r>
              <w:rPr>
                <w:color w:val="000000"/>
                <w:spacing w:val="0"/>
                <w:w w:val="100"/>
                <w:position w:val="0"/>
                <w:sz w:val="19"/>
                <w:szCs w:val="19"/>
              </w:rPr>
              <w:t>全国股份转让系统应当督促为公众公司提供服务的独立财务顾问诚实守信、勤勉尽责，发现独立财务顾问有违反法律、行政法规和中国证监会规定行为的，应当向中国证监会报告，并采取相应的自律监管措施。</w:t>
            </w: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07"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lang w:val="zh-CN" w:eastAsia="zh-CN" w:bidi="zh-CN"/>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lang w:val="zh-CN" w:eastAsia="zh-CN" w:bidi="zh-CN"/>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lang w:val="zh-CN" w:eastAsia="zh-CN" w:bidi="zh-CN"/>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lang w:val="zh-CN" w:eastAsia="zh-CN" w:bidi="zh-CN"/>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lang w:val="zh-CN" w:eastAsia="zh-CN" w:bidi="zh-CN"/>
              </w:rPr>
            </w:pPr>
          </w:p>
          <w:p>
            <w:pPr>
              <w:pStyle w:val="20"/>
              <w:keepNext w:val="0"/>
              <w:keepLines w:val="0"/>
              <w:widowControl w:val="0"/>
              <w:shd w:val="clear" w:color="auto" w:fill="auto"/>
              <w:bidi w:val="0"/>
              <w:spacing w:before="0" w:after="0" w:line="317" w:lineRule="exact"/>
              <w:ind w:left="0" w:right="0" w:firstLine="0"/>
              <w:jc w:val="both"/>
              <w:rPr>
                <w:sz w:val="19"/>
                <w:szCs w:val="19"/>
              </w:rPr>
            </w:pPr>
            <w:r>
              <w:rPr>
                <w:rFonts w:ascii="Times New Roman" w:hAnsi="Times New Roman" w:eastAsia="Times New Roman" w:cs="Times New Roman"/>
                <w:color w:val="000000"/>
                <w:spacing w:val="0"/>
                <w:w w:val="100"/>
                <w:position w:val="0"/>
                <w:sz w:val="20"/>
                <w:szCs w:val="20"/>
                <w:lang w:val="zh-CN" w:eastAsia="zh-CN" w:bidi="zh-CN"/>
              </w:rPr>
              <w:t>15</w:t>
            </w:r>
            <w:r>
              <w:rPr>
                <w:color w:val="000000"/>
                <w:spacing w:val="0"/>
                <w:w w:val="100"/>
                <w:position w:val="0"/>
                <w:sz w:val="19"/>
                <w:szCs w:val="19"/>
              </w:rPr>
              <w:t>.在上市公司或者非上市公众公司收购的事中事后监管中，依法对有严重失信行为的企业予以重点关注。</w:t>
            </w:r>
          </w:p>
        </w:tc>
        <w:tc>
          <w:tcPr>
            <w:tcW w:w="9922"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4" w:lineRule="exact"/>
              <w:ind w:left="0" w:right="0" w:firstLine="180"/>
              <w:jc w:val="both"/>
              <w:rPr>
                <w:sz w:val="19"/>
                <w:szCs w:val="19"/>
              </w:rPr>
            </w:pPr>
            <w:r>
              <w:rPr>
                <w:color w:val="000000"/>
                <w:spacing w:val="0"/>
                <w:w w:val="100"/>
                <w:position w:val="0"/>
                <w:sz w:val="19"/>
                <w:szCs w:val="19"/>
              </w:rPr>
              <w:t>《上市公司收购管理办法》（证监会令第108</w:t>
            </w:r>
            <w:r>
              <w:rPr>
                <w:color w:val="000000"/>
                <w:spacing w:val="0"/>
                <w:w w:val="100"/>
                <w:position w:val="0"/>
                <w:sz w:val="19"/>
                <w:szCs w:val="19"/>
              </w:rPr>
              <w:t>号）</w:t>
            </w:r>
          </w:p>
          <w:p>
            <w:pPr>
              <w:pStyle w:val="20"/>
              <w:keepNext w:val="0"/>
              <w:keepLines w:val="0"/>
              <w:widowControl w:val="0"/>
              <w:shd w:val="clear" w:color="auto" w:fill="auto"/>
              <w:bidi w:val="0"/>
              <w:spacing w:before="0" w:after="0" w:line="324" w:lineRule="exact"/>
              <w:ind w:left="0" w:right="0" w:firstLine="500"/>
              <w:jc w:val="both"/>
              <w:rPr>
                <w:sz w:val="19"/>
                <w:szCs w:val="19"/>
              </w:rPr>
            </w:pPr>
            <w:r>
              <w:rPr>
                <w:color w:val="000000"/>
                <w:spacing w:val="0"/>
                <w:w w:val="100"/>
                <w:position w:val="0"/>
                <w:sz w:val="19"/>
                <w:szCs w:val="19"/>
              </w:rPr>
              <w:t>第六条任何人不得利用上市公司的收购损害被收购公司及其股东的合法权益。</w:t>
            </w:r>
          </w:p>
          <w:p>
            <w:pPr>
              <w:pStyle w:val="20"/>
              <w:keepNext w:val="0"/>
              <w:keepLines w:val="0"/>
              <w:widowControl w:val="0"/>
              <w:shd w:val="clear" w:color="auto" w:fill="auto"/>
              <w:bidi w:val="0"/>
              <w:spacing w:before="0" w:after="0" w:line="324" w:lineRule="exact"/>
              <w:ind w:left="0" w:right="0" w:firstLine="500"/>
              <w:jc w:val="both"/>
              <w:rPr>
                <w:sz w:val="19"/>
                <w:szCs w:val="19"/>
              </w:rPr>
            </w:pPr>
            <w:r>
              <w:rPr>
                <w:color w:val="000000"/>
                <w:spacing w:val="0"/>
                <w:w w:val="100"/>
                <w:position w:val="0"/>
                <w:sz w:val="19"/>
                <w:szCs w:val="19"/>
              </w:rPr>
              <w:t>有下列情形之一的，不得收购上市公司：</w:t>
            </w:r>
          </w:p>
          <w:p>
            <w:pPr>
              <w:pStyle w:val="20"/>
              <w:keepNext w:val="0"/>
              <w:keepLines w:val="0"/>
              <w:widowControl w:val="0"/>
              <w:shd w:val="clear" w:color="auto" w:fill="auto"/>
              <w:bidi w:val="0"/>
              <w:spacing w:before="0" w:after="0" w:line="324" w:lineRule="exact"/>
              <w:ind w:left="0" w:right="0" w:firstLine="60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收购人负有数额较大债务，到期未淸偿，且处于持续状态；</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（二）收购人最近3</w:t>
            </w:r>
            <w:r>
              <w:rPr>
                <w:color w:val="000000"/>
                <w:spacing w:val="0"/>
                <w:w w:val="100"/>
                <w:position w:val="0"/>
                <w:sz w:val="19"/>
                <w:szCs w:val="19"/>
              </w:rPr>
              <w:t>年有重大违法行为或者涉嫌有重大违法行为；</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（三）收购人最近3</w:t>
            </w:r>
            <w:r>
              <w:rPr>
                <w:color w:val="000000"/>
                <w:spacing w:val="0"/>
                <w:w w:val="100"/>
                <w:position w:val="0"/>
                <w:sz w:val="19"/>
                <w:szCs w:val="19"/>
              </w:rPr>
              <w:t>年有严重的证券市场失信行为；</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（四）收购人为自然人的，存在《公司法》第一百四十六条规定情形：</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（五）法律、行政法规规定以及中国证监会认定的不得收购上市公司的其他情形。</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《非上市公众公司收购管理办法》（证监会令第102</w:t>
            </w:r>
            <w:r>
              <w:rPr>
                <w:color w:val="000000"/>
                <w:spacing w:val="0"/>
                <w:w w:val="100"/>
                <w:position w:val="0"/>
                <w:sz w:val="19"/>
                <w:szCs w:val="19"/>
              </w:rPr>
              <w:t>号）</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第六条进行公众公司收购，收购人及其实际控制人应当具有良好的诚信记录，收购人及其实际控制人为法人的，应当具有健全的公司治理机制。任何人不得利用公众公司收购损害被收购公司及其股东的合法益。</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有下列情形之一的，不得收购公众公司：</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（一）收购人负有数额较大债务，到期未清偿，且处于持续状态；</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（二）收购人最近2</w:t>
            </w:r>
            <w:r>
              <w:rPr>
                <w:color w:val="000000"/>
                <w:spacing w:val="0"/>
                <w:w w:val="100"/>
                <w:position w:val="0"/>
                <w:sz w:val="19"/>
                <w:szCs w:val="19"/>
              </w:rPr>
              <w:t>年有重大违法行为或者涉嫌有重大违法行为；</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（三）收购人最近2</w:t>
            </w:r>
            <w:r>
              <w:rPr>
                <w:color w:val="000000"/>
                <w:spacing w:val="0"/>
                <w:w w:val="100"/>
                <w:position w:val="0"/>
                <w:sz w:val="19"/>
                <w:szCs w:val="19"/>
              </w:rPr>
              <w:t>年有严重的证券市场失信行为：</w:t>
            </w:r>
          </w:p>
          <w:p>
            <w:pPr>
              <w:pStyle w:val="20"/>
              <w:keepNext w:val="0"/>
              <w:keepLines w:val="0"/>
              <w:widowControl w:val="0"/>
              <w:shd w:val="clear" w:color="auto" w:fill="auto"/>
              <w:bidi w:val="0"/>
              <w:spacing w:before="0" w:after="0" w:line="324" w:lineRule="exact"/>
              <w:ind w:left="0" w:right="0" w:firstLine="500"/>
              <w:jc w:val="both"/>
              <w:rPr>
                <w:color w:val="000000"/>
                <w:spacing w:val="0"/>
                <w:w w:val="100"/>
                <w:position w:val="0"/>
                <w:sz w:val="19"/>
                <w:szCs w:val="19"/>
              </w:rPr>
            </w:pPr>
            <w:r>
              <w:rPr>
                <w:color w:val="000000"/>
                <w:spacing w:val="0"/>
                <w:w w:val="100"/>
                <w:position w:val="0"/>
                <w:sz w:val="19"/>
                <w:szCs w:val="19"/>
              </w:rPr>
              <w:t>（四）收购人为自然人的，存在《公司法》第一百四十六条规定的情形；</w:t>
            </w:r>
          </w:p>
          <w:p>
            <w:pPr>
              <w:pStyle w:val="20"/>
              <w:keepNext w:val="0"/>
              <w:keepLines w:val="0"/>
              <w:widowControl w:val="0"/>
              <w:shd w:val="clear" w:color="auto" w:fill="auto"/>
              <w:bidi w:val="0"/>
              <w:spacing w:before="0" w:after="0" w:line="324" w:lineRule="exact"/>
              <w:ind w:left="0" w:right="0" w:firstLine="500"/>
              <w:jc w:val="both"/>
              <w:rPr>
                <w:sz w:val="19"/>
                <w:szCs w:val="19"/>
              </w:rPr>
            </w:pPr>
            <w:r>
              <w:rPr>
                <w:color w:val="000000"/>
                <w:spacing w:val="0"/>
                <w:w w:val="100"/>
                <w:position w:val="0"/>
                <w:sz w:val="19"/>
                <w:szCs w:val="19"/>
              </w:rPr>
              <w:t>（五）法律、行政法规规定以及中国证监会认定的不得收购公众公司的其他情形。</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2"/>
        <w:gridCol w:w="9931"/>
        <w:gridCol w:w="2030"/>
      </w:tblGrid>
      <w:tr>
        <w:tblPrEx>
          <w:tblCellMar>
            <w:top w:w="0" w:type="dxa"/>
            <w:left w:w="10" w:type="dxa"/>
            <w:bottom w:w="0" w:type="dxa"/>
            <w:right w:w="10" w:type="dxa"/>
          </w:tblCellMar>
        </w:tblPrEx>
        <w:trPr>
          <w:trHeight w:val="8158"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7" w:lineRule="exact"/>
              <w:ind w:left="0" w:right="0" w:firstLine="0"/>
              <w:jc w:val="both"/>
              <w:rPr>
                <w:sz w:val="19"/>
                <w:szCs w:val="19"/>
              </w:rPr>
            </w:pPr>
            <w:r>
              <w:rPr>
                <w:rFonts w:hint="eastAsia"/>
                <w:color w:val="000000"/>
                <w:spacing w:val="0"/>
                <w:w w:val="100"/>
                <w:position w:val="0"/>
                <w:sz w:val="19"/>
                <w:szCs w:val="19"/>
                <w:lang w:val="en-US" w:eastAsia="zh-CN"/>
              </w:rPr>
              <w:t>16、</w:t>
            </w:r>
            <w:r>
              <w:rPr>
                <w:color w:val="000000"/>
                <w:spacing w:val="0"/>
                <w:w w:val="100"/>
                <w:position w:val="0"/>
                <w:sz w:val="19"/>
                <w:szCs w:val="19"/>
              </w:rPr>
              <w:t>依法将违法失信行为作为独立基金销售机构审批的参考。</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09" w:lineRule="exact"/>
              <w:ind w:left="0" w:right="0" w:firstLine="180"/>
              <w:jc w:val="left"/>
              <w:rPr>
                <w:color w:val="000000"/>
                <w:spacing w:val="0"/>
                <w:w w:val="100"/>
                <w:position w:val="0"/>
                <w:sz w:val="19"/>
                <w:szCs w:val="19"/>
              </w:rPr>
            </w:pPr>
            <w:r>
              <w:rPr>
                <w:color w:val="000000"/>
                <w:spacing w:val="0"/>
                <w:w w:val="100"/>
                <w:position w:val="0"/>
                <w:sz w:val="19"/>
                <w:szCs w:val="19"/>
              </w:rPr>
              <w:t>《证券投资基金销售管理办法》（证监会令第91</w:t>
            </w:r>
            <w:r>
              <w:rPr>
                <w:color w:val="000000"/>
                <w:spacing w:val="0"/>
                <w:w w:val="100"/>
                <w:position w:val="0"/>
                <w:sz w:val="19"/>
                <w:szCs w:val="19"/>
              </w:rPr>
              <w:t>号）</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第十六条独立基金销售机构以有限责任公司形式设立的，其股东可以是企业法人或者自然人</w:t>
            </w:r>
            <w:r>
              <w:rPr>
                <w:rFonts w:hint="eastAsia"/>
                <w:color w:val="000000"/>
                <w:spacing w:val="0"/>
                <w:w w:val="100"/>
                <w:position w:val="0"/>
                <w:sz w:val="19"/>
                <w:szCs w:val="19"/>
                <w:lang w:eastAsia="zh-CN"/>
              </w:rPr>
              <w:t>。</w:t>
            </w:r>
            <w:r>
              <w:rPr>
                <w:color w:val="000000"/>
                <w:spacing w:val="0"/>
                <w:w w:val="100"/>
                <w:position w:val="0"/>
                <w:sz w:val="19"/>
                <w:szCs w:val="19"/>
              </w:rPr>
              <w:t xml:space="preserve"> 企业法人参股独立基金销售机构，应当具备以下条件：</w:t>
            </w:r>
          </w:p>
          <w:p>
            <w:pPr>
              <w:pStyle w:val="20"/>
              <w:keepNext w:val="0"/>
              <w:keepLines w:val="0"/>
              <w:widowControl w:val="0"/>
              <w:shd w:val="clear" w:color="auto" w:fill="auto"/>
              <w:tabs>
                <w:tab w:val="left" w:pos="1138"/>
              </w:tabs>
              <w:bidi w:val="0"/>
              <w:spacing w:before="0" w:after="0" w:line="309" w:lineRule="exact"/>
              <w:ind w:left="0" w:right="0" w:firstLine="620"/>
              <w:jc w:val="left"/>
              <w:rPr>
                <w:rFonts w:hint="eastAsia"/>
                <w:color w:val="000000"/>
                <w:spacing w:val="0"/>
                <w:w w:val="100"/>
                <w:position w:val="0"/>
                <w:sz w:val="19"/>
                <w:szCs w:val="19"/>
                <w:lang w:eastAsia="zh-CN"/>
              </w:rPr>
            </w:pPr>
            <w:r>
              <w:rPr>
                <w:color w:val="000000"/>
                <w:spacing w:val="0"/>
                <w:w w:val="100"/>
                <w:position w:val="0"/>
                <w:sz w:val="19"/>
                <w:szCs w:val="19"/>
              </w:rPr>
              <w:t>（一）持续经营3</w:t>
            </w:r>
            <w:r>
              <w:rPr>
                <w:color w:val="000000"/>
                <w:spacing w:val="0"/>
                <w:w w:val="100"/>
                <w:position w:val="0"/>
                <w:sz w:val="19"/>
                <w:szCs w:val="19"/>
              </w:rPr>
              <w:t>个以上完整会计年度，财务状况良好，运作规范稳定</w:t>
            </w:r>
            <w:r>
              <w:rPr>
                <w:rFonts w:hint="eastAsia"/>
                <w:color w:val="000000"/>
                <w:spacing w:val="0"/>
                <w:w w:val="100"/>
                <w:position w:val="0"/>
                <w:sz w:val="19"/>
                <w:szCs w:val="19"/>
                <w:lang w:eastAsia="zh-CN"/>
              </w:rPr>
              <w:t>；</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（二）最近3</w:t>
            </w:r>
            <w:r>
              <w:rPr>
                <w:color w:val="000000"/>
                <w:spacing w:val="0"/>
                <w:w w:val="100"/>
                <w:position w:val="0"/>
                <w:sz w:val="19"/>
                <w:szCs w:val="19"/>
              </w:rPr>
              <w:t>年没有受到刑事处罚；</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（三）最近3</w:t>
            </w:r>
            <w:r>
              <w:rPr>
                <w:color w:val="000000"/>
                <w:spacing w:val="0"/>
                <w:w w:val="100"/>
                <w:position w:val="0"/>
                <w:sz w:val="19"/>
                <w:szCs w:val="19"/>
              </w:rPr>
              <w:t>年没有受到金融监管、行业监管、工商、税务等行政管理部门的行政处罚；</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（四）最近3</w:t>
            </w:r>
            <w:r>
              <w:rPr>
                <w:color w:val="000000"/>
                <w:spacing w:val="0"/>
                <w:w w:val="100"/>
                <w:position w:val="0"/>
                <w:sz w:val="19"/>
                <w:szCs w:val="19"/>
              </w:rPr>
              <w:t>年在自律管理、商业银行等机构无不良记录；</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（五）没有因违法违规行为正在被监管机构调査或者正处于整改期间。</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自然人参股独立基金销售机构，应当具备以下条件：</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（一）有从事证券、基金或者其他金融业务10</w:t>
            </w:r>
            <w:r>
              <w:rPr>
                <w:color w:val="000000"/>
                <w:spacing w:val="0"/>
                <w:w w:val="100"/>
                <w:position w:val="0"/>
                <w:sz w:val="19"/>
                <w:szCs w:val="19"/>
              </w:rPr>
              <w:t>年以上或者证券、基金业务部门管理5</w:t>
            </w:r>
            <w:r>
              <w:rPr>
                <w:color w:val="000000"/>
                <w:spacing w:val="0"/>
                <w:w w:val="100"/>
                <w:position w:val="0"/>
                <w:sz w:val="19"/>
                <w:szCs w:val="19"/>
              </w:rPr>
              <w:t>年以上或者担任证券、基金行业高级管理人员3</w:t>
            </w:r>
            <w:r>
              <w:rPr>
                <w:color w:val="000000"/>
                <w:spacing w:val="0"/>
                <w:w w:val="100"/>
                <w:position w:val="0"/>
                <w:sz w:val="19"/>
                <w:szCs w:val="19"/>
              </w:rPr>
              <w:t>年以上的工作经历；</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（二）最近3</w:t>
            </w:r>
            <w:r>
              <w:rPr>
                <w:color w:val="000000"/>
                <w:spacing w:val="0"/>
                <w:w w:val="100"/>
                <w:position w:val="0"/>
                <w:sz w:val="19"/>
                <w:szCs w:val="19"/>
              </w:rPr>
              <w:t>年没有受到刑事处罚；</w:t>
            </w:r>
          </w:p>
          <w:p>
            <w:pPr>
              <w:pStyle w:val="20"/>
              <w:keepNext w:val="0"/>
              <w:keepLines w:val="0"/>
              <w:widowControl w:val="0"/>
              <w:shd w:val="clear" w:color="auto" w:fill="auto"/>
              <w:tabs>
                <w:tab w:val="left" w:pos="1138"/>
              </w:tabs>
              <w:bidi w:val="0"/>
              <w:spacing w:before="0" w:after="0" w:line="309" w:lineRule="exact"/>
              <w:ind w:left="0" w:right="0" w:firstLine="620"/>
              <w:jc w:val="left"/>
              <w:rPr>
                <w:sz w:val="19"/>
                <w:szCs w:val="19"/>
              </w:rPr>
            </w:pPr>
            <w:r>
              <w:rPr>
                <w:color w:val="000000"/>
                <w:spacing w:val="0"/>
                <w:w w:val="100"/>
                <w:position w:val="0"/>
                <w:sz w:val="19"/>
                <w:szCs w:val="19"/>
              </w:rPr>
              <w:t>（三）最近3</w:t>
            </w:r>
            <w:r>
              <w:rPr>
                <w:color w:val="000000"/>
                <w:spacing w:val="0"/>
                <w:w w:val="100"/>
                <w:position w:val="0"/>
                <w:sz w:val="19"/>
                <w:szCs w:val="19"/>
              </w:rPr>
              <w:t>年没有受到金融监管、行业监管、工商、税务等行政管理部门的行政处罚；</w:t>
            </w:r>
          </w:p>
          <w:p>
            <w:pPr>
              <w:pStyle w:val="20"/>
              <w:keepNext w:val="0"/>
              <w:keepLines w:val="0"/>
              <w:widowControl w:val="0"/>
              <w:shd w:val="clear" w:color="auto" w:fill="auto"/>
              <w:tabs>
                <w:tab w:val="left" w:pos="1138"/>
              </w:tabs>
              <w:bidi w:val="0"/>
              <w:spacing w:before="0" w:after="0" w:line="309" w:lineRule="exact"/>
              <w:ind w:left="0" w:right="0" w:firstLine="620"/>
              <w:jc w:val="left"/>
              <w:rPr>
                <w:sz w:val="19"/>
                <w:szCs w:val="19"/>
              </w:rPr>
            </w:pPr>
            <w:r>
              <w:rPr>
                <w:color w:val="000000"/>
                <w:spacing w:val="0"/>
                <w:w w:val="100"/>
                <w:position w:val="0"/>
                <w:sz w:val="19"/>
                <w:szCs w:val="19"/>
              </w:rPr>
              <w:t>（四）在自律管理、商业银行等机构无不良记录；</w:t>
            </w:r>
            <w:bookmarkStart w:id="43" w:name="_GoBack"/>
            <w:bookmarkEnd w:id="43"/>
          </w:p>
          <w:p>
            <w:pPr>
              <w:pStyle w:val="20"/>
              <w:keepNext w:val="0"/>
              <w:keepLines w:val="0"/>
              <w:widowControl w:val="0"/>
              <w:shd w:val="clear" w:color="auto" w:fill="auto"/>
              <w:tabs>
                <w:tab w:val="left" w:pos="1138"/>
              </w:tabs>
              <w:bidi w:val="0"/>
              <w:spacing w:before="0" w:after="0" w:line="309" w:lineRule="exact"/>
              <w:ind w:left="0" w:right="0" w:firstLine="620"/>
              <w:jc w:val="left"/>
              <w:rPr>
                <w:sz w:val="19"/>
                <w:szCs w:val="19"/>
              </w:rPr>
            </w:pPr>
            <w:r>
              <w:rPr>
                <w:color w:val="000000"/>
                <w:spacing w:val="0"/>
                <w:w w:val="100"/>
                <w:position w:val="0"/>
                <w:sz w:val="19"/>
                <w:szCs w:val="19"/>
              </w:rPr>
              <w:t>（五）无到期未清偿的数额较大的债务；</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（六）最近3</w:t>
            </w:r>
            <w:r>
              <w:rPr>
                <w:color w:val="000000"/>
                <w:spacing w:val="0"/>
                <w:w w:val="100"/>
                <w:position w:val="0"/>
                <w:sz w:val="19"/>
                <w:szCs w:val="19"/>
              </w:rPr>
              <w:t>年无其他重大不良诚信记录。</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第十七条独立基金销售机构以合伙企业形式设立的，其合伙人应当具备以下条件：</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w:t>
            </w:r>
            <w:r>
              <w:rPr>
                <w:rFonts w:hint="eastAsia"/>
                <w:color w:val="000000"/>
                <w:spacing w:val="0"/>
                <w:w w:val="100"/>
                <w:position w:val="0"/>
                <w:sz w:val="19"/>
                <w:szCs w:val="19"/>
                <w:lang w:eastAsia="zh-CN"/>
              </w:rPr>
              <w:t>一</w:t>
            </w:r>
            <w:r>
              <w:rPr>
                <w:color w:val="000000"/>
                <w:spacing w:val="0"/>
                <w:w w:val="100"/>
                <w:position w:val="0"/>
                <w:sz w:val="19"/>
                <w:szCs w:val="19"/>
              </w:rPr>
              <w:t>）有从事证券、基金或者其他金融业10</w:t>
            </w:r>
            <w:r>
              <w:rPr>
                <w:color w:val="000000"/>
                <w:spacing w:val="0"/>
                <w:w w:val="100"/>
                <w:position w:val="0"/>
                <w:sz w:val="19"/>
                <w:szCs w:val="19"/>
              </w:rPr>
              <w:t>年以上或者证券、基金业务部门管理5</w:t>
            </w:r>
            <w:r>
              <w:rPr>
                <w:color w:val="000000"/>
                <w:spacing w:val="0"/>
                <w:w w:val="100"/>
                <w:position w:val="0"/>
                <w:sz w:val="19"/>
                <w:szCs w:val="19"/>
              </w:rPr>
              <w:t>年以上或者担任证券、基金行业高级管理人员3</w:t>
            </w:r>
            <w:r>
              <w:rPr>
                <w:color w:val="000000"/>
                <w:spacing w:val="0"/>
                <w:w w:val="100"/>
                <w:position w:val="0"/>
                <w:sz w:val="19"/>
                <w:szCs w:val="19"/>
              </w:rPr>
              <w:t>年以上的工作经历；</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（二）最近3</w:t>
            </w:r>
            <w:r>
              <w:rPr>
                <w:color w:val="000000"/>
                <w:spacing w:val="0"/>
                <w:w w:val="100"/>
                <w:position w:val="0"/>
                <w:sz w:val="19"/>
                <w:szCs w:val="19"/>
              </w:rPr>
              <w:t>年没有受到刑事处罚；</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（三）最近3</w:t>
            </w:r>
            <w:r>
              <w:rPr>
                <w:color w:val="000000"/>
                <w:spacing w:val="0"/>
                <w:w w:val="100"/>
                <w:position w:val="0"/>
                <w:sz w:val="19"/>
                <w:szCs w:val="19"/>
              </w:rPr>
              <w:t>年没有受到金融监管、工商、税务等行政管理部门的行政处罚；</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（四）在自律管理、商业银行等机构无不良记录；</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（五）无到期未清偿的数额较大的债务；</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r>
              <w:rPr>
                <w:color w:val="000000"/>
                <w:spacing w:val="0"/>
                <w:w w:val="100"/>
                <w:position w:val="0"/>
                <w:sz w:val="19"/>
                <w:szCs w:val="19"/>
              </w:rPr>
              <w:t>（六）最近3</w:t>
            </w:r>
            <w:r>
              <w:rPr>
                <w:color w:val="000000"/>
                <w:spacing w:val="0"/>
                <w:w w:val="100"/>
                <w:position w:val="0"/>
                <w:sz w:val="19"/>
                <w:szCs w:val="19"/>
              </w:rPr>
              <w:t>年无其他重大不良诚信记录。</w:t>
            </w: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p>
          <w:p>
            <w:pPr>
              <w:pStyle w:val="20"/>
              <w:keepNext w:val="0"/>
              <w:keepLines w:val="0"/>
              <w:widowControl w:val="0"/>
              <w:shd w:val="clear" w:color="auto" w:fill="auto"/>
              <w:tabs>
                <w:tab w:val="left" w:pos="1138"/>
              </w:tabs>
              <w:bidi w:val="0"/>
              <w:spacing w:before="0" w:after="0" w:line="309" w:lineRule="exact"/>
              <w:ind w:left="0" w:right="0" w:firstLine="620"/>
              <w:jc w:val="left"/>
              <w:rPr>
                <w:color w:val="000000"/>
                <w:spacing w:val="0"/>
                <w:w w:val="100"/>
                <w:position w:val="0"/>
                <w:sz w:val="19"/>
                <w:szCs w:val="19"/>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证监会</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37"/>
        <w:gridCol w:w="9922"/>
        <w:gridCol w:w="2021"/>
      </w:tblGrid>
      <w:tr>
        <w:tblPrEx>
          <w:tblCellMar>
            <w:top w:w="0" w:type="dxa"/>
            <w:left w:w="10" w:type="dxa"/>
            <w:bottom w:w="0" w:type="dxa"/>
            <w:right w:w="10" w:type="dxa"/>
          </w:tblCellMar>
        </w:tblPrEx>
        <w:trPr>
          <w:trHeight w:val="4805" w:hRule="exact"/>
          <w:jc w:val="center"/>
        </w:trPr>
        <w:tc>
          <w:tcPr>
            <w:tcW w:w="2237"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6" w:lineRule="exact"/>
              <w:ind w:left="0" w:right="0" w:firstLine="0"/>
              <w:jc w:val="both"/>
              <w:rPr>
                <w:sz w:val="19"/>
                <w:szCs w:val="19"/>
              </w:rPr>
            </w:pPr>
            <w:r>
              <w:rPr>
                <w:rFonts w:hint="eastAsia"/>
                <w:color w:val="000000"/>
                <w:spacing w:val="0"/>
                <w:w w:val="100"/>
                <w:position w:val="0"/>
                <w:sz w:val="19"/>
                <w:szCs w:val="19"/>
                <w:lang w:val="en-US" w:eastAsia="zh-CN"/>
              </w:rPr>
              <w:t>17、</w:t>
            </w:r>
            <w:r>
              <w:rPr>
                <w:color w:val="000000"/>
                <w:spacing w:val="0"/>
                <w:w w:val="100"/>
                <w:position w:val="0"/>
                <w:sz w:val="19"/>
                <w:szCs w:val="19"/>
              </w:rPr>
              <w:t>依法将违法失信行为作为证券公司、基金管理公司、期货公司的董事、监事和高级管理人员及分支机构负责人任职审批或备案的参考。</w:t>
            </w:r>
          </w:p>
        </w:tc>
        <w:tc>
          <w:tcPr>
            <w:tcW w:w="9922"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80" w:line="240" w:lineRule="auto"/>
              <w:ind w:left="0" w:right="0" w:firstLine="180"/>
              <w:jc w:val="left"/>
              <w:rPr>
                <w:sz w:val="19"/>
                <w:szCs w:val="19"/>
              </w:rPr>
            </w:pPr>
            <w:r>
              <w:rPr>
                <w:color w:val="000000"/>
                <w:spacing w:val="0"/>
                <w:w w:val="100"/>
                <w:position w:val="0"/>
                <w:sz w:val="19"/>
                <w:szCs w:val="19"/>
              </w:rPr>
              <w:t>《中华人民共和国证券法》</w:t>
            </w:r>
          </w:p>
          <w:p>
            <w:pPr>
              <w:pStyle w:val="20"/>
              <w:keepNext w:val="0"/>
              <w:keepLines w:val="0"/>
              <w:widowControl w:val="0"/>
              <w:shd w:val="clear" w:color="auto" w:fill="auto"/>
              <w:bidi w:val="0"/>
              <w:spacing w:before="0" w:after="0" w:line="322" w:lineRule="exact"/>
              <w:ind w:left="0" w:right="0" w:firstLine="0"/>
              <w:jc w:val="both"/>
              <w:rPr>
                <w:sz w:val="19"/>
                <w:szCs w:val="19"/>
              </w:rPr>
            </w:pPr>
            <w:r>
              <w:rPr>
                <w:color w:val="000000"/>
                <w:spacing w:val="0"/>
                <w:w w:val="100"/>
                <w:position w:val="0"/>
                <w:sz w:val="19"/>
                <w:szCs w:val="19"/>
              </w:rPr>
              <w:t>第一百</w:t>
            </w:r>
            <w:r>
              <w:rPr>
                <w:color w:val="000000"/>
                <w:spacing w:val="0"/>
                <w:w w:val="100"/>
                <w:position w:val="0"/>
                <w:sz w:val="19"/>
                <w:szCs w:val="19"/>
                <w:lang w:val="zh-CN" w:eastAsia="zh-CN" w:bidi="zh-CN"/>
              </w:rPr>
              <w:t>三十一</w:t>
            </w:r>
            <w:r>
              <w:rPr>
                <w:color w:val="000000"/>
                <w:spacing w:val="0"/>
                <w:w w:val="100"/>
                <w:position w:val="0"/>
                <w:sz w:val="19"/>
                <w:szCs w:val="19"/>
              </w:rPr>
              <w:t>条证券公司的董事、监事、髙级管理人员，应当正直诚实，品行良好，熟悉证券法律、行政法规，具有履行职责所需的经营管理能力，并在任职前取得国务院证券监督管理机构核准的任职</w:t>
            </w:r>
            <w:r>
              <w:rPr>
                <w:color w:val="000000"/>
                <w:spacing w:val="0"/>
                <w:w w:val="100"/>
                <w:position w:val="0"/>
                <w:sz w:val="19"/>
                <w:szCs w:val="19"/>
                <w:lang w:val="zh-CN" w:eastAsia="zh-CN" w:bidi="zh-CN"/>
              </w:rPr>
              <w:t>资格</w:t>
            </w:r>
            <w:r>
              <w:rPr>
                <w:color w:val="000000"/>
                <w:spacing w:val="0"/>
                <w:w w:val="100"/>
                <w:position w:val="0"/>
                <w:sz w:val="19"/>
                <w:szCs w:val="19"/>
              </w:rPr>
              <w:t>有《中华人民共和国公司法》第一百四十六条规定的情形或者下列情形之一的，不得担任证券公司的 董事、监事、高级管理人员：</w:t>
            </w:r>
          </w:p>
          <w:p>
            <w:pPr>
              <w:pStyle w:val="20"/>
              <w:keepNext w:val="0"/>
              <w:keepLines w:val="0"/>
              <w:widowControl w:val="0"/>
              <w:shd w:val="clear" w:color="auto" w:fill="auto"/>
              <w:bidi w:val="0"/>
              <w:spacing w:before="0" w:after="0" w:line="322" w:lineRule="exact"/>
              <w:ind w:right="0"/>
              <w:jc w:val="both"/>
              <w:rPr>
                <w:sz w:val="19"/>
                <w:szCs w:val="19"/>
              </w:rPr>
            </w:pPr>
            <w:r>
              <w:rPr>
                <w:color w:val="000000"/>
                <w:spacing w:val="0"/>
                <w:w w:val="100"/>
                <w:position w:val="0"/>
                <w:sz w:val="19"/>
                <w:szCs w:val="19"/>
              </w:rPr>
              <w:t>（</w:t>
            </w:r>
            <w:r>
              <w:rPr>
                <w:rFonts w:hint="eastAsia"/>
                <w:color w:val="000000"/>
                <w:spacing w:val="0"/>
                <w:w w:val="100"/>
                <w:position w:val="0"/>
                <w:sz w:val="19"/>
                <w:szCs w:val="19"/>
                <w:lang w:eastAsia="zh-CN"/>
              </w:rPr>
              <w:t>一</w:t>
            </w:r>
            <w:r>
              <w:rPr>
                <w:color w:val="000000"/>
                <w:spacing w:val="0"/>
                <w:w w:val="100"/>
                <w:position w:val="0"/>
                <w:sz w:val="19"/>
                <w:szCs w:val="19"/>
              </w:rPr>
              <w:t>）因违法行为或者违纪行为被解除职务的证券交易所、证券登记结算机构的负责人或者证券公司的董事、监事、高级管理人员，自被解除职务之日起未逾五年；</w:t>
            </w:r>
          </w:p>
          <w:p>
            <w:pPr>
              <w:pStyle w:val="20"/>
              <w:keepNext w:val="0"/>
              <w:keepLines w:val="0"/>
              <w:widowControl w:val="0"/>
              <w:shd w:val="clear" w:color="auto" w:fill="auto"/>
              <w:bidi w:val="0"/>
              <w:spacing w:before="0" w:after="0" w:line="322" w:lineRule="exact"/>
              <w:ind w:right="0"/>
              <w:jc w:val="both"/>
              <w:rPr>
                <w:sz w:val="19"/>
                <w:szCs w:val="19"/>
              </w:rPr>
            </w:pPr>
            <w:r>
              <w:rPr>
                <w:color w:val="000000"/>
                <w:spacing w:val="0"/>
                <w:w w:val="100"/>
                <w:position w:val="0"/>
                <w:sz w:val="19"/>
                <w:szCs w:val="19"/>
              </w:rPr>
              <w:t>（二）因违法行为或者违纪行为被撤销资格的律师、注册会计师或者投资咨询机构、财务顾问机构、 资信评级机构、资产评估机构、验证机构的专业人员，自被撤销资格之日起未逾五年。</w:t>
            </w:r>
          </w:p>
          <w:p>
            <w:pPr>
              <w:pStyle w:val="20"/>
              <w:keepNext w:val="0"/>
              <w:keepLines w:val="0"/>
              <w:widowControl w:val="0"/>
              <w:shd w:val="clear" w:color="auto" w:fill="auto"/>
              <w:bidi w:val="0"/>
              <w:spacing w:before="0" w:after="0" w:line="322" w:lineRule="exact"/>
              <w:ind w:left="500" w:right="0" w:hanging="300"/>
              <w:jc w:val="left"/>
              <w:rPr>
                <w:sz w:val="19"/>
                <w:szCs w:val="19"/>
              </w:rPr>
            </w:pPr>
            <w:r>
              <w:rPr>
                <w:color w:val="000000"/>
                <w:spacing w:val="0"/>
                <w:w w:val="100"/>
                <w:position w:val="0"/>
                <w:sz w:val="19"/>
                <w:szCs w:val="19"/>
              </w:rPr>
              <w:t>《证券公司董事、监事和高级管理人员任职资格监管办法》（证监会令第</w:t>
            </w:r>
            <w:r>
              <w:rPr>
                <w:b/>
                <w:bCs/>
                <w:color w:val="000000"/>
                <w:spacing w:val="0"/>
                <w:w w:val="100"/>
                <w:position w:val="0"/>
                <w:sz w:val="19"/>
                <w:szCs w:val="19"/>
              </w:rPr>
              <w:t>88</w:t>
            </w:r>
            <w:r>
              <w:rPr>
                <w:color w:val="000000"/>
                <w:spacing w:val="0"/>
                <w:w w:val="100"/>
                <w:position w:val="0"/>
                <w:sz w:val="19"/>
                <w:szCs w:val="19"/>
              </w:rPr>
              <w:t>号） 第八条取得证券公司董事、监事、高管人员和分支机构负责人任职资格，应当具备以下基本条件；</w:t>
            </w:r>
          </w:p>
          <w:p>
            <w:pPr>
              <w:pStyle w:val="20"/>
              <w:keepNext w:val="0"/>
              <w:keepLines w:val="0"/>
              <w:widowControl w:val="0"/>
              <w:shd w:val="clear" w:color="auto" w:fill="auto"/>
              <w:bidi w:val="0"/>
              <w:spacing w:before="0" w:after="0" w:line="322" w:lineRule="exact"/>
              <w:ind w:right="0"/>
              <w:jc w:val="both"/>
              <w:rPr>
                <w:sz w:val="19"/>
                <w:szCs w:val="19"/>
              </w:rPr>
            </w:pPr>
            <w:r>
              <w:rPr>
                <w:color w:val="000000"/>
                <w:spacing w:val="0"/>
                <w:w w:val="100"/>
                <w:position w:val="0"/>
                <w:sz w:val="19"/>
                <w:szCs w:val="19"/>
              </w:rPr>
              <w:t>（—）正宜诚实，品行良好；</w:t>
            </w:r>
          </w:p>
          <w:p>
            <w:pPr>
              <w:pStyle w:val="20"/>
              <w:keepNext w:val="0"/>
              <w:keepLines w:val="0"/>
              <w:widowControl w:val="0"/>
              <w:shd w:val="clear" w:color="auto" w:fill="auto"/>
              <w:bidi w:val="0"/>
              <w:spacing w:before="0" w:after="0" w:line="322" w:lineRule="exact"/>
              <w:ind w:right="0"/>
              <w:jc w:val="both"/>
              <w:rPr>
                <w:sz w:val="19"/>
                <w:szCs w:val="19"/>
              </w:rPr>
            </w:pPr>
            <w:r>
              <w:rPr>
                <w:color w:val="000000"/>
                <w:spacing w:val="0"/>
                <w:w w:val="100"/>
                <w:position w:val="0"/>
                <w:sz w:val="19"/>
                <w:szCs w:val="19"/>
              </w:rPr>
              <w:t>（二）熟悉证券法律、行政法规、规章以及其他规范性文件，具备履行职责所必需的经营管理能力。 《证券投资基金行业高级管理人员任职管理办法》（证监会令第</w:t>
            </w:r>
            <w:r>
              <w:rPr>
                <w:b/>
                <w:bCs/>
                <w:color w:val="000000"/>
                <w:spacing w:val="0"/>
                <w:w w:val="100"/>
                <w:position w:val="0"/>
                <w:sz w:val="19"/>
                <w:szCs w:val="19"/>
              </w:rPr>
              <w:t>23</w:t>
            </w:r>
            <w:r>
              <w:rPr>
                <w:color w:val="000000"/>
                <w:spacing w:val="0"/>
                <w:w w:val="100"/>
                <w:position w:val="0"/>
                <w:sz w:val="19"/>
                <w:szCs w:val="19"/>
              </w:rPr>
              <w:t>号）</w:t>
            </w:r>
          </w:p>
          <w:p>
            <w:pPr>
              <w:pStyle w:val="20"/>
              <w:keepNext w:val="0"/>
              <w:keepLines w:val="0"/>
              <w:widowControl w:val="0"/>
              <w:shd w:val="clear" w:color="auto" w:fill="auto"/>
              <w:bidi w:val="0"/>
              <w:spacing w:before="0" w:after="0" w:line="322" w:lineRule="exact"/>
              <w:ind w:left="0" w:right="0" w:firstLine="500"/>
              <w:jc w:val="both"/>
              <w:rPr>
                <w:sz w:val="19"/>
                <w:szCs w:val="19"/>
              </w:rPr>
            </w:pPr>
            <w:r>
              <w:rPr>
                <w:color w:val="000000"/>
                <w:spacing w:val="0"/>
                <w:w w:val="100"/>
                <w:position w:val="0"/>
                <w:sz w:val="19"/>
                <w:szCs w:val="19"/>
              </w:rPr>
              <w:t>第四条高级管理人员应当遵守法律、行政法规和中国证监会的规定，遵守公司章程和行业规范，恪守 诚信，审慎勤勉，忠实尽责，维护基金份额持有人的合法权益。</w:t>
            </w:r>
          </w:p>
        </w:tc>
        <w:tc>
          <w:tcPr>
            <w:tcBorders>
              <w:top w:val="single" w:color="auto" w:sz="4" w:space="0"/>
              <w:left w:val="single" w:color="auto" w:sz="4" w:space="0"/>
              <w:right w:val="single" w:color="auto" w:sz="4" w:space="0"/>
            </w:tcBorders>
            <w:shd w:val="clear" w:color="auto" w:fill="FFFFFF"/>
            <w:vAlign w:val="top"/>
          </w:tcPr>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rPr>
                <w:color w:val="000000"/>
                <w:spacing w:val="0"/>
                <w:w w:val="100"/>
                <w:position w:val="0"/>
                <w:sz w:val="19"/>
                <w:szCs w:val="19"/>
              </w:rPr>
            </w:pPr>
          </w:p>
          <w:p>
            <w:pPr>
              <w:widowControl w:val="0"/>
              <w:ind w:firstLine="570" w:firstLineChars="300"/>
              <w:rPr>
                <w:sz w:val="10"/>
                <w:szCs w:val="10"/>
              </w:rPr>
            </w:pPr>
            <w:r>
              <w:rPr>
                <w:color w:val="000000"/>
                <w:spacing w:val="0"/>
                <w:w w:val="100"/>
                <w:position w:val="0"/>
                <w:sz w:val="19"/>
                <w:szCs w:val="19"/>
              </w:rPr>
              <w:t>证监会</w:t>
            </w:r>
          </w:p>
        </w:tc>
      </w:tr>
      <w:tr>
        <w:tblPrEx>
          <w:tblCellMar>
            <w:top w:w="0" w:type="dxa"/>
            <w:left w:w="10" w:type="dxa"/>
            <w:bottom w:w="0" w:type="dxa"/>
            <w:right w:w="10" w:type="dxa"/>
          </w:tblCellMar>
        </w:tblPrEx>
        <w:trPr>
          <w:trHeight w:val="3797" w:hRule="exact"/>
          <w:jc w:val="center"/>
        </w:trPr>
        <w:tc>
          <w:tcPr>
            <w:tcW w:w="2237"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widowControl w:val="0"/>
              <w:shd w:val="clear" w:color="auto" w:fill="auto"/>
              <w:bidi w:val="0"/>
              <w:spacing w:before="0" w:after="0" w:line="317"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widowControl w:val="0"/>
              <w:shd w:val="clear" w:color="auto" w:fill="auto"/>
              <w:bidi w:val="0"/>
              <w:spacing w:before="0" w:after="0" w:line="317" w:lineRule="exact"/>
              <w:ind w:left="0" w:right="0" w:firstLine="0"/>
              <w:jc w:val="both"/>
              <w:rPr>
                <w:sz w:val="19"/>
                <w:szCs w:val="19"/>
              </w:rPr>
            </w:pPr>
            <w:r>
              <w:rPr>
                <w:rFonts w:ascii="Times New Roman" w:hAnsi="Times New Roman" w:eastAsia="Times New Roman" w:cs="Times New Roman"/>
                <w:color w:val="000000"/>
                <w:spacing w:val="0"/>
                <w:w w:val="100"/>
                <w:position w:val="0"/>
                <w:sz w:val="20"/>
                <w:szCs w:val="20"/>
              </w:rPr>
              <w:t>18</w:t>
            </w:r>
            <w:r>
              <w:rPr>
                <w:color w:val="000000"/>
                <w:spacing w:val="0"/>
                <w:w w:val="100"/>
                <w:position w:val="0"/>
                <w:sz w:val="19"/>
                <w:szCs w:val="19"/>
              </w:rPr>
              <w:t>.在办理相关海关业务时，对其进出口货物实施严密监管，加强单证审核、布控査验、后续稽査或统计监督核查。</w:t>
            </w:r>
          </w:p>
        </w:tc>
        <w:tc>
          <w:tcPr>
            <w:tcW w:w="9922" w:type="dxa"/>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7" w:lineRule="exact"/>
              <w:ind w:left="0" w:leftChars="0" w:right="0" w:firstLine="0" w:firstLineChars="0"/>
              <w:jc w:val="both"/>
              <w:rPr>
                <w:color w:val="000000"/>
                <w:spacing w:val="0"/>
                <w:w w:val="100"/>
                <w:position w:val="0"/>
                <w:sz w:val="19"/>
                <w:szCs w:val="19"/>
              </w:rPr>
            </w:pPr>
            <w:r>
              <w:rPr>
                <w:color w:val="000000"/>
                <w:spacing w:val="0"/>
                <w:w w:val="100"/>
                <w:position w:val="0"/>
                <w:sz w:val="19"/>
                <w:szCs w:val="19"/>
              </w:rPr>
              <w:t>《国务院关于促进市场公平竞争维护市场正常秩序的若干意见》（国发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w:t>
            </w:r>
            <w:r>
              <w:rPr>
                <w:color w:val="000000"/>
                <w:spacing w:val="0"/>
                <w:w w:val="100"/>
                <w:position w:val="0"/>
                <w:sz w:val="19"/>
                <w:szCs w:val="19"/>
              </w:rPr>
              <w:t xml:space="preserve"> 20</w:t>
            </w:r>
            <w:r>
              <w:rPr>
                <w:color w:val="000000"/>
                <w:spacing w:val="0"/>
                <w:w w:val="100"/>
                <w:position w:val="0"/>
                <w:sz w:val="19"/>
                <w:szCs w:val="19"/>
              </w:rPr>
              <w:t>号）</w:t>
            </w:r>
          </w:p>
          <w:p>
            <w:pPr>
              <w:pStyle w:val="20"/>
              <w:keepNext w:val="0"/>
              <w:keepLines w:val="0"/>
              <w:widowControl w:val="0"/>
              <w:shd w:val="clear" w:color="auto" w:fill="auto"/>
              <w:bidi w:val="0"/>
              <w:spacing w:before="0" w:after="0" w:line="317" w:lineRule="exact"/>
              <w:ind w:left="0" w:right="0" w:firstLine="620"/>
              <w:jc w:val="left"/>
              <w:rPr>
                <w:sz w:val="19"/>
                <w:szCs w:val="19"/>
              </w:rPr>
            </w:pPr>
            <w:r>
              <w:rPr>
                <w:color w:val="000000"/>
                <w:spacing w:val="0"/>
                <w:w w:val="100"/>
                <w:position w:val="0"/>
                <w:sz w:val="19"/>
                <w:szCs w:val="19"/>
              </w:rPr>
              <w:t>（十五）建立健全守信激励和失信惩戒机制。将市场主体的信用信息作为实施行政管理的重要参考。</w:t>
            </w:r>
          </w:p>
          <w:p>
            <w:pPr>
              <w:pStyle w:val="20"/>
              <w:keepNext w:val="0"/>
              <w:keepLines w:val="0"/>
              <w:widowControl w:val="0"/>
              <w:shd w:val="clear" w:color="auto" w:fill="auto"/>
              <w:bidi w:val="0"/>
              <w:spacing w:before="0" w:after="0" w:line="317" w:lineRule="exact"/>
              <w:ind w:left="0" w:right="0" w:firstLine="0"/>
              <w:jc w:val="both"/>
              <w:rPr>
                <w:sz w:val="19"/>
                <w:szCs w:val="19"/>
              </w:rPr>
            </w:pPr>
            <w:r>
              <w:rPr>
                <w:color w:val="000000"/>
                <w:spacing w:val="0"/>
                <w:w w:val="100"/>
                <w:position w:val="0"/>
                <w:sz w:val="19"/>
                <w:szCs w:val="19"/>
              </w:rPr>
              <w:t>根据市场主体信用状况实行分类分级、动态监管，建立健全经营异常名录制度，对违背市场竞争原则和侵 犯消费者、劳动者合法权益的市场主体建立</w:t>
            </w:r>
            <w:r>
              <w:rPr>
                <w:color w:val="000000"/>
                <w:spacing w:val="0"/>
                <w:w w:val="100"/>
                <w:position w:val="0"/>
                <w:sz w:val="19"/>
                <w:szCs w:val="19"/>
                <w:lang w:val="zh-CN" w:eastAsia="zh-CN" w:bidi="zh-CN"/>
              </w:rPr>
              <w:t>“黑</w:t>
            </w:r>
            <w:r>
              <w:rPr>
                <w:color w:val="000000"/>
                <w:spacing w:val="0"/>
                <w:w w:val="100"/>
                <w:position w:val="0"/>
                <w:sz w:val="19"/>
                <w:szCs w:val="19"/>
              </w:rPr>
              <w:t>名单”制度。对守信主体予以支持和激励，对失信主体在经 营、投融资、取得政府供应土地、进出口、出入境、注册新公司、工程招投标、政府采购、获得荣誉、安 全许可、生产许可、从业任职资格、资质审核等方面依法予以限制或禁止，对严重违法失信主体实行市场 禁入</w:t>
            </w:r>
            <w:r>
              <w:rPr>
                <w:color w:val="000000"/>
                <w:spacing w:val="0"/>
                <w:w w:val="100"/>
                <w:position w:val="0"/>
                <w:sz w:val="19"/>
                <w:szCs w:val="19"/>
                <w:lang w:val="zh-CN" w:eastAsia="zh-CN" w:bidi="zh-CN"/>
              </w:rPr>
              <w:t>制度。</w:t>
            </w:r>
          </w:p>
          <w:p>
            <w:pPr>
              <w:pStyle w:val="20"/>
              <w:keepNext w:val="0"/>
              <w:keepLines w:val="0"/>
              <w:widowControl w:val="0"/>
              <w:shd w:val="clear" w:color="auto" w:fill="auto"/>
              <w:bidi w:val="0"/>
              <w:spacing w:before="0" w:after="0" w:line="317" w:lineRule="exact"/>
              <w:ind w:left="0" w:right="0" w:firstLine="180"/>
              <w:jc w:val="left"/>
              <w:rPr>
                <w:color w:val="000000"/>
                <w:spacing w:val="0"/>
                <w:w w:val="100"/>
                <w:position w:val="0"/>
                <w:sz w:val="19"/>
                <w:szCs w:val="19"/>
              </w:rPr>
            </w:pPr>
            <w:r>
              <w:rPr>
                <w:color w:val="000000"/>
                <w:spacing w:val="0"/>
                <w:w w:val="100"/>
                <w:position w:val="0"/>
                <w:sz w:val="19"/>
                <w:szCs w:val="19"/>
              </w:rPr>
              <w:t>《社会信用体系建设规划纲要</w:t>
            </w:r>
            <w:r>
              <w:rPr>
                <w:color w:val="000000"/>
                <w:spacing w:val="0"/>
                <w:w w:val="100"/>
                <w:position w:val="0"/>
                <w:sz w:val="19"/>
                <w:szCs w:val="19"/>
                <w:lang w:val="en-US" w:eastAsia="en-US"/>
              </w:rPr>
              <w:t>（2014-2020</w:t>
            </w:r>
            <w:r>
              <w:rPr>
                <w:color w:val="000000"/>
                <w:spacing w:val="0"/>
                <w:w w:val="100"/>
                <w:position w:val="0"/>
                <w:sz w:val="19"/>
                <w:szCs w:val="19"/>
              </w:rPr>
              <w:t>年）》</w:t>
            </w:r>
          </w:p>
          <w:p>
            <w:pPr>
              <w:pStyle w:val="20"/>
              <w:keepNext w:val="0"/>
              <w:keepLines w:val="0"/>
              <w:widowControl w:val="0"/>
              <w:shd w:val="clear" w:color="auto" w:fill="auto"/>
              <w:bidi w:val="0"/>
              <w:spacing w:before="0" w:after="0" w:line="317" w:lineRule="exact"/>
              <w:ind w:left="0" w:right="0" w:firstLine="500"/>
              <w:jc w:val="both"/>
              <w:rPr>
                <w:sz w:val="19"/>
                <w:szCs w:val="19"/>
              </w:rPr>
            </w:pPr>
            <w:r>
              <w:rPr>
                <w:color w:val="000000"/>
                <w:spacing w:val="0"/>
                <w:w w:val="100"/>
                <w:position w:val="0"/>
                <w:sz w:val="19"/>
                <w:szCs w:val="19"/>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海关总署</w:t>
            </w:r>
          </w:p>
        </w:tc>
      </w:tr>
    </w:tbl>
    <w:p>
      <w:pPr>
        <w:widowControl w:val="0"/>
        <w:spacing w:line="1" w:lineRule="exact"/>
        <w:sectPr>
          <w:footnotePr>
            <w:numFmt w:val="decimal"/>
          </w:footnotePr>
          <w:pgSz w:w="16840" w:h="11900" w:orient="landscape"/>
          <w:pgMar w:top="1705" w:right="1296" w:bottom="1567" w:left="1321" w:header="1277" w:footer="3" w:gutter="0"/>
          <w:pgNumType w:fmt="decimal" w:start="1"/>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2246"/>
        <w:gridCol w:w="9926"/>
        <w:gridCol w:w="2040"/>
      </w:tblGrid>
      <w:tr>
        <w:tblPrEx>
          <w:tblCellMar>
            <w:top w:w="0" w:type="dxa"/>
            <w:left w:w="10" w:type="dxa"/>
            <w:bottom w:w="0" w:type="dxa"/>
            <w:right w:w="10" w:type="dxa"/>
          </w:tblCellMar>
        </w:tblPrEx>
        <w:trPr>
          <w:trHeight w:val="6346"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18" w:lineRule="exact"/>
              <w:ind w:left="0" w:right="0" w:firstLine="0"/>
              <w:jc w:val="both"/>
              <w:rPr>
                <w:sz w:val="19"/>
                <w:szCs w:val="19"/>
              </w:rPr>
            </w:pPr>
            <w:r>
              <w:rPr>
                <w:rFonts w:hint="eastAsia"/>
                <w:color w:val="000000"/>
                <w:spacing w:val="0"/>
                <w:w w:val="100"/>
                <w:position w:val="0"/>
                <w:sz w:val="19"/>
                <w:szCs w:val="19"/>
                <w:lang w:val="en-US" w:eastAsia="zh-CN"/>
              </w:rPr>
              <w:t>19、</w:t>
            </w:r>
            <w:r>
              <w:rPr>
                <w:color w:val="000000"/>
                <w:spacing w:val="0"/>
                <w:w w:val="100"/>
                <w:position w:val="0"/>
                <w:sz w:val="19"/>
                <w:szCs w:val="19"/>
              </w:rPr>
              <w:t>对申请适用海关认证企业管理的，依法不予通过认证，对巳经成为认证企业的，按照规定下调企业信用等级</w:t>
            </w:r>
            <w:r>
              <w:rPr>
                <w:color w:val="000000"/>
                <w:spacing w:val="0"/>
                <w:w w:val="100"/>
                <w:position w:val="0"/>
                <w:sz w:val="19"/>
                <w:szCs w:val="19"/>
                <w:lang w:val="en-US" w:eastAsia="en-US" w:bidi="en-US"/>
              </w:rPr>
              <w:t>.</w:t>
            </w:r>
          </w:p>
        </w:tc>
        <w:tc>
          <w:tcPr>
            <w:tcW w:w="992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《海关认证企业标准》（海关总署公告2014</w:t>
            </w:r>
            <w:r>
              <w:rPr>
                <w:color w:val="000000"/>
                <w:spacing w:val="0"/>
                <w:w w:val="100"/>
                <w:position w:val="0"/>
                <w:sz w:val="19"/>
                <w:szCs w:val="19"/>
              </w:rPr>
              <w:t>年第82</w:t>
            </w:r>
            <w:r>
              <w:rPr>
                <w:color w:val="000000"/>
                <w:spacing w:val="0"/>
                <w:w w:val="100"/>
                <w:position w:val="0"/>
                <w:sz w:val="19"/>
                <w:szCs w:val="19"/>
              </w:rPr>
              <w:t>号）</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（九）未有不良外部信用高级认证第23</w:t>
            </w:r>
            <w:r>
              <w:rPr>
                <w:color w:val="000000"/>
                <w:spacing w:val="0"/>
                <w:w w:val="100"/>
                <w:position w:val="0"/>
                <w:sz w:val="19"/>
                <w:szCs w:val="19"/>
              </w:rPr>
              <w:t>项、一般认证第20</w:t>
            </w:r>
            <w:r>
              <w:rPr>
                <w:color w:val="000000"/>
                <w:spacing w:val="0"/>
                <w:w w:val="100"/>
                <w:position w:val="0"/>
                <w:sz w:val="19"/>
                <w:szCs w:val="19"/>
              </w:rPr>
              <w:t>项外部信用企业或者其企业法定代表人（负 责人）、负责关务的高级管理人员、财务负责人连续1</w:t>
            </w:r>
            <w:r>
              <w:rPr>
                <w:color w:val="000000"/>
                <w:spacing w:val="0"/>
                <w:w w:val="100"/>
                <w:position w:val="0"/>
                <w:sz w:val="19"/>
                <w:szCs w:val="19"/>
              </w:rPr>
              <w:t>年在工商、商务、税务、银行、外汇、检验检疫、 公安、检察院、法院等部门未被列入经营异常名录、失信企业或者人员名单、黑名单企业、人员。</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《中华人民共和国海关企业信用管理暂行办法》（海关总署令第225</w:t>
            </w:r>
            <w:r>
              <w:rPr>
                <w:color w:val="000000"/>
                <w:spacing w:val="0"/>
                <w:w w:val="100"/>
                <w:position w:val="0"/>
                <w:sz w:val="19"/>
                <w:szCs w:val="19"/>
              </w:rPr>
              <w:t>号）</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第十条企业有下列情形之一的，海关认定为失信企业：</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lang w:val="en-US" w:eastAsia="en-US"/>
              </w:rPr>
              <w:t>（</w:t>
            </w:r>
            <w:r>
              <w:rPr>
                <w:rFonts w:hint="eastAsia"/>
                <w:color w:val="000000"/>
                <w:spacing w:val="0"/>
                <w:w w:val="100"/>
                <w:position w:val="0"/>
                <w:sz w:val="19"/>
                <w:szCs w:val="19"/>
                <w:lang w:val="en-US" w:eastAsia="zh-CN"/>
              </w:rPr>
              <w:t>一</w:t>
            </w:r>
            <w:r>
              <w:rPr>
                <w:color w:val="000000"/>
                <w:spacing w:val="0"/>
                <w:w w:val="100"/>
                <w:position w:val="0"/>
                <w:sz w:val="19"/>
                <w:szCs w:val="19"/>
                <w:lang w:val="en-US" w:eastAsia="en-US"/>
              </w:rPr>
              <w:t>）</w:t>
            </w:r>
            <w:r>
              <w:rPr>
                <w:color w:val="000000"/>
                <w:spacing w:val="0"/>
                <w:w w:val="100"/>
                <w:position w:val="0"/>
                <w:sz w:val="19"/>
                <w:szCs w:val="19"/>
              </w:rPr>
              <w:t>有走私犯罪或者走私行为的：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lang w:val="en-US" w:eastAsia="en-US"/>
              </w:rPr>
              <w:t>（</w:t>
            </w:r>
            <w:r>
              <w:rPr>
                <w:rFonts w:hint="eastAsia"/>
                <w:color w:val="000000"/>
                <w:spacing w:val="0"/>
                <w:w w:val="100"/>
                <w:position w:val="0"/>
                <w:sz w:val="19"/>
                <w:szCs w:val="19"/>
                <w:lang w:val="en-US" w:eastAsia="zh-CN"/>
              </w:rPr>
              <w:t>二</w:t>
            </w:r>
            <w:r>
              <w:rPr>
                <w:color w:val="000000"/>
                <w:spacing w:val="0"/>
                <w:w w:val="100"/>
                <w:position w:val="0"/>
                <w:sz w:val="19"/>
                <w:szCs w:val="19"/>
                <w:lang w:val="en-US" w:eastAsia="en-US"/>
              </w:rPr>
              <w:t>）</w:t>
            </w:r>
            <w:r>
              <w:rPr>
                <w:color w:val="000000"/>
                <w:spacing w:val="0"/>
                <w:w w:val="100"/>
                <w:position w:val="0"/>
                <w:sz w:val="19"/>
                <w:szCs w:val="19"/>
              </w:rPr>
              <w:t>非报关企业1</w:t>
            </w:r>
            <w:r>
              <w:rPr>
                <w:color w:val="000000"/>
                <w:spacing w:val="0"/>
                <w:w w:val="100"/>
                <w:position w:val="0"/>
                <w:sz w:val="19"/>
                <w:szCs w:val="19"/>
              </w:rPr>
              <w:t>年内违反海关监管规定行为次数超过上年度报关单、进出境备案清单等相关单证 总票数千分之一且被海关行政处罚金额超过10</w:t>
            </w:r>
            <w:r>
              <w:rPr>
                <w:color w:val="000000"/>
                <w:spacing w:val="0"/>
                <w:w w:val="100"/>
                <w:position w:val="0"/>
                <w:sz w:val="19"/>
                <w:szCs w:val="19"/>
              </w:rPr>
              <w:t>万元的违规行为2</w:t>
            </w:r>
            <w:r>
              <w:rPr>
                <w:color w:val="000000"/>
                <w:spacing w:val="0"/>
                <w:w w:val="100"/>
                <w:position w:val="0"/>
                <w:sz w:val="19"/>
                <w:szCs w:val="19"/>
              </w:rPr>
              <w:t>次以上的，或者被海关行政处罚金额累计超过100</w:t>
            </w:r>
            <w:r>
              <w:rPr>
                <w:color w:val="000000"/>
                <w:spacing w:val="0"/>
                <w:w w:val="100"/>
                <w:position w:val="0"/>
                <w:sz w:val="19"/>
                <w:szCs w:val="19"/>
              </w:rPr>
              <w:t>万元的: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报关企业1</w:t>
            </w:r>
            <w:r>
              <w:rPr>
                <w:color w:val="000000"/>
                <w:spacing w:val="0"/>
                <w:w w:val="100"/>
                <w:position w:val="0"/>
                <w:sz w:val="19"/>
                <w:szCs w:val="19"/>
              </w:rPr>
              <w:t>年内违反海关监管规定行为次数超过上年度报关单、进出境备案清单总票数万分之五的，或者被海关行政处罚金额累计超过10</w:t>
            </w:r>
            <w:r>
              <w:rPr>
                <w:color w:val="000000"/>
                <w:spacing w:val="0"/>
                <w:w w:val="100"/>
                <w:position w:val="0"/>
                <w:sz w:val="19"/>
                <w:szCs w:val="19"/>
              </w:rPr>
              <w:t>万元的；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（三）拖欠应缴税款、应缴罚没款项的；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（四）上一季度报关差错率高于同期全国平均报关差错率1</w:t>
            </w:r>
            <w:r>
              <w:rPr>
                <w:color w:val="000000"/>
                <w:spacing w:val="0"/>
                <w:w w:val="100"/>
                <w:position w:val="0"/>
                <w:sz w:val="19"/>
                <w:szCs w:val="19"/>
              </w:rPr>
              <w:t>倍以上的；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（五）经过实地査看，确认企业登记的信息失实且无法与企业取得联系的；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（六）被海关依法暂停从事报关业务的；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（七）涉嫌走私、违反海关监管规定拒不配合海关进行调査的；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（八）假借海关或者其他企业名义获取不当利益的；</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（九）弄虚作假、伪造企业信用信息的；</w:t>
            </w:r>
          </w:p>
          <w:p>
            <w:pPr>
              <w:pStyle w:val="20"/>
              <w:keepNext w:val="0"/>
              <w:keepLines w:val="0"/>
              <w:widowControl w:val="0"/>
              <w:shd w:val="clear" w:color="auto" w:fill="auto"/>
              <w:bidi w:val="0"/>
              <w:spacing w:before="0" w:after="0" w:line="315" w:lineRule="exact"/>
              <w:ind w:left="0" w:right="0" w:firstLine="180"/>
              <w:jc w:val="both"/>
              <w:rPr>
                <w:sz w:val="19"/>
                <w:szCs w:val="19"/>
              </w:rPr>
            </w:pPr>
            <w:r>
              <w:rPr>
                <w:color w:val="000000"/>
                <w:spacing w:val="0"/>
                <w:w w:val="100"/>
                <w:position w:val="0"/>
                <w:sz w:val="19"/>
                <w:szCs w:val="19"/>
              </w:rPr>
              <w:t>（十）其他海关认定为失信企业的情形。</w:t>
            </w:r>
          </w:p>
        </w:tc>
        <w:tc>
          <w:tcPr>
            <w:tcW w:w="2040"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海关总署</w:t>
            </w:r>
          </w:p>
        </w:tc>
      </w:tr>
      <w:tr>
        <w:tblPrEx>
          <w:tblCellMar>
            <w:top w:w="0" w:type="dxa"/>
            <w:left w:w="10" w:type="dxa"/>
            <w:bottom w:w="0" w:type="dxa"/>
            <w:right w:w="10" w:type="dxa"/>
          </w:tblCellMar>
        </w:tblPrEx>
        <w:trPr>
          <w:trHeight w:val="1819"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0"/>
              </w:numPr>
              <w:shd w:val="clear" w:color="auto" w:fill="auto"/>
              <w:tabs>
                <w:tab w:val="left" w:pos="278"/>
              </w:tabs>
              <w:bidi w:val="0"/>
              <w:spacing w:before="0" w:after="0" w:line="322" w:lineRule="exact"/>
              <w:ind w:leftChars="0" w:right="0" w:rightChars="0"/>
              <w:jc w:val="both"/>
              <w:rPr>
                <w:rFonts w:hint="eastAsia"/>
                <w:color w:val="000000"/>
                <w:spacing w:val="0"/>
                <w:w w:val="100"/>
                <w:position w:val="0"/>
                <w:sz w:val="19"/>
                <w:szCs w:val="19"/>
                <w:lang w:val="en-US" w:eastAsia="zh-CN"/>
              </w:rPr>
            </w:pPr>
          </w:p>
          <w:p>
            <w:pPr>
              <w:pStyle w:val="20"/>
              <w:keepNext w:val="0"/>
              <w:keepLines w:val="0"/>
              <w:widowControl w:val="0"/>
              <w:numPr>
                <w:ilvl w:val="0"/>
                <w:numId w:val="0"/>
              </w:numPr>
              <w:shd w:val="clear" w:color="auto" w:fill="auto"/>
              <w:tabs>
                <w:tab w:val="left" w:pos="278"/>
              </w:tabs>
              <w:bidi w:val="0"/>
              <w:spacing w:before="0" w:after="0" w:line="322" w:lineRule="exact"/>
              <w:ind w:leftChars="0" w:right="0" w:rightChars="0"/>
              <w:jc w:val="both"/>
              <w:rPr>
                <w:sz w:val="19"/>
                <w:szCs w:val="19"/>
              </w:rPr>
            </w:pPr>
            <w:r>
              <w:rPr>
                <w:rFonts w:hint="eastAsia"/>
                <w:color w:val="000000"/>
                <w:spacing w:val="0"/>
                <w:w w:val="100"/>
                <w:position w:val="0"/>
                <w:sz w:val="19"/>
                <w:szCs w:val="19"/>
                <w:lang w:val="en-US" w:eastAsia="zh-CN"/>
              </w:rPr>
              <w:t>20、</w:t>
            </w:r>
            <w:r>
              <w:rPr>
                <w:color w:val="000000"/>
                <w:spacing w:val="0"/>
                <w:w w:val="100"/>
                <w:position w:val="0"/>
                <w:sz w:val="19"/>
                <w:szCs w:val="19"/>
              </w:rPr>
              <w:t>将失信主体列入税收管理重点监控对象，强化税收管理，提髙监督检査频次。</w:t>
            </w:r>
          </w:p>
          <w:p>
            <w:pPr>
              <w:pStyle w:val="20"/>
              <w:keepNext w:val="0"/>
              <w:keepLines w:val="0"/>
              <w:widowControl w:val="0"/>
              <w:numPr>
                <w:ilvl w:val="0"/>
                <w:numId w:val="0"/>
              </w:numPr>
              <w:shd w:val="clear" w:color="auto" w:fill="auto"/>
              <w:tabs>
                <w:tab w:val="left" w:pos="278"/>
              </w:tabs>
              <w:bidi w:val="0"/>
              <w:spacing w:before="0" w:after="0" w:line="331" w:lineRule="exact"/>
              <w:ind w:leftChars="0" w:right="0" w:rightChars="0"/>
              <w:jc w:val="both"/>
              <w:rPr>
                <w:sz w:val="19"/>
                <w:szCs w:val="19"/>
              </w:rPr>
            </w:pPr>
          </w:p>
        </w:tc>
        <w:tc>
          <w:tcPr>
            <w:tcW w:w="9926"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《国务院关于印发社会信用体系建设规划纲要</w:t>
            </w:r>
            <w:r>
              <w:rPr>
                <w:color w:val="000000"/>
                <w:spacing w:val="0"/>
                <w:w w:val="100"/>
                <w:position w:val="0"/>
                <w:sz w:val="19"/>
                <w:szCs w:val="19"/>
                <w:lang w:val="en-US" w:eastAsia="en-US"/>
              </w:rPr>
              <w:t>（2014—2020</w:t>
            </w:r>
            <w:r>
              <w:rPr>
                <w:color w:val="000000"/>
                <w:spacing w:val="0"/>
                <w:w w:val="100"/>
                <w:position w:val="0"/>
                <w:sz w:val="19"/>
                <w:szCs w:val="19"/>
              </w:rPr>
              <w:t>年）的通知》（国发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w:t>
            </w:r>
            <w:r>
              <w:rPr>
                <w:color w:val="000000"/>
                <w:spacing w:val="0"/>
                <w:w w:val="100"/>
                <w:position w:val="0"/>
                <w:sz w:val="19"/>
                <w:szCs w:val="19"/>
              </w:rPr>
              <w:t>21</w:t>
            </w:r>
            <w:r>
              <w:rPr>
                <w:color w:val="000000"/>
                <w:spacing w:val="0"/>
                <w:w w:val="100"/>
                <w:position w:val="0"/>
                <w:sz w:val="19"/>
                <w:szCs w:val="19"/>
              </w:rPr>
              <w:t>号）</w:t>
            </w:r>
          </w:p>
          <w:p>
            <w:pPr>
              <w:pStyle w:val="20"/>
              <w:keepNext w:val="0"/>
              <w:keepLines w:val="0"/>
              <w:widowControl w:val="0"/>
              <w:shd w:val="clear" w:color="auto" w:fill="auto"/>
              <w:bidi w:val="0"/>
              <w:spacing w:before="0" w:after="0" w:line="315" w:lineRule="exact"/>
              <w:ind w:left="0" w:right="0" w:firstLine="180"/>
              <w:jc w:val="both"/>
              <w:rPr>
                <w:color w:val="000000"/>
                <w:spacing w:val="0"/>
                <w:w w:val="100"/>
                <w:position w:val="0"/>
                <w:sz w:val="19"/>
                <w:szCs w:val="19"/>
              </w:rPr>
            </w:pPr>
            <w:r>
              <w:rPr>
                <w:color w:val="000000"/>
                <w:spacing w:val="0"/>
                <w:w w:val="100"/>
                <w:position w:val="0"/>
                <w:sz w:val="19"/>
                <w:szCs w:val="19"/>
              </w:rPr>
              <w:t>加强对失信主体的约束和惩戒。强化行政监管性约束和惩戒。在现有行政处罚措施的基础上，健全失 信惩戒制度，建立各行业黑名单制度和市场退出</w:t>
            </w:r>
            <w:r>
              <w:rPr>
                <w:color w:val="000000"/>
                <w:spacing w:val="0"/>
                <w:w w:val="100"/>
                <w:position w:val="0"/>
                <w:sz w:val="19"/>
                <w:szCs w:val="19"/>
                <w:lang w:val="zh-CN" w:eastAsia="zh-CN"/>
              </w:rPr>
              <w:t>机制。</w:t>
            </w:r>
            <w:r>
              <w:rPr>
                <w:color w:val="000000"/>
                <w:spacing w:val="0"/>
                <w:w w:val="100"/>
                <w:position w:val="0"/>
                <w:sz w:val="19"/>
                <w:szCs w:val="19"/>
              </w:rPr>
              <w:t>推动各级人民政府在市场监管和公共服务的市场准 入、资质认定、行政审批、政策扶持等方面实施信用分类监管，结合监管对象的失信并对其享受税收优惠 从严审核。</w:t>
            </w:r>
          </w:p>
          <w:p>
            <w:pPr>
              <w:pStyle w:val="20"/>
              <w:keepNext w:val="0"/>
              <w:keepLines w:val="0"/>
              <w:widowControl w:val="0"/>
              <w:shd w:val="clear" w:color="auto" w:fill="auto"/>
              <w:bidi w:val="0"/>
              <w:spacing w:before="0" w:after="0" w:line="312" w:lineRule="exact"/>
              <w:ind w:left="0" w:right="0" w:firstLine="180"/>
              <w:jc w:val="both"/>
              <w:rPr>
                <w:sz w:val="19"/>
                <w:szCs w:val="19"/>
              </w:rPr>
            </w:pP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税务总局</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32"/>
        <w:gridCol w:w="9922"/>
        <w:gridCol w:w="2030"/>
      </w:tblGrid>
      <w:tr>
        <w:tblPrEx>
          <w:tblCellMar>
            <w:top w:w="0" w:type="dxa"/>
            <w:left w:w="10" w:type="dxa"/>
            <w:bottom w:w="0" w:type="dxa"/>
            <w:right w:w="10" w:type="dxa"/>
          </w:tblCellMar>
        </w:tblPrEx>
        <w:trPr>
          <w:trHeight w:val="1128"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100" w:after="0" w:line="240" w:lineRule="auto"/>
              <w:ind w:left="0" w:right="0" w:firstLine="0"/>
              <w:jc w:val="both"/>
              <w:rPr>
                <w:sz w:val="19"/>
                <w:szCs w:val="19"/>
              </w:rPr>
            </w:pPr>
            <w:r>
              <w:rPr>
                <w:rFonts w:hint="eastAsia"/>
                <w:color w:val="000000"/>
                <w:spacing w:val="0"/>
                <w:w w:val="100"/>
                <w:position w:val="0"/>
                <w:sz w:val="19"/>
                <w:szCs w:val="19"/>
                <w:lang w:val="en-US" w:eastAsia="zh-CN"/>
              </w:rPr>
              <w:t>21、</w:t>
            </w:r>
            <w:r>
              <w:rPr>
                <w:color w:val="000000"/>
                <w:spacing w:val="0"/>
                <w:w w:val="100"/>
                <w:position w:val="0"/>
                <w:sz w:val="19"/>
                <w:szCs w:val="19"/>
              </w:rPr>
              <w:t>将失信主体的失信</w:t>
            </w:r>
            <w:r>
              <w:rPr>
                <w:rFonts w:hint="eastAsia"/>
                <w:color w:val="000000"/>
                <w:spacing w:val="0"/>
                <w:w w:val="100"/>
                <w:position w:val="0"/>
                <w:sz w:val="19"/>
                <w:szCs w:val="19"/>
                <w:lang w:eastAsia="zh-CN"/>
              </w:rPr>
              <w:t>状况作为纳税信用评价的重要外部参考。</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31" w:lineRule="exact"/>
              <w:ind w:left="0" w:leftChars="0" w:right="0" w:firstLine="190" w:firstLineChars="100"/>
              <w:jc w:val="both"/>
              <w:rPr>
                <w:color w:val="000000"/>
                <w:spacing w:val="0"/>
                <w:w w:val="100"/>
                <w:position w:val="0"/>
                <w:sz w:val="19"/>
                <w:szCs w:val="19"/>
              </w:rPr>
            </w:pPr>
            <w:r>
              <w:rPr>
                <w:color w:val="000000"/>
                <w:spacing w:val="0"/>
                <w:w w:val="100"/>
                <w:position w:val="0"/>
                <w:sz w:val="19"/>
                <w:szCs w:val="19"/>
              </w:rPr>
              <w:t>《国务院关于建立完善守信联合激励和失信联合惩戒制度加快推进社会诚信建设的指导意见》（国发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w:t>
            </w:r>
            <w:r>
              <w:rPr>
                <w:color w:val="000000"/>
                <w:spacing w:val="0"/>
                <w:w w:val="100"/>
                <w:position w:val="0"/>
                <w:sz w:val="19"/>
                <w:szCs w:val="19"/>
              </w:rPr>
              <w:t>33</w:t>
            </w:r>
            <w:r>
              <w:rPr>
                <w:color w:val="000000"/>
                <w:spacing w:val="0"/>
                <w:w w:val="100"/>
                <w:position w:val="0"/>
                <w:sz w:val="19"/>
                <w:szCs w:val="19"/>
              </w:rPr>
              <w:t>号）</w:t>
            </w:r>
          </w:p>
          <w:p>
            <w:pPr>
              <w:pStyle w:val="20"/>
              <w:keepNext w:val="0"/>
              <w:keepLines w:val="0"/>
              <w:widowControl w:val="0"/>
              <w:shd w:val="clear" w:color="auto" w:fill="auto"/>
              <w:bidi w:val="0"/>
              <w:spacing w:before="0" w:after="0" w:line="331" w:lineRule="exact"/>
              <w:ind w:left="0" w:leftChars="0" w:right="0" w:firstLine="190" w:firstLineChars="100"/>
              <w:jc w:val="both"/>
              <w:rPr>
                <w:sz w:val="19"/>
                <w:szCs w:val="19"/>
              </w:rPr>
            </w:pPr>
            <w:r>
              <w:rPr>
                <w:color w:val="000000"/>
                <w:spacing w:val="0"/>
                <w:w w:val="100"/>
                <w:position w:val="0"/>
                <w:sz w:val="19"/>
                <w:szCs w:val="19"/>
              </w:rPr>
              <w:t>（十）依法依规加强对失信行为的行政性约束和惩戒。对严重失信主体，各地区、各有关部门应将其列 为重点监管对象，依法依规采取行政性约束和惩戒措施。</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8"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9"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9"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9"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9" w:lineRule="exact"/>
              <w:ind w:left="0" w:right="0" w:firstLine="0"/>
              <w:jc w:val="both"/>
              <w:rPr>
                <w:sz w:val="19"/>
                <w:szCs w:val="19"/>
              </w:rPr>
            </w:pPr>
            <w:r>
              <w:rPr>
                <w:color w:val="000000"/>
                <w:spacing w:val="0"/>
                <w:w w:val="100"/>
                <w:position w:val="0"/>
                <w:sz w:val="19"/>
                <w:szCs w:val="19"/>
              </w:rPr>
              <w:t>22</w:t>
            </w:r>
            <w:r>
              <w:rPr>
                <w:color w:val="000000"/>
                <w:spacing w:val="0"/>
                <w:w w:val="100"/>
                <w:position w:val="0"/>
                <w:sz w:val="19"/>
                <w:szCs w:val="19"/>
              </w:rPr>
              <w:t>.依法限制失信被执行人新建、扩建高档装 修房屋，购买非经营必须车辆等非生活和工作必需的</w:t>
            </w:r>
            <w:r>
              <w:rPr>
                <w:rFonts w:hint="eastAsia"/>
                <w:color w:val="000000"/>
                <w:spacing w:val="0"/>
                <w:w w:val="100"/>
                <w:position w:val="0"/>
                <w:sz w:val="19"/>
                <w:szCs w:val="19"/>
                <w:lang w:eastAsia="zh-CN"/>
              </w:rPr>
              <w:t>消费</w:t>
            </w:r>
            <w:r>
              <w:rPr>
                <w:color w:val="000000"/>
                <w:spacing w:val="0"/>
                <w:w w:val="100"/>
                <w:position w:val="0"/>
                <w:sz w:val="19"/>
                <w:szCs w:val="19"/>
              </w:rPr>
              <w:t>行为。</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9" w:lineRule="exact"/>
              <w:ind w:left="0" w:right="0" w:firstLine="200"/>
              <w:jc w:val="both"/>
              <w:rPr>
                <w:sz w:val="19"/>
                <w:szCs w:val="19"/>
              </w:rPr>
            </w:pPr>
            <w:r>
              <w:rPr>
                <w:color w:val="000000"/>
                <w:spacing w:val="0"/>
                <w:w w:val="100"/>
                <w:position w:val="0"/>
                <w:sz w:val="19"/>
                <w:szCs w:val="19"/>
              </w:rPr>
              <w:t>《中共中央办公厅国务院办公厅印发</w:t>
            </w:r>
            <w:r>
              <w:rPr>
                <w:color w:val="000000"/>
                <w:spacing w:val="0"/>
                <w:w w:val="100"/>
                <w:position w:val="0"/>
                <w:sz w:val="19"/>
                <w:szCs w:val="19"/>
                <w:lang w:val="en-US" w:eastAsia="en-US" w:bidi="en-US"/>
              </w:rPr>
              <w:t>v</w:t>
            </w:r>
            <w:r>
              <w:rPr>
                <w:color w:val="000000"/>
                <w:spacing w:val="0"/>
                <w:w w:val="100"/>
                <w:position w:val="0"/>
                <w:sz w:val="19"/>
                <w:szCs w:val="19"/>
              </w:rPr>
              <w:t>关于加快推进失信被执行人信用监督、警示和惩戒机制建设的意</w:t>
            </w:r>
            <w:r>
              <w:rPr>
                <w:color w:val="000000"/>
                <w:spacing w:val="0"/>
                <w:w w:val="100"/>
                <w:position w:val="0"/>
                <w:sz w:val="19"/>
                <w:szCs w:val="19"/>
                <w:lang w:val="zh-CN" w:eastAsia="zh-CN" w:bidi="zh-CN"/>
              </w:rPr>
              <w:t>见〉</w:t>
            </w:r>
            <w:r>
              <w:rPr>
                <w:color w:val="000000"/>
                <w:spacing w:val="0"/>
                <w:w w:val="100"/>
                <w:position w:val="0"/>
                <w:sz w:val="19"/>
                <w:szCs w:val="19"/>
              </w:rPr>
              <w:t>的通知》</w:t>
            </w:r>
          </w:p>
          <w:p>
            <w:pPr>
              <w:pStyle w:val="20"/>
              <w:keepNext w:val="0"/>
              <w:keepLines w:val="0"/>
              <w:widowControl w:val="0"/>
              <w:shd w:val="clear" w:color="auto" w:fill="auto"/>
              <w:bidi w:val="0"/>
              <w:spacing w:before="0" w:after="0" w:line="319" w:lineRule="exact"/>
              <w:ind w:right="0"/>
              <w:jc w:val="both"/>
              <w:rPr>
                <w:sz w:val="19"/>
                <w:szCs w:val="19"/>
              </w:rPr>
            </w:pPr>
            <w:r>
              <w:rPr>
                <w:color w:val="000000"/>
                <w:spacing w:val="0"/>
                <w:w w:val="100"/>
                <w:position w:val="0"/>
                <w:sz w:val="19"/>
                <w:szCs w:val="19"/>
              </w:rPr>
              <w:t>（七）限制高消费及有关消费</w:t>
            </w:r>
          </w:p>
          <w:p>
            <w:pPr>
              <w:pStyle w:val="20"/>
              <w:keepNext w:val="0"/>
              <w:keepLines w:val="0"/>
              <w:widowControl w:val="0"/>
              <w:shd w:val="clear" w:color="auto" w:fill="auto"/>
              <w:bidi w:val="0"/>
              <w:spacing w:before="0" w:after="0" w:line="319" w:lineRule="exact"/>
              <w:ind w:left="0" w:right="0" w:firstLine="500"/>
              <w:jc w:val="both"/>
              <w:rPr>
                <w:sz w:val="19"/>
                <w:szCs w:val="19"/>
              </w:rPr>
            </w:pPr>
            <w:r>
              <w:rPr>
                <w:rFonts w:hint="eastAsia" w:ascii="Times New Roman" w:hAnsi="Times New Roman" w:cs="Times New Roman"/>
                <w:i/>
                <w:iCs/>
                <w:color w:val="000000"/>
                <w:spacing w:val="0"/>
                <w:w w:val="100"/>
                <w:position w:val="0"/>
                <w:sz w:val="17"/>
                <w:szCs w:val="17"/>
                <w:lang w:val="en-US" w:eastAsia="zh-CN" w:bidi="en-US"/>
              </w:rPr>
              <w:t>6</w:t>
            </w:r>
            <w:r>
              <w:rPr>
                <w:rFonts w:ascii="Times New Roman" w:hAnsi="Times New Roman" w:eastAsia="Times New Roman" w:cs="Times New Roman"/>
                <w:i/>
                <w:iCs/>
                <w:color w:val="000000"/>
                <w:spacing w:val="0"/>
                <w:w w:val="100"/>
                <w:position w:val="0"/>
                <w:sz w:val="17"/>
                <w:szCs w:val="17"/>
                <w:lang w:val="en-US" w:eastAsia="en-US" w:bidi="en-US"/>
              </w:rPr>
              <w:t>.</w:t>
            </w:r>
            <w:r>
              <w:rPr>
                <w:color w:val="000000"/>
                <w:spacing w:val="0"/>
                <w:w w:val="100"/>
                <w:position w:val="0"/>
                <w:sz w:val="19"/>
                <w:szCs w:val="19"/>
              </w:rPr>
              <w:t>新建、扩建、高档装修房屋等限制。限制失信被执行人及失信被执行人的法定代表人、主要负责人、 实际控制人、影响债务履行的直接责任人员新建、扩建、高档装修房屋，购买非经营必需车辆等非生活和工作必需的消费行为：</w:t>
            </w:r>
          </w:p>
          <w:p>
            <w:pPr>
              <w:pStyle w:val="20"/>
              <w:keepNext w:val="0"/>
              <w:keepLines w:val="0"/>
              <w:widowControl w:val="0"/>
              <w:shd w:val="clear" w:color="auto" w:fill="auto"/>
              <w:bidi w:val="0"/>
              <w:spacing w:before="0" w:after="0" w:line="319" w:lineRule="exact"/>
              <w:ind w:left="0" w:right="0" w:firstLine="200"/>
              <w:jc w:val="both"/>
              <w:rPr>
                <w:sz w:val="19"/>
                <w:szCs w:val="19"/>
              </w:rPr>
            </w:pPr>
            <w:r>
              <w:rPr>
                <w:color w:val="000000"/>
                <w:spacing w:val="0"/>
                <w:w w:val="100"/>
                <w:position w:val="0"/>
                <w:sz w:val="19"/>
                <w:szCs w:val="19"/>
              </w:rPr>
              <w:t>《国务院关于建立完善守信联合激励和失信联合惩戒制度加快推进社会诚信建设的指导意见》（国发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w:t>
            </w:r>
            <w:r>
              <w:rPr>
                <w:b/>
                <w:bCs/>
                <w:color w:val="000000"/>
                <w:spacing w:val="0"/>
                <w:w w:val="100"/>
                <w:position w:val="0"/>
                <w:sz w:val="19"/>
                <w:szCs w:val="19"/>
              </w:rPr>
              <w:t xml:space="preserve"> 33</w:t>
            </w:r>
            <w:r>
              <w:rPr>
                <w:color w:val="000000"/>
                <w:spacing w:val="0"/>
                <w:w w:val="100"/>
                <w:position w:val="0"/>
                <w:sz w:val="19"/>
                <w:szCs w:val="19"/>
              </w:rPr>
              <w:t>号）</w:t>
            </w:r>
          </w:p>
          <w:p>
            <w:pPr>
              <w:pStyle w:val="20"/>
              <w:keepNext w:val="0"/>
              <w:keepLines w:val="0"/>
              <w:widowControl w:val="0"/>
              <w:shd w:val="clear" w:color="auto" w:fill="auto"/>
              <w:bidi w:val="0"/>
              <w:spacing w:before="0" w:after="0" w:line="319" w:lineRule="exact"/>
              <w:ind w:right="0"/>
              <w:jc w:val="both"/>
              <w:rPr>
                <w:sz w:val="19"/>
                <w:szCs w:val="19"/>
              </w:rPr>
            </w:pPr>
            <w:r>
              <w:rPr>
                <w:color w:val="000000"/>
                <w:spacing w:val="0"/>
                <w:w w:val="100"/>
                <w:position w:val="0"/>
                <w:sz w:val="19"/>
                <w:szCs w:val="19"/>
              </w:rPr>
              <w:t>（十一）加强对失信行为的市场性约束和惩戒。对严重失信主体，有关部门和机构应以</w:t>
            </w:r>
            <w:r>
              <w:rPr>
                <w:color w:val="000000"/>
                <w:spacing w:val="0"/>
                <w:w w:val="100"/>
                <w:position w:val="0"/>
                <w:sz w:val="19"/>
                <w:szCs w:val="19"/>
                <w:lang w:val="zh-CN" w:eastAsia="zh-CN" w:bidi="zh-CN"/>
              </w:rPr>
              <w:t>统一社</w:t>
            </w:r>
            <w:r>
              <w:rPr>
                <w:color w:val="000000"/>
                <w:spacing w:val="0"/>
                <w:w w:val="100"/>
                <w:position w:val="0"/>
                <w:sz w:val="19"/>
                <w:szCs w:val="19"/>
              </w:rPr>
              <w:t>会信用代码为索引，及时公开披露相关信息，便于市场识别失信行为，防范信用风险。督促有关企业和个人履行 法定义务，对有履行能力但拒不履行的严重失信主体实施限制出境和限制购买不动产、乘坐飞机、乘坐高 等级列车和席次、旅游度假、入住星级以上宾馆及其他高消费行为等措施。支持征信机构采集严重失信行 为信息，纳入信用记录和信用报告。引导商业银行、证券期货经营机构、保险公司等金融机构按照风险定 价原则，对严重失信主体提高贷款利率和财产保险费率，或者限制向其提供贷款、保荐、承销、保险等服 务。</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color w:val="000000"/>
                <w:spacing w:val="0"/>
                <w:w w:val="100"/>
                <w:position w:val="0"/>
                <w:sz w:val="19"/>
                <w:szCs w:val="19"/>
              </w:rPr>
            </w:pPr>
            <w:r>
              <w:rPr>
                <w:color w:val="000000"/>
                <w:spacing w:val="0"/>
                <w:w w:val="100"/>
                <w:position w:val="0"/>
                <w:sz w:val="19"/>
                <w:szCs w:val="19"/>
              </w:rPr>
              <w:t>住房城乡建设部等</w:t>
            </w:r>
          </w:p>
          <w:p>
            <w:pPr>
              <w:pStyle w:val="20"/>
              <w:keepNext w:val="0"/>
              <w:keepLines w:val="0"/>
              <w:widowControl w:val="0"/>
              <w:shd w:val="clear" w:color="auto" w:fill="auto"/>
              <w:bidi w:val="0"/>
              <w:spacing w:before="0" w:after="0" w:line="317" w:lineRule="exact"/>
              <w:ind w:left="0" w:right="0" w:firstLine="0"/>
              <w:jc w:val="left"/>
              <w:rPr>
                <w:sz w:val="19"/>
                <w:szCs w:val="19"/>
              </w:rPr>
            </w:pPr>
            <w:r>
              <w:rPr>
                <w:color w:val="000000"/>
                <w:spacing w:val="0"/>
                <w:w w:val="100"/>
                <w:position w:val="0"/>
                <w:sz w:val="19"/>
                <w:szCs w:val="19"/>
              </w:rPr>
              <w:t>有关部门</w:t>
            </w:r>
          </w:p>
        </w:tc>
      </w:tr>
      <w:tr>
        <w:tblPrEx>
          <w:tblCellMar>
            <w:top w:w="0" w:type="dxa"/>
            <w:left w:w="10" w:type="dxa"/>
            <w:bottom w:w="0" w:type="dxa"/>
            <w:right w:w="10" w:type="dxa"/>
          </w:tblCellMar>
        </w:tblPrEx>
        <w:trPr>
          <w:trHeight w:val="3124"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5" w:lineRule="exact"/>
              <w:ind w:left="0" w:right="0" w:firstLine="0"/>
              <w:jc w:val="both"/>
              <w:rPr>
                <w:b/>
                <w:bCs/>
                <w:color w:val="000000"/>
                <w:spacing w:val="0"/>
                <w:w w:val="100"/>
                <w:position w:val="0"/>
                <w:sz w:val="19"/>
                <w:szCs w:val="19"/>
              </w:rPr>
            </w:pPr>
          </w:p>
          <w:p>
            <w:pPr>
              <w:pStyle w:val="20"/>
              <w:keepNext w:val="0"/>
              <w:keepLines w:val="0"/>
              <w:widowControl w:val="0"/>
              <w:shd w:val="clear" w:color="auto" w:fill="auto"/>
              <w:bidi w:val="0"/>
              <w:spacing w:before="0" w:after="0" w:line="315" w:lineRule="exact"/>
              <w:ind w:left="0" w:right="0" w:firstLine="0"/>
              <w:jc w:val="both"/>
              <w:rPr>
                <w:sz w:val="19"/>
                <w:szCs w:val="19"/>
              </w:rPr>
            </w:pPr>
            <w:r>
              <w:rPr>
                <w:color w:val="000000"/>
                <w:spacing w:val="0"/>
                <w:w w:val="100"/>
                <w:position w:val="0"/>
                <w:sz w:val="19"/>
                <w:szCs w:val="19"/>
              </w:rPr>
              <w:t>2</w:t>
            </w:r>
            <w:r>
              <w:rPr>
                <w:color w:val="000000"/>
                <w:spacing w:val="0"/>
                <w:w w:val="100"/>
                <w:position w:val="0"/>
                <w:sz w:val="19"/>
                <w:szCs w:val="19"/>
              </w:rPr>
              <w:t>3.依法限制新的科技扶持项目，将其严重失信行为计入科研信用记录，并依据有关规定暂停审批其新的科技项目扶持资金申报等。</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120" w:line="240" w:lineRule="auto"/>
              <w:ind w:left="0" w:right="0" w:firstLine="180"/>
              <w:jc w:val="both"/>
              <w:rPr>
                <w:color w:val="000000"/>
                <w:spacing w:val="0"/>
                <w:w w:val="100"/>
                <w:position w:val="0"/>
                <w:sz w:val="19"/>
                <w:szCs w:val="19"/>
              </w:rPr>
            </w:pPr>
            <w:r>
              <w:rPr>
                <w:color w:val="000000"/>
                <w:spacing w:val="0"/>
                <w:w w:val="100"/>
                <w:position w:val="0"/>
                <w:sz w:val="19"/>
                <w:szCs w:val="19"/>
              </w:rPr>
              <w:t>《国家科技计划项目管理暂行办法》（科技部令第5</w:t>
            </w:r>
            <w:r>
              <w:rPr>
                <w:color w:val="000000"/>
                <w:spacing w:val="0"/>
                <w:w w:val="100"/>
                <w:position w:val="0"/>
                <w:sz w:val="19"/>
                <w:szCs w:val="19"/>
              </w:rPr>
              <w:t>号）</w:t>
            </w:r>
          </w:p>
          <w:p>
            <w:pPr>
              <w:pStyle w:val="20"/>
              <w:keepNext w:val="0"/>
              <w:keepLines w:val="0"/>
              <w:widowControl w:val="0"/>
              <w:shd w:val="clear" w:color="auto" w:fill="auto"/>
              <w:bidi w:val="0"/>
              <w:spacing w:before="0" w:after="80" w:line="240" w:lineRule="auto"/>
              <w:ind w:left="0" w:right="0" w:firstLine="500"/>
              <w:jc w:val="both"/>
              <w:rPr>
                <w:sz w:val="19"/>
                <w:szCs w:val="19"/>
              </w:rPr>
            </w:pPr>
            <w:r>
              <w:rPr>
                <w:color w:val="000000"/>
                <w:spacing w:val="0"/>
                <w:w w:val="100"/>
                <w:position w:val="0"/>
                <w:sz w:val="19"/>
                <w:szCs w:val="19"/>
              </w:rPr>
              <w:t>第八条申请项目的申请者（包括单位或个人）应当符合以下基本条件：</w:t>
            </w:r>
          </w:p>
          <w:p>
            <w:pPr>
              <w:pStyle w:val="20"/>
              <w:keepNext w:val="0"/>
              <w:keepLines w:val="0"/>
              <w:widowControl w:val="0"/>
              <w:shd w:val="clear" w:color="auto" w:fill="auto"/>
              <w:tabs>
                <w:tab w:val="left" w:pos="860"/>
              </w:tabs>
              <w:bidi w:val="0"/>
              <w:spacing w:before="0" w:after="80" w:line="240" w:lineRule="auto"/>
              <w:ind w:left="0" w:right="0" w:firstLine="500"/>
              <w:jc w:val="both"/>
              <w:rPr>
                <w:sz w:val="19"/>
                <w:szCs w:val="19"/>
              </w:rPr>
            </w:pPr>
            <w:r>
              <w:rPr>
                <w:color w:val="000000"/>
                <w:spacing w:val="0"/>
                <w:w w:val="100"/>
                <w:position w:val="0"/>
                <w:sz w:val="19"/>
                <w:szCs w:val="19"/>
              </w:rPr>
              <w:t>（一）符合该计划对申请者的主体资格（包括法人性质、经济性质、国籍）等方面要求；</w:t>
            </w:r>
          </w:p>
          <w:p>
            <w:pPr>
              <w:pStyle w:val="20"/>
              <w:keepNext w:val="0"/>
              <w:keepLines w:val="0"/>
              <w:widowControl w:val="0"/>
              <w:shd w:val="clear" w:color="auto" w:fill="auto"/>
              <w:tabs>
                <w:tab w:val="left" w:pos="860"/>
              </w:tabs>
              <w:bidi w:val="0"/>
              <w:spacing w:before="0" w:after="80" w:line="240" w:lineRule="auto"/>
              <w:ind w:left="0" w:right="0" w:firstLine="500"/>
              <w:jc w:val="both"/>
              <w:rPr>
                <w:sz w:val="19"/>
                <w:szCs w:val="19"/>
              </w:rPr>
            </w:pPr>
            <w:r>
              <w:rPr>
                <w:color w:val="000000"/>
                <w:spacing w:val="0"/>
                <w:w w:val="100"/>
                <w:position w:val="0"/>
                <w:sz w:val="19"/>
                <w:szCs w:val="19"/>
              </w:rPr>
              <w:t>（二）在关研究领域和专业应具有一定的学术地位和技术优势；</w:t>
            </w:r>
          </w:p>
          <w:p>
            <w:pPr>
              <w:pStyle w:val="20"/>
              <w:keepNext w:val="0"/>
              <w:keepLines w:val="0"/>
              <w:widowControl w:val="0"/>
              <w:shd w:val="clear" w:color="auto" w:fill="auto"/>
              <w:tabs>
                <w:tab w:val="left" w:pos="860"/>
              </w:tabs>
              <w:bidi w:val="0"/>
              <w:spacing w:before="0" w:after="80" w:line="240" w:lineRule="auto"/>
              <w:ind w:left="0" w:right="0" w:firstLine="500"/>
              <w:jc w:val="both"/>
              <w:rPr>
                <w:sz w:val="19"/>
                <w:szCs w:val="19"/>
              </w:rPr>
            </w:pPr>
            <w:r>
              <w:rPr>
                <w:color w:val="000000"/>
                <w:spacing w:val="0"/>
                <w:w w:val="100"/>
                <w:position w:val="0"/>
                <w:sz w:val="19"/>
                <w:szCs w:val="19"/>
              </w:rPr>
              <w:t>（三）具有为完成项目必备的人才条件和技术装备；</w:t>
            </w:r>
          </w:p>
          <w:p>
            <w:pPr>
              <w:pStyle w:val="20"/>
              <w:keepNext w:val="0"/>
              <w:keepLines w:val="0"/>
              <w:widowControl w:val="0"/>
              <w:shd w:val="clear" w:color="auto" w:fill="auto"/>
              <w:tabs>
                <w:tab w:val="left" w:pos="860"/>
              </w:tabs>
              <w:bidi w:val="0"/>
              <w:spacing w:before="0" w:after="80" w:line="240" w:lineRule="auto"/>
              <w:ind w:left="0" w:right="0" w:firstLine="500"/>
              <w:jc w:val="both"/>
              <w:rPr>
                <w:sz w:val="19"/>
                <w:szCs w:val="19"/>
              </w:rPr>
            </w:pPr>
            <w:r>
              <w:rPr>
                <w:color w:val="000000"/>
                <w:spacing w:val="0"/>
                <w:w w:val="100"/>
                <w:position w:val="0"/>
                <w:sz w:val="19"/>
                <w:szCs w:val="19"/>
              </w:rPr>
              <w:t>（四）具有与项目相关的研究经历和研究积累;</w:t>
            </w:r>
          </w:p>
          <w:p>
            <w:pPr>
              <w:pStyle w:val="20"/>
              <w:keepNext w:val="0"/>
              <w:keepLines w:val="0"/>
              <w:widowControl w:val="0"/>
              <w:shd w:val="clear" w:color="auto" w:fill="auto"/>
              <w:tabs>
                <w:tab w:val="left" w:pos="855"/>
              </w:tabs>
              <w:bidi w:val="0"/>
              <w:spacing w:before="0" w:after="80" w:line="240" w:lineRule="auto"/>
              <w:ind w:left="0" w:right="0" w:firstLine="500"/>
              <w:jc w:val="both"/>
              <w:rPr>
                <w:sz w:val="19"/>
                <w:szCs w:val="19"/>
              </w:rPr>
            </w:pPr>
            <w:r>
              <w:rPr>
                <w:color w:val="000000"/>
                <w:spacing w:val="0"/>
                <w:w w:val="100"/>
                <w:position w:val="0"/>
                <w:sz w:val="19"/>
                <w:szCs w:val="19"/>
              </w:rPr>
              <w:t>（五）具有完成项目所需的组织管理和协调能力；</w:t>
            </w:r>
          </w:p>
          <w:p>
            <w:pPr>
              <w:pStyle w:val="20"/>
              <w:keepNext w:val="0"/>
              <w:keepLines w:val="0"/>
              <w:widowControl w:val="0"/>
              <w:shd w:val="clear" w:color="auto" w:fill="auto"/>
              <w:tabs>
                <w:tab w:val="left" w:pos="860"/>
              </w:tabs>
              <w:bidi w:val="0"/>
              <w:spacing w:before="0" w:after="80" w:line="240" w:lineRule="auto"/>
              <w:ind w:left="0" w:right="0" w:firstLine="500"/>
              <w:jc w:val="both"/>
              <w:rPr>
                <w:sz w:val="19"/>
                <w:szCs w:val="19"/>
              </w:rPr>
            </w:pPr>
            <w:r>
              <w:rPr>
                <w:color w:val="000000"/>
                <w:spacing w:val="0"/>
                <w:w w:val="100"/>
                <w:position w:val="0"/>
                <w:sz w:val="19"/>
                <w:szCs w:val="19"/>
              </w:rPr>
              <w:t>（六）具有完成项日的良好信誉度。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70" w:firstLineChars="300"/>
              <w:jc w:val="left"/>
              <w:rPr>
                <w:sz w:val="19"/>
                <w:szCs w:val="19"/>
              </w:rPr>
            </w:pPr>
            <w:r>
              <w:rPr>
                <w:color w:val="000000"/>
                <w:spacing w:val="0"/>
                <w:w w:val="100"/>
                <w:position w:val="0"/>
                <w:sz w:val="19"/>
                <w:szCs w:val="19"/>
              </w:rPr>
              <w:t>科技部</w:t>
            </w:r>
          </w:p>
        </w:tc>
      </w:tr>
    </w:tbl>
    <w:p>
      <w:pPr>
        <w:widowControl w:val="0"/>
        <w:spacing w:line="1" w:lineRule="exact"/>
      </w:pPr>
      <w:r>
        <w:br w:type="page"/>
      </w:r>
    </w:p>
    <w:tbl>
      <w:tblPr>
        <w:tblStyle w:val="6"/>
        <w:tblW w:w="0" w:type="auto"/>
        <w:jc w:val="center"/>
        <w:tblLayout w:type="fixed"/>
        <w:tblCellMar>
          <w:top w:w="0" w:type="dxa"/>
          <w:left w:w="10" w:type="dxa"/>
          <w:bottom w:w="0" w:type="dxa"/>
          <w:right w:w="10" w:type="dxa"/>
        </w:tblCellMar>
      </w:tblPr>
      <w:tblGrid>
        <w:gridCol w:w="2246"/>
        <w:gridCol w:w="9931"/>
        <w:gridCol w:w="2026"/>
      </w:tblGrid>
      <w:tr>
        <w:tblPrEx>
          <w:tblCellMar>
            <w:top w:w="0" w:type="dxa"/>
            <w:left w:w="10" w:type="dxa"/>
            <w:bottom w:w="0" w:type="dxa"/>
            <w:right w:w="10" w:type="dxa"/>
          </w:tblCellMar>
        </w:tblPrEx>
        <w:trPr>
          <w:trHeight w:val="19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8" w:lineRule="exact"/>
              <w:ind w:left="0" w:right="0" w:firstLine="18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《国务院关于改进加强中央财政科研项目和资金管理的若干意见》（国发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 11号）</w:t>
            </w:r>
          </w:p>
          <w:p>
            <w:pPr>
              <w:pStyle w:val="20"/>
              <w:keepNext w:val="0"/>
              <w:keepLines w:val="0"/>
              <w:widowControl w:val="0"/>
              <w:shd w:val="clear" w:color="auto" w:fill="auto"/>
              <w:bidi w:val="0"/>
              <w:spacing w:before="0" w:after="0" w:line="318" w:lineRule="exact"/>
              <w:ind w:right="0"/>
              <w:jc w:val="both"/>
              <w:rPr>
                <w:sz w:val="19"/>
                <w:szCs w:val="19"/>
              </w:rPr>
            </w:pPr>
            <w:r>
              <w:rPr>
                <w:color w:val="000000"/>
                <w:spacing w:val="0"/>
                <w:w w:val="100"/>
                <w:position w:val="0"/>
                <w:sz w:val="19"/>
                <w:szCs w:val="19"/>
              </w:rPr>
              <w:t>（二十二）完善科研信用管理。建立覆盖指南编制、项目申请、评估评审、立项、执行、验收全过程的科研信用记录制度，由项目主管部门委托专业机构对项目承担单位和科研人员、评估评审专家、中介机 构等参与主体进行信用评级，并按信用评级实行分类管理。各项目主管部门应共享信用评价信息。建立</w:t>
            </w:r>
            <w:r>
              <w:rPr>
                <w:color w:val="000000"/>
                <w:spacing w:val="0"/>
                <w:w w:val="100"/>
                <w:position w:val="0"/>
                <w:sz w:val="19"/>
                <w:szCs w:val="19"/>
                <w:lang w:val="zh-CN" w:eastAsia="zh-CN" w:bidi="zh-CN"/>
              </w:rPr>
              <w:t xml:space="preserve">“黑 </w:t>
            </w:r>
            <w:r>
              <w:rPr>
                <w:color w:val="000000"/>
                <w:spacing w:val="0"/>
                <w:w w:val="100"/>
                <w:position w:val="0"/>
                <w:sz w:val="19"/>
                <w:szCs w:val="19"/>
              </w:rPr>
              <w:t>名单”制度，将严重不良信用记录者记入</w:t>
            </w:r>
            <w:r>
              <w:rPr>
                <w:color w:val="000000"/>
                <w:spacing w:val="0"/>
                <w:w w:val="100"/>
                <w:position w:val="0"/>
                <w:sz w:val="19"/>
                <w:szCs w:val="19"/>
                <w:lang w:val="zh-CN" w:eastAsia="zh-CN" w:bidi="zh-CN"/>
              </w:rPr>
              <w:t>“黑名</w:t>
            </w:r>
            <w:r>
              <w:rPr>
                <w:color w:val="000000"/>
                <w:spacing w:val="0"/>
                <w:w w:val="100"/>
                <w:position w:val="0"/>
                <w:sz w:val="19"/>
                <w:szCs w:val="19"/>
              </w:rPr>
              <w:t>单”，阶段性或永久取消其申请中央财政资助项目或参与项 目管理的资格。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72"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rFonts w:hint="eastAsia"/>
                <w:color w:val="000000"/>
                <w:spacing w:val="0"/>
                <w:w w:val="100"/>
                <w:position w:val="0"/>
                <w:sz w:val="19"/>
                <w:szCs w:val="19"/>
                <w:lang w:val="en-US" w:eastAsia="zh-CN"/>
              </w:rPr>
            </w:pPr>
          </w:p>
          <w:p>
            <w:pPr>
              <w:pStyle w:val="20"/>
              <w:keepNext w:val="0"/>
              <w:keepLines w:val="0"/>
              <w:widowControl w:val="0"/>
              <w:shd w:val="clear" w:color="auto" w:fill="auto"/>
              <w:bidi w:val="0"/>
              <w:spacing w:before="0" w:after="0" w:line="326" w:lineRule="exact"/>
              <w:ind w:left="0" w:right="0" w:firstLine="0"/>
              <w:jc w:val="both"/>
              <w:rPr>
                <w:sz w:val="19"/>
                <w:szCs w:val="19"/>
              </w:rPr>
            </w:pPr>
            <w:r>
              <w:rPr>
                <w:rFonts w:hint="eastAsia"/>
                <w:color w:val="000000"/>
                <w:spacing w:val="0"/>
                <w:w w:val="100"/>
                <w:position w:val="0"/>
                <w:sz w:val="19"/>
                <w:szCs w:val="19"/>
                <w:lang w:val="en-US" w:eastAsia="zh-CN"/>
              </w:rPr>
              <w:t>24.</w:t>
            </w:r>
            <w:r>
              <w:rPr>
                <w:color w:val="000000"/>
                <w:spacing w:val="0"/>
                <w:w w:val="100"/>
                <w:position w:val="0"/>
                <w:sz w:val="19"/>
                <w:szCs w:val="19"/>
              </w:rPr>
              <w:t>按程序及时撤销相关</w:t>
            </w:r>
            <w:r>
              <w:rPr>
                <w:rFonts w:hint="eastAsia"/>
                <w:color w:val="000000"/>
                <w:spacing w:val="0"/>
                <w:w w:val="100"/>
                <w:position w:val="0"/>
                <w:sz w:val="19"/>
                <w:szCs w:val="19"/>
                <w:lang w:eastAsia="zh-CN"/>
              </w:rPr>
              <w:t>表彰</w:t>
            </w:r>
            <w:r>
              <w:rPr>
                <w:color w:val="000000"/>
                <w:spacing w:val="0"/>
                <w:w w:val="100"/>
                <w:position w:val="0"/>
                <w:sz w:val="19"/>
                <w:szCs w:val="19"/>
              </w:rPr>
              <w:t>奖励，取消参加评先评优的资格。</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20" w:lineRule="exact"/>
              <w:ind w:left="0" w:right="0" w:firstLine="180"/>
              <w:jc w:val="both"/>
              <w:rPr>
                <w:sz w:val="19"/>
                <w:szCs w:val="19"/>
              </w:rPr>
            </w:pPr>
            <w:r>
              <w:rPr>
                <w:color w:val="000000"/>
                <w:spacing w:val="0"/>
                <w:w w:val="100"/>
                <w:position w:val="0"/>
                <w:sz w:val="19"/>
                <w:szCs w:val="19"/>
              </w:rPr>
              <w:t>《国务院关于促进市场公平竞争维护市场正常秩序的若干意见》（国发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w:t>
            </w:r>
            <w:r>
              <w:rPr>
                <w:color w:val="000000"/>
                <w:spacing w:val="0"/>
                <w:w w:val="100"/>
                <w:position w:val="0"/>
                <w:sz w:val="19"/>
                <w:szCs w:val="19"/>
              </w:rPr>
              <w:t xml:space="preserve"> 20</w:t>
            </w:r>
            <w:r>
              <w:rPr>
                <w:color w:val="000000"/>
                <w:spacing w:val="0"/>
                <w:w w:val="100"/>
                <w:position w:val="0"/>
                <w:sz w:val="19"/>
                <w:szCs w:val="19"/>
              </w:rPr>
              <w:t>号）</w:t>
            </w:r>
          </w:p>
          <w:p>
            <w:pPr>
              <w:pStyle w:val="20"/>
              <w:keepNext w:val="0"/>
              <w:keepLines w:val="0"/>
              <w:widowControl w:val="0"/>
              <w:shd w:val="clear" w:color="auto" w:fill="auto"/>
              <w:bidi w:val="0"/>
              <w:spacing w:before="0" w:after="0" w:line="320" w:lineRule="exact"/>
              <w:ind w:right="0"/>
              <w:jc w:val="both"/>
              <w:rPr>
                <w:sz w:val="19"/>
                <w:szCs w:val="19"/>
              </w:rPr>
            </w:pPr>
            <w:r>
              <w:rPr>
                <w:color w:val="000000"/>
                <w:spacing w:val="0"/>
                <w:w w:val="100"/>
                <w:position w:val="0"/>
                <w:sz w:val="19"/>
                <w:szCs w:val="19"/>
              </w:rPr>
              <w:t>（十五）建立健全守信激励和失信惩戒机制。将市场主体的信用信息作为实施行政管理的重要参考。 根据市场主体信用状况实行分类分级、动态监管，建立健全经营异常名录制度，对违背市场竞争原则和侵 犯消费者、劳动者合法权益的市场主体建立</w:t>
            </w:r>
            <w:r>
              <w:rPr>
                <w:color w:val="000000"/>
                <w:spacing w:val="0"/>
                <w:w w:val="100"/>
                <w:position w:val="0"/>
                <w:sz w:val="19"/>
                <w:szCs w:val="19"/>
                <w:lang w:val="zh-CN" w:eastAsia="zh-CN" w:bidi="zh-CN"/>
              </w:rPr>
              <w:t>“黑</w:t>
            </w:r>
            <w:r>
              <w:rPr>
                <w:color w:val="000000"/>
                <w:spacing w:val="0"/>
                <w:w w:val="100"/>
                <w:position w:val="0"/>
                <w:sz w:val="19"/>
                <w:szCs w:val="19"/>
              </w:rPr>
              <w:t>名单”制度。（工商总局牵头负责）对守信主体予以支持和 激励，对失信主体在经营、投融资、取得政府供应土地、进出口、出入境、注册新公司、工程招投标、政 府釆购、获得荣誉、安全许可、生产许可、从业任职资格、资质审核等方面依法予以限制或禁止，对严重 违法失信主体实行市场禁入制度。（各相关市场监管部门按职责分工分别负责）</w:t>
            </w:r>
          </w:p>
          <w:p>
            <w:pPr>
              <w:pStyle w:val="20"/>
              <w:keepNext w:val="0"/>
              <w:keepLines w:val="0"/>
              <w:widowControl w:val="0"/>
              <w:shd w:val="clear" w:color="auto" w:fill="auto"/>
              <w:bidi w:val="0"/>
              <w:spacing w:before="0" w:after="0" w:line="320" w:lineRule="exact"/>
              <w:ind w:left="0" w:right="0" w:firstLine="200"/>
              <w:jc w:val="both"/>
              <w:rPr>
                <w:sz w:val="19"/>
                <w:szCs w:val="19"/>
              </w:rPr>
            </w:pPr>
            <w:r>
              <w:rPr>
                <w:color w:val="000000"/>
                <w:spacing w:val="0"/>
                <w:w w:val="100"/>
                <w:position w:val="0"/>
                <w:sz w:val="19"/>
                <w:szCs w:val="19"/>
              </w:rPr>
              <w:t>《国务院关于建立完善守信联合激励和失信联合惩戒制度加快推进社会诚信建设的指导意见》（国发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6</w:t>
            </w:r>
            <w:r>
              <w:rPr>
                <w:b w:val="0"/>
                <w:bCs w:val="0"/>
                <w:i w:val="0"/>
                <w:iCs w:val="0"/>
                <w:smallCaps w:val="0"/>
                <w:strike w:val="0"/>
                <w:color w:val="000000"/>
                <w:spacing w:val="0"/>
                <w:w w:val="100"/>
                <w:position w:val="0"/>
                <w:sz w:val="19"/>
                <w:szCs w:val="19"/>
              </w:rPr>
              <w:t>〕</w:t>
            </w:r>
            <w:r>
              <w:rPr>
                <w:b/>
                <w:bCs/>
                <w:color w:val="000000"/>
                <w:spacing w:val="0"/>
                <w:w w:val="100"/>
                <w:position w:val="0"/>
                <w:sz w:val="19"/>
                <w:szCs w:val="19"/>
              </w:rPr>
              <w:t>33</w:t>
            </w:r>
            <w:r>
              <w:rPr>
                <w:color w:val="000000"/>
                <w:spacing w:val="0"/>
                <w:w w:val="100"/>
                <w:position w:val="0"/>
                <w:sz w:val="19"/>
                <w:szCs w:val="19"/>
              </w:rPr>
              <w:t>号）</w:t>
            </w:r>
          </w:p>
          <w:p>
            <w:pPr>
              <w:pStyle w:val="20"/>
              <w:keepNext w:val="0"/>
              <w:keepLines w:val="0"/>
              <w:widowControl w:val="0"/>
              <w:shd w:val="clear" w:color="auto" w:fill="auto"/>
              <w:bidi w:val="0"/>
              <w:spacing w:before="0" w:after="0" w:line="320" w:lineRule="exact"/>
              <w:ind w:right="0"/>
              <w:jc w:val="both"/>
              <w:rPr>
                <w:sz w:val="19"/>
                <w:szCs w:val="19"/>
              </w:rPr>
            </w:pPr>
            <w:r>
              <w:rPr>
                <w:color w:val="000000"/>
                <w:spacing w:val="0"/>
                <w:w w:val="100"/>
                <w:position w:val="0"/>
                <w:sz w:val="19"/>
                <w:szCs w:val="19"/>
              </w:rPr>
              <w:t>（十）依法依规加强对失信行为的行政性约束和惩戒。对严重失信主体，各地区、各有关部门应将其 列为重点监管对象，依法依规釆取行政性约束和惩戒措施。从严审核行政许可审批项目，从严控制生产许 可证发放，限制新増项目审批、核准，限制股票发行上市融资或发行债券，限制在全国股份转让系统挂牌、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22" w:lineRule="exact"/>
              <w:ind w:left="0" w:right="0" w:firstLine="0"/>
              <w:jc w:val="left"/>
              <w:rPr>
                <w:sz w:val="19"/>
                <w:szCs w:val="19"/>
              </w:rPr>
            </w:pPr>
            <w:r>
              <w:rPr>
                <w:color w:val="000000"/>
                <w:spacing w:val="0"/>
                <w:w w:val="100"/>
                <w:position w:val="0"/>
                <w:sz w:val="19"/>
                <w:szCs w:val="19"/>
              </w:rPr>
              <w:t>中央文明办等有关部门</w:t>
            </w:r>
          </w:p>
        </w:tc>
      </w:tr>
      <w:tr>
        <w:tblPrEx>
          <w:tblCellMar>
            <w:top w:w="0" w:type="dxa"/>
            <w:left w:w="10" w:type="dxa"/>
            <w:bottom w:w="0" w:type="dxa"/>
            <w:right w:w="10" w:type="dxa"/>
          </w:tblCellMar>
        </w:tblPrEx>
        <w:trPr>
          <w:trHeight w:val="989"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0"/>
              <w:jc w:val="both"/>
              <w:rPr>
                <w:sz w:val="19"/>
                <w:szCs w:val="19"/>
              </w:rPr>
            </w:pPr>
            <w:r>
              <w:rPr>
                <w:color w:val="000000"/>
                <w:spacing w:val="0"/>
                <w:w w:val="100"/>
                <w:position w:val="0"/>
                <w:sz w:val="19"/>
                <w:szCs w:val="19"/>
              </w:rPr>
              <w:t>25</w:t>
            </w:r>
            <w:r>
              <w:rPr>
                <w:color w:val="000000"/>
                <w:spacing w:val="0"/>
                <w:w w:val="100"/>
                <w:position w:val="0"/>
                <w:sz w:val="19"/>
                <w:szCs w:val="19"/>
              </w:rPr>
              <w:t>.严重失信主体是个人的，依法限制登记为 事业单位法定代表人；</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2" w:lineRule="exact"/>
              <w:ind w:left="0" w:right="0" w:firstLine="20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《中央编办关于批转V事业单位、社会团体及企业等组织利用国有资产举办事业单位设立登记办法（试</w:t>
            </w:r>
            <w:r>
              <w:rPr>
                <w:color w:val="000000"/>
                <w:spacing w:val="0"/>
                <w:w w:val="100"/>
                <w:position w:val="0"/>
                <w:sz w:val="19"/>
                <w:szCs w:val="19"/>
                <w:lang w:val="zh-CN" w:eastAsia="zh-CN" w:bidi="zh-CN"/>
              </w:rPr>
              <w:t xml:space="preserve">行）〉 </w:t>
            </w:r>
            <w:r>
              <w:rPr>
                <w:color w:val="000000"/>
                <w:spacing w:val="0"/>
                <w:w w:val="100"/>
                <w:position w:val="0"/>
                <w:sz w:val="19"/>
                <w:szCs w:val="19"/>
              </w:rPr>
              <w:t>的通知》（中央编办发</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5</w:t>
            </w:r>
            <w:r>
              <w:rPr>
                <w:b w:val="0"/>
                <w:bCs w:val="0"/>
                <w:i w:val="0"/>
                <w:iCs w:val="0"/>
                <w:smallCaps w:val="0"/>
                <w:strike w:val="0"/>
                <w:color w:val="000000"/>
                <w:spacing w:val="0"/>
                <w:w w:val="100"/>
                <w:position w:val="0"/>
                <w:sz w:val="19"/>
                <w:szCs w:val="19"/>
              </w:rPr>
              <w:t>〕 132号）</w:t>
            </w:r>
          </w:p>
          <w:p>
            <w:pPr>
              <w:pStyle w:val="20"/>
              <w:keepNext w:val="0"/>
              <w:keepLines w:val="0"/>
              <w:widowControl w:val="0"/>
              <w:shd w:val="clear" w:color="auto" w:fill="auto"/>
              <w:bidi w:val="0"/>
              <w:spacing w:before="0" w:after="0" w:line="302" w:lineRule="exact"/>
              <w:ind w:left="0" w:right="0" w:firstLine="500"/>
              <w:jc w:val="both"/>
              <w:rPr>
                <w:sz w:val="19"/>
                <w:szCs w:val="19"/>
              </w:rPr>
            </w:pPr>
            <w:r>
              <w:rPr>
                <w:color w:val="000000"/>
                <w:spacing w:val="0"/>
                <w:w w:val="100"/>
                <w:position w:val="0"/>
                <w:sz w:val="19"/>
                <w:szCs w:val="19"/>
              </w:rPr>
              <w:t>第四条登记事项要求：</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80" w:firstLineChars="200"/>
              <w:jc w:val="left"/>
              <w:rPr>
                <w:sz w:val="19"/>
                <w:szCs w:val="19"/>
              </w:rPr>
            </w:pPr>
            <w:r>
              <w:rPr>
                <w:color w:val="000000"/>
                <w:spacing w:val="0"/>
                <w:w w:val="100"/>
                <w:position w:val="0"/>
                <w:sz w:val="19"/>
                <w:szCs w:val="19"/>
              </w:rPr>
              <w:t>中央编办</w:t>
            </w:r>
          </w:p>
        </w:tc>
      </w:tr>
    </w:tbl>
    <w:p>
      <w:pPr>
        <w:sectPr>
          <w:footerReference r:id="rId5" w:type="default"/>
          <w:footnotePr>
            <w:numFmt w:val="decimal"/>
          </w:footnotePr>
          <w:pgSz w:w="16840" w:h="11900" w:orient="landscape"/>
          <w:pgMar w:top="1705" w:right="1296" w:bottom="1567" w:left="1321" w:header="1277" w:footer="3" w:gutter="0"/>
          <w:pgNumType w:fmt="decimal"/>
          <w:cols w:space="720" w:num="1"/>
          <w:rtlGutter w:val="0"/>
          <w:docGrid w:linePitch="360" w:charSpace="0"/>
        </w:sectPr>
      </w:pPr>
    </w:p>
    <w:tbl>
      <w:tblPr>
        <w:tblStyle w:val="6"/>
        <w:tblW w:w="0" w:type="auto"/>
        <w:tblInd w:w="0" w:type="dxa"/>
        <w:tblLayout w:type="fixed"/>
        <w:tblCellMar>
          <w:top w:w="0" w:type="dxa"/>
          <w:left w:w="10" w:type="dxa"/>
          <w:bottom w:w="0" w:type="dxa"/>
          <w:right w:w="10" w:type="dxa"/>
        </w:tblCellMar>
      </w:tblPr>
      <w:tblGrid>
        <w:gridCol w:w="2242"/>
        <w:gridCol w:w="9926"/>
        <w:gridCol w:w="2026"/>
      </w:tblGrid>
      <w:tr>
        <w:tblPrEx>
          <w:tblCellMar>
            <w:top w:w="0" w:type="dxa"/>
            <w:left w:w="10" w:type="dxa"/>
            <w:bottom w:w="0" w:type="dxa"/>
            <w:right w:w="10" w:type="dxa"/>
          </w:tblCellMar>
        </w:tblPrEx>
        <w:trPr>
          <w:trHeight w:val="2839" w:hRule="exact"/>
        </w:trPr>
        <w:tc>
          <w:tcPr>
            <w:tcBorders>
              <w:top w:val="single" w:color="auto" w:sz="4" w:space="0"/>
              <w:left w:val="single" w:color="auto" w:sz="4" w:space="0"/>
            </w:tcBorders>
            <w:shd w:val="clear" w:color="auto" w:fill="FFFFFF"/>
            <w:vAlign w:val="top"/>
          </w:tcPr>
          <w:p>
            <w:pPr>
              <w:pStyle w:val="20"/>
              <w:keepNext w:val="0"/>
              <w:keepLines w:val="0"/>
              <w:framePr w:w="14194" w:h="7954" w:wrap="around" w:vAnchor="page" w:hAnchor="page" w:x="1329" w:y="1267"/>
              <w:widowControl w:val="0"/>
              <w:shd w:val="clear" w:color="auto" w:fill="auto"/>
              <w:bidi w:val="0"/>
              <w:spacing w:before="0" w:after="0" w:line="312" w:lineRule="exact"/>
              <w:ind w:left="0" w:right="0" w:firstLine="0"/>
              <w:jc w:val="both"/>
              <w:rPr>
                <w:color w:val="000000"/>
                <w:spacing w:val="0"/>
                <w:w w:val="100"/>
                <w:position w:val="0"/>
                <w:sz w:val="19"/>
                <w:szCs w:val="19"/>
              </w:rPr>
            </w:pPr>
          </w:p>
          <w:p>
            <w:pPr>
              <w:pStyle w:val="20"/>
              <w:keepNext w:val="0"/>
              <w:keepLines w:val="0"/>
              <w:framePr w:w="14194" w:h="7954" w:wrap="around" w:vAnchor="page" w:hAnchor="page" w:x="1329" w:y="1267"/>
              <w:widowControl w:val="0"/>
              <w:shd w:val="clear" w:color="auto" w:fill="auto"/>
              <w:bidi w:val="0"/>
              <w:spacing w:before="0" w:after="0" w:line="312" w:lineRule="exact"/>
              <w:ind w:left="0" w:right="0" w:firstLine="0"/>
              <w:jc w:val="both"/>
              <w:rPr>
                <w:color w:val="000000"/>
                <w:spacing w:val="0"/>
                <w:w w:val="100"/>
                <w:position w:val="0"/>
                <w:sz w:val="19"/>
                <w:szCs w:val="19"/>
              </w:rPr>
            </w:pPr>
          </w:p>
          <w:p>
            <w:pPr>
              <w:pStyle w:val="20"/>
              <w:keepNext w:val="0"/>
              <w:keepLines w:val="0"/>
              <w:framePr w:w="14194" w:h="7954" w:wrap="around" w:vAnchor="page" w:hAnchor="page" w:x="1329" w:y="1267"/>
              <w:widowControl w:val="0"/>
              <w:shd w:val="clear" w:color="auto" w:fill="auto"/>
              <w:bidi w:val="0"/>
              <w:spacing w:before="0" w:after="0" w:line="312" w:lineRule="exact"/>
              <w:ind w:left="0" w:right="0" w:firstLine="0"/>
              <w:jc w:val="both"/>
              <w:rPr>
                <w:sz w:val="19"/>
                <w:szCs w:val="19"/>
              </w:rPr>
            </w:pPr>
            <w:r>
              <w:rPr>
                <w:color w:val="000000"/>
                <w:spacing w:val="0"/>
                <w:w w:val="100"/>
                <w:position w:val="0"/>
                <w:sz w:val="19"/>
                <w:szCs w:val="19"/>
              </w:rPr>
              <w:t>严重失信主体是企业的，该企业法定代表人依法限制登记为事业单位法定代表人。</w:t>
            </w:r>
          </w:p>
        </w:tc>
        <w:tc>
          <w:tcPr>
            <w:tcBorders>
              <w:top w:val="single" w:color="auto" w:sz="4" w:space="0"/>
              <w:left w:val="single" w:color="auto" w:sz="4" w:space="0"/>
            </w:tcBorders>
            <w:shd w:val="clear" w:color="auto" w:fill="FFFFFF"/>
            <w:vAlign w:val="bottom"/>
          </w:tcPr>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（四）法定代表人。应当是具有完全民事行为能力的中国公民，且为该单位主要行政负责人，年龄一 般不超过70周岁，无不良信用记录担任过其他机构法定代表人的，在任职期间，该机构无不良信用记录，党政机关领导干部在职或退休后拟担任法定代表人的，应当符合干部管理有关规定。</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《事业单位登记管理暂行条例实施细则》（中央编办发〔201</w:t>
            </w:r>
            <w:r>
              <w:rPr>
                <w:rFonts w:hint="eastAsia"/>
                <w:b w:val="0"/>
                <w:bCs w:val="0"/>
                <w:i w:val="0"/>
                <w:iCs w:val="0"/>
                <w:smallCaps w:val="0"/>
                <w:strike w:val="0"/>
                <w:color w:val="000000"/>
                <w:spacing w:val="0"/>
                <w:w w:val="100"/>
                <w:position w:val="0"/>
                <w:sz w:val="19"/>
                <w:szCs w:val="19"/>
                <w:lang w:val="en-US" w:eastAsia="zh-CN"/>
              </w:rPr>
              <w:t>4</w:t>
            </w:r>
            <w:r>
              <w:rPr>
                <w:b w:val="0"/>
                <w:bCs w:val="0"/>
                <w:i w:val="0"/>
                <w:iCs w:val="0"/>
                <w:smallCaps w:val="0"/>
                <w:strike w:val="0"/>
                <w:color w:val="000000"/>
                <w:spacing w:val="0"/>
                <w:w w:val="100"/>
                <w:position w:val="0"/>
                <w:sz w:val="19"/>
                <w:szCs w:val="19"/>
              </w:rPr>
              <w:t>〕 4号）</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第三十一条事业单位法定代表人应当具备下列条件：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（一）具有完全民事行为能力的自然人；</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（二）该事业单位的主要行政负责人；</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违反法律、法规和政策规定产生的事业单位主要行政负责人，不得担任事业单位法定代表人。</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p>
        </w:tc>
      </w:tr>
      <w:tr>
        <w:tblPrEx>
          <w:tblCellMar>
            <w:top w:w="0" w:type="dxa"/>
            <w:left w:w="10" w:type="dxa"/>
            <w:bottom w:w="0" w:type="dxa"/>
            <w:right w:w="10" w:type="dxa"/>
          </w:tblCellMar>
        </w:tblPrEx>
        <w:trPr>
          <w:trHeight w:val="5600" w:hRule="exact"/>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rFonts w:ascii="Times New Roman" w:hAnsi="Times New Roman" w:eastAsia="Times New Roman" w:cs="Times New Roman"/>
                <w:color w:val="000000"/>
                <w:spacing w:val="0"/>
                <w:w w:val="100"/>
                <w:position w:val="0"/>
                <w:sz w:val="20"/>
                <w:szCs w:val="20"/>
              </w:rPr>
            </w:pPr>
          </w:p>
          <w:p>
            <w:pPr>
              <w:pStyle w:val="20"/>
              <w:keepNext w:val="0"/>
              <w:keepLines w:val="0"/>
              <w:framePr w:w="14194" w:h="7954" w:wrap="around" w:vAnchor="page" w:hAnchor="page" w:x="1329" w:y="1267"/>
              <w:widowControl w:val="0"/>
              <w:shd w:val="clear" w:color="auto" w:fill="auto"/>
              <w:bidi w:val="0"/>
              <w:spacing w:before="0" w:after="0" w:line="319" w:lineRule="exact"/>
              <w:ind w:left="0" w:right="0" w:firstLine="0"/>
              <w:jc w:val="both"/>
              <w:rPr>
                <w:sz w:val="19"/>
                <w:szCs w:val="19"/>
              </w:rPr>
            </w:pPr>
            <w:r>
              <w:rPr>
                <w:rFonts w:ascii="Times New Roman" w:hAnsi="Times New Roman" w:eastAsia="Times New Roman" w:cs="Times New Roman"/>
                <w:color w:val="000000"/>
                <w:spacing w:val="0"/>
                <w:w w:val="100"/>
                <w:position w:val="0"/>
                <w:sz w:val="20"/>
                <w:szCs w:val="20"/>
              </w:rPr>
              <w:t>26</w:t>
            </w:r>
            <w:r>
              <w:rPr>
                <w:color w:val="000000"/>
                <w:spacing w:val="0"/>
                <w:w w:val="100"/>
                <w:position w:val="0"/>
                <w:sz w:val="19"/>
                <w:szCs w:val="19"/>
              </w:rPr>
              <w:t>.依法限制招录（聘）为公务员或事业单位工作人员。</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《中华人民共和国公务员法》</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第十一条公务员应当具备下列条件：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（一）具有中华人民共和国国籍；</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（二）年十八周岁；</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（三）拥护中华人民共和国宪法；</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（四）具良好的品行；</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（五）具有正常履行职责的身体条件；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（六）具有符合职位要求的文化程度和工作能力：</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（七）法律规定的其他条件.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《事业单位公开招聘人员暂行规定》（人事部令第6号）</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第九条应聘人员必须具备下列条件：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（―）具有中华人民共和国国籍：</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〈二）遵守宪法和法律；</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（三）具良好的品行；</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（四）岗位所需的专业或技能条件；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（五）适应岗位要求的身体条件；</w:t>
            </w:r>
          </w:p>
          <w:p>
            <w:pPr>
              <w:pStyle w:val="20"/>
              <w:keepNext w:val="0"/>
              <w:keepLines w:val="0"/>
              <w:framePr w:w="14194" w:h="7954" w:wrap="around" w:vAnchor="page" w:hAnchor="page" w:x="1329" w:y="1267"/>
              <w:widowControl w:val="0"/>
              <w:shd w:val="clear" w:color="auto" w:fill="auto"/>
              <w:bidi w:val="0"/>
              <w:spacing w:before="0" w:after="0" w:line="317" w:lineRule="exact"/>
              <w:ind w:right="0" w:firstLine="505" w:firstLineChars="266"/>
              <w:jc w:val="left"/>
              <w:rPr>
                <w:sz w:val="19"/>
                <w:szCs w:val="19"/>
              </w:rPr>
            </w:pPr>
            <w:r>
              <w:rPr>
                <w:b w:val="0"/>
                <w:bCs w:val="0"/>
                <w:i w:val="0"/>
                <w:iCs w:val="0"/>
                <w:smallCaps w:val="0"/>
                <w:strike w:val="0"/>
                <w:color w:val="000000"/>
                <w:spacing w:val="0"/>
                <w:w w:val="100"/>
                <w:position w:val="0"/>
                <w:sz w:val="19"/>
                <w:szCs w:val="19"/>
              </w:rPr>
              <w:t>（六）岗位所需要的其他条件。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framePr w:w="14194" w:h="7954" w:wrap="around" w:vAnchor="page" w:hAnchor="page" w:x="1329" w:y="1267"/>
              <w:widowControl w:val="0"/>
              <w:shd w:val="clear" w:color="auto" w:fill="auto"/>
              <w:bidi w:val="0"/>
              <w:spacing w:before="0" w:after="0" w:line="322" w:lineRule="exact"/>
              <w:ind w:left="0" w:right="0" w:firstLine="0"/>
              <w:jc w:val="left"/>
              <w:rPr>
                <w:sz w:val="19"/>
                <w:szCs w:val="19"/>
              </w:rPr>
            </w:pPr>
            <w:r>
              <w:rPr>
                <w:color w:val="000000"/>
                <w:spacing w:val="0"/>
                <w:w w:val="100"/>
                <w:position w:val="0"/>
                <w:sz w:val="19"/>
                <w:szCs w:val="19"/>
              </w:rPr>
              <w:t>中央组织部、公务员局</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 w:eastAsia="zh-CN"/>
        </w:rPr>
      </w:pPr>
    </w:p>
    <w:sectPr>
      <w:type w:val="continuous"/>
      <w:pgSz w:w="16838" w:h="11906" w:orient="landscape"/>
      <w:pgMar w:top="1871" w:right="1417" w:bottom="18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2794635</wp:posOffset>
              </wp:positionH>
              <wp:positionV relativeFrom="paragraph">
                <wp:posOffset>-247650</wp:posOffset>
              </wp:positionV>
              <wp:extent cx="1498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8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05pt;margin-top:-19.5pt;height:144pt;width:11.8pt;mso-position-horizontal-relative:margin;z-index:251658240;mso-width-relative:page;mso-height-relative:page;" filled="f" stroked="f" coordsize="21600,21600" o:gfxdata="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XjBD2gAAAAsB&#10;AAAPAAAAAAAAAAEAIAAAACIAAABkcnMvZG93bnJldi54bWxQSwECFAAUAAAACACHTuJAlcz8fRkC&#10;AAAUBAAADgAAAAAAAAABACAAAAApAQAAZHJzL2Uyb0RvYy54bWxQSwUGAAAAAAYABgBZAQAAtAUA&#10;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4431030</wp:posOffset>
              </wp:positionH>
              <wp:positionV relativeFrom="paragraph">
                <wp:posOffset>-581025</wp:posOffset>
              </wp:positionV>
              <wp:extent cx="26416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416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8.9pt;margin-top:-45.75pt;height:18.65pt;width:20.8pt;mso-position-horizontal-relative:margin;z-index:251659264;mso-width-relative:page;mso-height-relative:page;" filled="f" stroked="f" coordsize="21600,21600" o:gfxdata="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F6SraAAAA&#10;CwEAAA8AAAAAAAAAAQAgAAAAIgAAAGRycy9kb3ducmV2LnhtbFBLAQIUABQAAAAIAIdO4kD4yuxZ&#10;GwIAABMEAAAOAAAAAAAAAAEAIAAAACkBAABkcnMvZTJvRG9jLnhtbFBLBQYAAAAABgAGAFkBAAC2&#10;BQAAAAA=&#10;">
              <v:fill on="f" focussize="0,0"/>
              <v:stroke on="f" weight="0.5pt"/>
              <v:imagedata o:title=""/>
              <o:lock v:ext="edit" aspectratio="f"/>
              <v:textbox inset="0mm,0mm,0mm,0mm">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6993255</wp:posOffset>
              </wp:positionV>
              <wp:extent cx="106680" cy="79375"/>
              <wp:effectExtent l="0" t="0" r="0" b="0"/>
              <wp:wrapNone/>
              <wp:docPr id="26" name="Shape 26"/>
              <wp:cNvGraphicFramePr/>
              <a:graphic xmlns:a="http://schemas.openxmlformats.org/drawingml/2006/main">
                <a:graphicData uri="http://schemas.microsoft.com/office/word/2010/wordprocessingShape">
                  <wps:wsp>
                    <wps:cNvSpPr txBox="1"/>
                    <wps:spPr>
                      <a:xfrm>
                        <a:off x="0" y="0"/>
                        <a:ext cx="106680" cy="7937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550.65pt;height:6.25pt;width:8.4pt;mso-position-horizontal:center;mso-position-horizontal-relative:margin;mso-position-vertical-relative:page;mso-wrap-style:none;z-index:62915584;mso-width-relative:page;mso-height-relative:page;" filled="f" stroked="f" coordsize="21600,21600" o:gfxdata="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7yDio0wAAAAkBAAAPAAAAAAAAAAEAIAAAACIAAABkcnMvZG93bnJldi54&#10;bWxQSwECFAAUAAAACACHTuJAR1kRpI0BAAAiAwAADgAAAAAAAAABACAAAAAiAQAAZHJzL2Uyb0Rv&#10;Yy54bWxQSwUGAAAAAAYABgBZAQAAIQ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1CC399BE"/>
    <w:multiLevelType w:val="singleLevel"/>
    <w:tmpl w:val="1CC399B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63"/>
    <w:rsid w:val="00302164"/>
    <w:rsid w:val="00647B12"/>
    <w:rsid w:val="00723B63"/>
    <w:rsid w:val="018A7516"/>
    <w:rsid w:val="02992AFE"/>
    <w:rsid w:val="07730489"/>
    <w:rsid w:val="0A0D6E1D"/>
    <w:rsid w:val="0E681D24"/>
    <w:rsid w:val="130A700D"/>
    <w:rsid w:val="13186BE8"/>
    <w:rsid w:val="15623F0B"/>
    <w:rsid w:val="1C5C0411"/>
    <w:rsid w:val="1E8F6F32"/>
    <w:rsid w:val="22686275"/>
    <w:rsid w:val="2350462E"/>
    <w:rsid w:val="23BB2146"/>
    <w:rsid w:val="27596402"/>
    <w:rsid w:val="2C85487F"/>
    <w:rsid w:val="2DA533DD"/>
    <w:rsid w:val="2FDD0569"/>
    <w:rsid w:val="31E54B24"/>
    <w:rsid w:val="3853578C"/>
    <w:rsid w:val="3C926155"/>
    <w:rsid w:val="405A3E88"/>
    <w:rsid w:val="42964E8E"/>
    <w:rsid w:val="443E3DC0"/>
    <w:rsid w:val="44877C74"/>
    <w:rsid w:val="45FF124A"/>
    <w:rsid w:val="49134265"/>
    <w:rsid w:val="4BB60E05"/>
    <w:rsid w:val="4F5921D2"/>
    <w:rsid w:val="51472BA0"/>
    <w:rsid w:val="53661DA7"/>
    <w:rsid w:val="56954761"/>
    <w:rsid w:val="57D60C97"/>
    <w:rsid w:val="5A191FED"/>
    <w:rsid w:val="5A5304E8"/>
    <w:rsid w:val="5F166568"/>
    <w:rsid w:val="5F3326D8"/>
    <w:rsid w:val="5F9F0453"/>
    <w:rsid w:val="60FA24C1"/>
    <w:rsid w:val="664B2DE2"/>
    <w:rsid w:val="66974CDF"/>
    <w:rsid w:val="679E0567"/>
    <w:rsid w:val="6BC14F2F"/>
    <w:rsid w:val="6C767830"/>
    <w:rsid w:val="6CA7717A"/>
    <w:rsid w:val="6CBA6F0C"/>
    <w:rsid w:val="6F2D67D5"/>
    <w:rsid w:val="705226DE"/>
    <w:rsid w:val="71FD2755"/>
    <w:rsid w:val="734E3C22"/>
    <w:rsid w:val="74A832D4"/>
    <w:rsid w:val="74ED3CDB"/>
    <w:rsid w:val="772948F8"/>
    <w:rsid w:val="7B342A77"/>
    <w:rsid w:val="7DDD1171"/>
    <w:rsid w:val="7E08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sz w:val="24"/>
      <w:szCs w:val="24"/>
      <w:u w:val="none"/>
      <w:vertAlign w:val="baseline"/>
    </w:rPr>
  </w:style>
  <w:style w:type="character" w:styleId="10">
    <w:name w:val="Hyperlink"/>
    <w:basedOn w:val="7"/>
    <w:semiHidden/>
    <w:unhideWhenUsed/>
    <w:qFormat/>
    <w:uiPriority w:val="99"/>
    <w:rPr>
      <w:color w:val="333333"/>
      <w:sz w:val="24"/>
      <w:szCs w:val="24"/>
      <w:u w:val="none"/>
      <w:vertAlign w:val="baseline"/>
    </w:rPr>
  </w:style>
  <w:style w:type="character" w:styleId="11">
    <w:name w:val="HTML Code"/>
    <w:basedOn w:val="7"/>
    <w:semiHidden/>
    <w:unhideWhenUsed/>
    <w:qFormat/>
    <w:uiPriority w:val="99"/>
    <w:rPr>
      <w:rFonts w:ascii="sans-serif" w:hAnsi="sans-serif" w:eastAsia="sans-serif" w:cs="sans-serif"/>
      <w:sz w:val="20"/>
    </w:rPr>
  </w:style>
  <w:style w:type="character" w:styleId="12">
    <w:name w:val="HTML Keyboard"/>
    <w:basedOn w:val="7"/>
    <w:semiHidden/>
    <w:unhideWhenUsed/>
    <w:qFormat/>
    <w:uiPriority w:val="99"/>
    <w:rPr>
      <w:rFonts w:hint="default" w:ascii="sans-serif" w:hAnsi="sans-serif" w:eastAsia="sans-serif" w:cs="sans-serif"/>
      <w:sz w:val="20"/>
    </w:rPr>
  </w:style>
  <w:style w:type="character" w:styleId="13">
    <w:name w:val="HTML Sample"/>
    <w:basedOn w:val="7"/>
    <w:semiHidden/>
    <w:unhideWhenUsed/>
    <w:qFormat/>
    <w:uiPriority w:val="99"/>
    <w:rPr>
      <w:rFonts w:hint="default" w:ascii="sans-serif" w:hAnsi="sans-serif" w:eastAsia="sans-serif" w:cs="sans-serif"/>
    </w:rPr>
  </w:style>
  <w:style w:type="character" w:customStyle="1" w:styleId="14">
    <w:name w:val="count"/>
    <w:basedOn w:val="7"/>
    <w:qFormat/>
    <w:uiPriority w:val="0"/>
    <w:rPr>
      <w:color w:val="E23B41"/>
    </w:rPr>
  </w:style>
  <w:style w:type="character" w:customStyle="1" w:styleId="15">
    <w:name w:val="first-child"/>
    <w:basedOn w:val="7"/>
    <w:qFormat/>
    <w:uiPriority w:val="0"/>
    <w:rPr>
      <w:bdr w:val="single" w:color="C8C8C8" w:sz="24" w:space="0"/>
    </w:rPr>
  </w:style>
  <w:style w:type="character" w:customStyle="1" w:styleId="16">
    <w:name w:val="last-child"/>
    <w:basedOn w:val="7"/>
    <w:qFormat/>
    <w:uiPriority w:val="0"/>
    <w:rPr>
      <w:bdr w:val="single" w:color="C8C8C8" w:sz="24" w:space="0"/>
    </w:rPr>
  </w:style>
  <w:style w:type="character" w:customStyle="1" w:styleId="17">
    <w:name w:val="first-child1"/>
    <w:basedOn w:val="7"/>
    <w:qFormat/>
    <w:uiPriority w:val="0"/>
    <w:rPr>
      <w:bdr w:val="single" w:color="C8C8C8" w:sz="24" w:space="0"/>
    </w:rPr>
  </w:style>
  <w:style w:type="paragraph" w:customStyle="1" w:styleId="1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Body text|4"/>
    <w:basedOn w:val="1"/>
    <w:qFormat/>
    <w:uiPriority w:val="0"/>
    <w:pPr>
      <w:widowControl w:val="0"/>
      <w:shd w:val="clear" w:color="auto" w:fill="auto"/>
      <w:spacing w:after="400"/>
      <w:jc w:val="center"/>
    </w:pPr>
    <w:rPr>
      <w:rFonts w:ascii="宋体" w:hAnsi="宋体" w:eastAsia="宋体" w:cs="宋体"/>
      <w:sz w:val="34"/>
      <w:szCs w:val="34"/>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line="316" w:lineRule="exact"/>
      <w:ind w:firstLine="210"/>
    </w:pPr>
    <w:rPr>
      <w:rFonts w:ascii="宋体" w:hAnsi="宋体" w:eastAsia="宋体" w:cs="宋体"/>
      <w:sz w:val="19"/>
      <w:szCs w:val="19"/>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sz w:val="17"/>
      <w:szCs w:val="17"/>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690</Words>
  <Characters>3937</Characters>
  <Lines>32</Lines>
  <Paragraphs>9</Paragraphs>
  <TotalTime>4</TotalTime>
  <ScaleCrop>false</ScaleCrop>
  <LinksUpToDate>false</LinksUpToDate>
  <CharactersWithSpaces>4618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2019-08-01T01:29:00Z</dcterms:created>
  <dc:creator>Microsoft</dc:creator>
  <cp:lastModifiedBy>Administrator</cp:lastModifiedBy>
  <cp:lastPrinted>2020-03-31T01:53:00Z</cp:lastPrinted>
  <dcterms:modified xsi:type="dcterms:W3CDTF">2020-05-27T01:31:22Z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