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val="0"/>
        <w:shd w:val="clear" w:color="auto" w:fill="auto"/>
        <w:bidi w:val="0"/>
        <w:spacing w:before="240" w:after="600" w:line="240" w:lineRule="auto"/>
        <w:ind w:left="0" w:right="0" w:firstLine="0"/>
        <w:jc w:val="both"/>
        <w:rPr>
          <w:rFonts w:hint="eastAsia"/>
          <w:color w:val="000000"/>
          <w:spacing w:val="0"/>
          <w:w w:val="100"/>
          <w:position w:val="0"/>
          <w:sz w:val="30"/>
          <w:szCs w:val="30"/>
          <w:lang w:val="en-US" w:eastAsia="zh-CN"/>
        </w:rPr>
      </w:pPr>
      <w:r>
        <w:rPr>
          <w:color w:val="000000"/>
          <w:spacing w:val="0"/>
          <w:w w:val="100"/>
          <w:position w:val="0"/>
          <w:sz w:val="30"/>
          <w:szCs w:val="30"/>
        </w:rPr>
        <w:t>附件</w:t>
      </w:r>
      <w:r>
        <w:rPr>
          <w:rFonts w:hint="eastAsia"/>
          <w:color w:val="000000"/>
          <w:spacing w:val="0"/>
          <w:w w:val="100"/>
          <w:position w:val="0"/>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heme="minorBidi"/>
          <w:kern w:val="2"/>
          <w:sz w:val="44"/>
          <w:szCs w:val="44"/>
          <w:lang w:val="en-US" w:eastAsia="zh-CN" w:bidi="ar-SA"/>
        </w:rPr>
      </w:pPr>
      <w:r>
        <w:rPr>
          <w:rFonts w:hint="eastAsia" w:ascii="方正小标宋简体" w:hAnsi="宋体" w:eastAsia="方正小标宋简体" w:cstheme="minorBidi"/>
          <w:kern w:val="2"/>
          <w:sz w:val="44"/>
          <w:szCs w:val="44"/>
          <w:lang w:val="en-US" w:eastAsia="zh-CN" w:bidi="ar-SA"/>
        </w:rPr>
        <w:t>关于对房地产领域相关失信责任主体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heme="minorBidi"/>
          <w:kern w:val="2"/>
          <w:sz w:val="44"/>
          <w:szCs w:val="44"/>
          <w:lang w:val="en-US" w:eastAsia="zh-CN" w:bidi="ar-SA"/>
        </w:rPr>
      </w:pPr>
      <w:r>
        <w:rPr>
          <w:rFonts w:hint="eastAsia" w:ascii="方正小标宋简体" w:hAnsi="宋体" w:eastAsia="方正小标宋简体" w:cstheme="minorBidi"/>
          <w:kern w:val="2"/>
          <w:sz w:val="44"/>
          <w:szCs w:val="44"/>
          <w:lang w:val="en-US" w:eastAsia="zh-CN" w:bidi="ar-SA"/>
        </w:rPr>
        <w:t>实施联合惩戒的合作备忘录</w:t>
      </w:r>
    </w:p>
    <w:p>
      <w:pPr>
        <w:pStyle w:val="2"/>
        <w:spacing w:before="10"/>
        <w:rPr>
          <w:rFonts w:hint="eastAsia" w:ascii="仿宋_GB2312" w:hAnsi="仿宋_GB2312" w:eastAsia="仿宋_GB2312" w:cs="仿宋_GB2312"/>
          <w:sz w:val="32"/>
          <w:szCs w:val="32"/>
        </w:rPr>
      </w:pPr>
      <w:bookmarkStart w:id="46" w:name="_GoBack"/>
      <w:bookmarkEnd w:id="46"/>
    </w:p>
    <w:p>
      <w:pPr>
        <w:pStyle w:val="2"/>
        <w:keepNext w:val="0"/>
        <w:keepLines w:val="0"/>
        <w:pageBreakBefore w:val="0"/>
        <w:widowControl w:val="0"/>
        <w:shd w:val="clear"/>
        <w:kinsoku/>
        <w:wordWrap/>
        <w:overflowPunct/>
        <w:topLinePunct w:val="0"/>
        <w:autoSpaceDE w:val="0"/>
        <w:autoSpaceDN w:val="0"/>
        <w:bidi w:val="0"/>
        <w:adjustRightInd/>
        <w:snapToGrid/>
        <w:spacing w:before="0" w:after="0" w:line="560" w:lineRule="exact"/>
        <w:ind w:left="115" w:right="105" w:firstLine="600"/>
        <w:jc w:val="both"/>
        <w:textAlignment w:val="auto"/>
        <w:rPr>
          <w:rFonts w:hint="eastAsia" w:ascii="仿宋_GB2312" w:hAnsi="仿宋_GB2312" w:eastAsia="仿宋_GB2312" w:cs="仿宋_GB2312"/>
          <w:spacing w:val="0"/>
          <w:w w:val="100"/>
          <w:kern w:val="2"/>
          <w:position w:val="0"/>
          <w:sz w:val="32"/>
          <w:szCs w:val="32"/>
          <w:shd w:val="clear"/>
          <w:lang w:val="en-US" w:eastAsia="zh-CN" w:bidi="ar-SA"/>
        </w:rPr>
      </w:pPr>
      <w:r>
        <w:rPr>
          <w:rFonts w:hint="eastAsia" w:ascii="方正小标宋简体" w:eastAsia="方正小标宋简体" w:cstheme="minorBidi"/>
          <w:spacing w:val="0"/>
          <w:w w:val="100"/>
          <w:kern w:val="2"/>
          <w:position w:val="0"/>
          <w:sz w:val="44"/>
          <w:szCs w:val="44"/>
          <w:u w:val="none"/>
          <w:shd w:val="clear"/>
          <w:lang w:val="en-US" w:eastAsia="zh-CN" w:bidi="ar-SA"/>
        </w:rPr>
        <w:t xml:space="preserve"> </w:t>
      </w:r>
      <w:r>
        <w:rPr>
          <w:rFonts w:hint="eastAsia" w:ascii="仿宋_GB2312" w:hAnsi="仿宋_GB2312" w:eastAsia="仿宋_GB2312" w:cs="仿宋_GB2312"/>
          <w:spacing w:val="0"/>
          <w:w w:val="100"/>
          <w:kern w:val="2"/>
          <w:position w:val="0"/>
          <w:sz w:val="32"/>
          <w:szCs w:val="32"/>
          <w:shd w:val="clear"/>
          <w:lang w:val="en-US" w:eastAsia="zh-CN" w:bidi="ar-SA"/>
        </w:rPr>
        <w:t xml:space="preserve">为贯彻党的十八大和十八届三中、四中、五中、六中全会精神，落实《国务院关于印发社会信用体系建设规划纲要 </w:t>
      </w:r>
      <w:r>
        <w:rPr>
          <w:rFonts w:hint="eastAsia" w:ascii="仿宋_GB2312" w:hAnsi="仿宋_GB2312" w:eastAsia="仿宋_GB2312" w:cs="仿宋_GB2312"/>
          <w:spacing w:val="0"/>
          <w:w w:val="100"/>
          <w:kern w:val="2"/>
          <w:position w:val="0"/>
          <w:sz w:val="32"/>
          <w:szCs w:val="32"/>
          <w:shd w:val="clear"/>
          <w:lang w:val="en-US" w:eastAsia="en-US" w:bidi="ar-SA"/>
        </w:rPr>
        <w:t>（2014—2020</w:t>
      </w:r>
      <w:r>
        <w:rPr>
          <w:rFonts w:hint="eastAsia" w:ascii="仿宋_GB2312" w:hAnsi="仿宋_GB2312" w:eastAsia="仿宋_GB2312" w:cs="仿宋_GB2312"/>
          <w:spacing w:val="0"/>
          <w:w w:val="100"/>
          <w:kern w:val="2"/>
          <w:position w:val="0"/>
          <w:sz w:val="32"/>
          <w:szCs w:val="32"/>
          <w:shd w:val="clear"/>
          <w:lang w:val="en-US" w:eastAsia="zh-CN" w:bidi="ar-SA"/>
        </w:rPr>
        <w:t>年）的通知》（国发〔2014〕21号）、《国务院关于建立完善守信联合激励和失信联合惩戒制度加快推进社会诚信建设的指导意见》（国发〔2016〕33号）和《国务院办公厅关于加快培育和发展住房租赁市场的若干意见》（国办发〔2016〕39 号）要求，着眼于培育和弘扬社会主义核心价值观，加快推进社会信用体系建设，建立健全跨部门失信联合惩戒机制，促进房地产领域相关主体依法诚信经营，国家发展改革委、人民银行、住房城乡建设部、中央组织部、中央宣传部、中央编办、中央文明 办、中央网信办、科技部、工业和信息化部、财政部、人力资源 社会保障部、国土资源部、环境保护部、交通运输部、水利部、 商务部、国资委、海关总署、税务总局、质检总局、安全监管总局、银监会、证监会、保监会、公务员局、民航局、全国总工会、 共青团中央、全国妇联、铁路总公司就房地产领域相关失信责任主体实施惩戒达成如下一致意见。</w:t>
      </w:r>
    </w:p>
    <w:p>
      <w:pPr>
        <w:pStyle w:val="2"/>
        <w:keepNext w:val="0"/>
        <w:keepLines w:val="0"/>
        <w:pageBreakBefore w:val="0"/>
        <w:widowControl w:val="0"/>
        <w:shd w:val="clear"/>
        <w:kinsoku/>
        <w:wordWrap/>
        <w:overflowPunct/>
        <w:topLinePunct w:val="0"/>
        <w:autoSpaceDE w:val="0"/>
        <w:autoSpaceDN w:val="0"/>
        <w:bidi w:val="0"/>
        <w:adjustRightInd/>
        <w:snapToGrid/>
        <w:spacing w:before="0" w:after="0" w:line="560" w:lineRule="exact"/>
        <w:ind w:left="115" w:right="105" w:firstLine="600"/>
        <w:jc w:val="both"/>
        <w:textAlignment w:val="auto"/>
        <w:rPr>
          <w:rFonts w:hint="eastAsia" w:ascii="黑体" w:hAnsi="黑体" w:eastAsia="黑体" w:cs="黑体"/>
          <w:spacing w:val="0"/>
          <w:w w:val="100"/>
          <w:kern w:val="2"/>
          <w:position w:val="0"/>
          <w:sz w:val="32"/>
          <w:szCs w:val="32"/>
          <w:shd w:val="clear"/>
          <w:lang w:val="en-US" w:eastAsia="zh-CN" w:bidi="ar-SA"/>
        </w:rPr>
      </w:pPr>
      <w:r>
        <w:rPr>
          <w:rFonts w:hint="eastAsia" w:ascii="黑体" w:hAnsi="黑体" w:eastAsia="黑体" w:cs="黑体"/>
          <w:spacing w:val="0"/>
          <w:w w:val="100"/>
          <w:kern w:val="2"/>
          <w:position w:val="0"/>
          <w:sz w:val="32"/>
          <w:szCs w:val="32"/>
          <w:shd w:val="clear"/>
          <w:lang w:val="en-US" w:eastAsia="zh-CN" w:bidi="ar-SA"/>
        </w:rPr>
        <w:t>一、联合惩戒对象</w:t>
      </w:r>
    </w:p>
    <w:p>
      <w:pPr>
        <w:pStyle w:val="2"/>
        <w:keepNext w:val="0"/>
        <w:keepLines w:val="0"/>
        <w:pageBreakBefore w:val="0"/>
        <w:widowControl w:val="0"/>
        <w:shd w:val="clear"/>
        <w:kinsoku/>
        <w:wordWrap/>
        <w:overflowPunct/>
        <w:topLinePunct w:val="0"/>
        <w:autoSpaceDE w:val="0"/>
        <w:autoSpaceDN w:val="0"/>
        <w:bidi w:val="0"/>
        <w:adjustRightInd/>
        <w:snapToGrid/>
        <w:spacing w:before="0" w:after="0" w:line="560" w:lineRule="exact"/>
        <w:ind w:left="115" w:right="105" w:firstLine="600"/>
        <w:jc w:val="both"/>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r>
        <w:rPr>
          <w:rFonts w:hint="eastAsia" w:ascii="仿宋_GB2312" w:hAnsi="仿宋_GB2312" w:eastAsia="仿宋_GB2312" w:cs="仿宋_GB2312"/>
          <w:spacing w:val="0"/>
          <w:w w:val="100"/>
          <w:kern w:val="2"/>
          <w:position w:val="0"/>
          <w:sz w:val="32"/>
          <w:szCs w:val="32"/>
          <w:shd w:val="clear"/>
          <w:lang w:val="en-US" w:eastAsia="zh-CN" w:bidi="ar-SA"/>
        </w:rPr>
        <w:t>联合惩戒对象主要指在房地产领域开发经营活动中存在</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失信行为的相关机构及人员等责任主体（以下简称惩戒对象），包括：（1）房地产开发企业、房地产中介机构、物业管理企业（以 下统称失信房地产企业）;（2）失信房地产企业的法定代表人、主要负责人和对失信行为负有直接责任的从业人员（以下统称失信人员）。</w:t>
      </w:r>
    </w:p>
    <w:p>
      <w:pPr>
        <w:pStyle w:val="13"/>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黑体" w:hAnsi="黑体" w:eastAsia="黑体" w:cs="黑体"/>
          <w:b w:val="0"/>
          <w:bCs w:val="0"/>
          <w:i w:val="0"/>
          <w:iCs w:val="0"/>
          <w:smallCaps w:val="0"/>
          <w:strike w:val="0"/>
          <w:spacing w:val="0"/>
          <w:w w:val="100"/>
          <w:kern w:val="2"/>
          <w:position w:val="0"/>
          <w:sz w:val="32"/>
          <w:szCs w:val="32"/>
          <w:u w:val="none"/>
          <w:shd w:val="clear"/>
          <w:lang w:val="en-US" w:eastAsia="zh-CN" w:bidi="ar-SA"/>
        </w:rPr>
      </w:pPr>
      <w:r>
        <w:rPr>
          <w:rFonts w:hint="eastAsia" w:ascii="黑体" w:hAnsi="黑体" w:eastAsia="黑体" w:cs="黑体"/>
          <w:b w:val="0"/>
          <w:bCs w:val="0"/>
          <w:i w:val="0"/>
          <w:iCs w:val="0"/>
          <w:smallCaps w:val="0"/>
          <w:strike w:val="0"/>
          <w:spacing w:val="0"/>
          <w:w w:val="100"/>
          <w:kern w:val="2"/>
          <w:position w:val="0"/>
          <w:sz w:val="32"/>
          <w:szCs w:val="32"/>
          <w:u w:val="none"/>
          <w:shd w:val="clear"/>
          <w:lang w:val="en-US" w:eastAsia="zh-CN" w:bidi="ar-SA"/>
        </w:rPr>
        <w:t>失信行为信息查询内容及方式</w:t>
      </w:r>
      <w:bookmarkStart w:id="0" w:name="bookmark6"/>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r>
        <w:rPr>
          <w:rFonts w:hint="eastAsia" w:ascii="楷体_GB2312" w:hAnsi="楷体_GB2312" w:eastAsia="楷体_GB2312" w:cs="楷体_GB2312"/>
          <w:b w:val="0"/>
          <w:bCs w:val="0"/>
          <w:i w:val="0"/>
          <w:iCs w:val="0"/>
          <w:smallCaps w:val="0"/>
          <w:strike w:val="0"/>
          <w:spacing w:val="0"/>
          <w:w w:val="100"/>
          <w:kern w:val="2"/>
          <w:position w:val="0"/>
          <w:sz w:val="32"/>
          <w:szCs w:val="32"/>
          <w:u w:val="none"/>
          <w:shd w:val="clear"/>
          <w:lang w:val="en-US" w:eastAsia="zh-CN" w:bidi="ar-SA"/>
        </w:rPr>
        <w:t>（</w:t>
      </w:r>
      <w:bookmarkEnd w:id="0"/>
      <w:r>
        <w:rPr>
          <w:rFonts w:hint="eastAsia" w:ascii="楷体_GB2312" w:hAnsi="楷体_GB2312" w:eastAsia="楷体_GB2312" w:cs="楷体_GB2312"/>
          <w:b w:val="0"/>
          <w:bCs w:val="0"/>
          <w:i w:val="0"/>
          <w:iCs w:val="0"/>
          <w:smallCaps w:val="0"/>
          <w:strike w:val="0"/>
          <w:spacing w:val="0"/>
          <w:w w:val="100"/>
          <w:kern w:val="2"/>
          <w:position w:val="0"/>
          <w:sz w:val="32"/>
          <w:szCs w:val="32"/>
          <w:u w:val="none"/>
          <w:shd w:val="clear"/>
          <w:lang w:val="en-US" w:eastAsia="zh-CN" w:bidi="ar-SA"/>
        </w:rPr>
        <w:t>一）查询内容</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1、失信房地产企业的名称、统一社会信用代码（或组织机构代码），失信人员的姓名、性别、身份证号码；</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2、失信的具体情形：裁定惩戒对象失信行为的单位和文件， 裁定依据、裁定时间以及应当记载和公布的不涉及国家秘密、商业秘密和个人隐私的其他事项。</w:t>
      </w:r>
    </w:p>
    <w:p>
      <w:pPr>
        <w:pStyle w:val="13"/>
        <w:keepNext w:val="0"/>
        <w:keepLines w:val="0"/>
        <w:pageBreakBefore w:val="0"/>
        <w:widowControl w:val="0"/>
        <w:shd w:val="clear" w:color="auto" w:fill="auto"/>
        <w:tabs>
          <w:tab w:val="left" w:pos="1544"/>
        </w:tabs>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楷体_GB2312" w:hAnsi="楷体_GB2312" w:eastAsia="楷体_GB2312" w:cs="楷体_GB2312"/>
          <w:b w:val="0"/>
          <w:bCs w:val="0"/>
          <w:i w:val="0"/>
          <w:iCs w:val="0"/>
          <w:smallCaps w:val="0"/>
          <w:strike w:val="0"/>
          <w:spacing w:val="0"/>
          <w:w w:val="100"/>
          <w:kern w:val="2"/>
          <w:position w:val="0"/>
          <w:sz w:val="32"/>
          <w:szCs w:val="32"/>
          <w:u w:val="none"/>
          <w:shd w:val="clear"/>
          <w:lang w:val="en-US" w:eastAsia="zh-CN" w:bidi="ar-SA"/>
        </w:rPr>
      </w:pPr>
      <w:bookmarkStart w:id="1" w:name="bookmark7"/>
      <w:r>
        <w:rPr>
          <w:rFonts w:hint="eastAsia" w:ascii="楷体_GB2312" w:hAnsi="楷体_GB2312" w:eastAsia="楷体_GB2312" w:cs="楷体_GB2312"/>
          <w:b w:val="0"/>
          <w:bCs w:val="0"/>
          <w:i w:val="0"/>
          <w:iCs w:val="0"/>
          <w:smallCaps w:val="0"/>
          <w:strike w:val="0"/>
          <w:spacing w:val="0"/>
          <w:w w:val="100"/>
          <w:kern w:val="2"/>
          <w:position w:val="0"/>
          <w:sz w:val="32"/>
          <w:szCs w:val="32"/>
          <w:u w:val="none"/>
          <w:shd w:val="clear"/>
          <w:lang w:val="en-US" w:eastAsia="zh-CN" w:bidi="ar-SA"/>
        </w:rPr>
        <w:t>（</w:t>
      </w:r>
      <w:bookmarkEnd w:id="1"/>
      <w:r>
        <w:rPr>
          <w:rFonts w:hint="eastAsia" w:ascii="楷体_GB2312" w:hAnsi="楷体_GB2312" w:eastAsia="楷体_GB2312" w:cs="楷体_GB2312"/>
          <w:b w:val="0"/>
          <w:bCs w:val="0"/>
          <w:i w:val="0"/>
          <w:iCs w:val="0"/>
          <w:smallCaps w:val="0"/>
          <w:strike w:val="0"/>
          <w:spacing w:val="0"/>
          <w:w w:val="100"/>
          <w:kern w:val="2"/>
          <w:position w:val="0"/>
          <w:sz w:val="32"/>
          <w:szCs w:val="32"/>
          <w:u w:val="none"/>
          <w:shd w:val="clear"/>
          <w:lang w:val="en-US" w:eastAsia="zh-CN" w:bidi="ar-SA"/>
        </w:rPr>
        <w:t>二）推送及查询方式</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住房城乡建设部将惩戒对象失信信息推送到全国信用信息共享平台，依法在"信用中国</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zh-CN" w:eastAsia="zh-CN" w:bidi="ar-SA"/>
        </w:rPr>
        <w:t>”</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t>（www.creditchina.gov.cn）</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或住房城乡建设部网站公布，并及时更新。</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 xml:space="preserve">有关行政监督管理部门可以通过全国信用信息共享平台、 </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zh-CN" w:eastAsia="zh-CN" w:bidi="ar-SA"/>
        </w:rPr>
        <w:t>“信</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用中国</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zh-CN" w:eastAsia="zh-CN" w:bidi="ar-SA"/>
        </w:rPr>
        <w:t>”网站</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、各省级信用信息共享平台或住房城乡建设部网站查询相关主体失信行为信息，并采取必要方式做好失信行为主体信息查询记录和证据留存。社会公众可以通过</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zh-CN" w:eastAsia="zh-CN" w:bidi="ar-SA"/>
        </w:rPr>
        <w:t>“信</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用中国</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zh-CN" w:eastAsia="zh-CN" w:bidi="ar-SA"/>
        </w:rPr>
        <w:t>”网站</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或住房城乡建设部网站查询相关主体失信行为信息。</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国家公共资源交易平台、各省级信用信息共享平台和各省级公共资源交易平台，通过全国信用信息共享平台共享惩戒对象失信信息，逐步实现房地产行业失信行为信息推送、接收、查询、应用的自动化。</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黑体" w:hAnsi="黑体" w:eastAsia="黑体" w:cs="黑体"/>
          <w:b w:val="0"/>
          <w:bCs w:val="0"/>
          <w:i w:val="0"/>
          <w:iCs w:val="0"/>
          <w:smallCaps w:val="0"/>
          <w:strike w:val="0"/>
          <w:spacing w:val="0"/>
          <w:w w:val="100"/>
          <w:kern w:val="2"/>
          <w:position w:val="0"/>
          <w:sz w:val="32"/>
          <w:szCs w:val="32"/>
          <w:u w:val="none"/>
          <w:shd w:val="clear"/>
          <w:lang w:val="en-US" w:eastAsia="zh-CN" w:bidi="ar-SA"/>
        </w:rPr>
      </w:pPr>
      <w:r>
        <w:rPr>
          <w:rFonts w:hint="eastAsia" w:ascii="黑体" w:hAnsi="黑体" w:eastAsia="黑体" w:cs="黑体"/>
          <w:b w:val="0"/>
          <w:bCs w:val="0"/>
          <w:i w:val="0"/>
          <w:iCs w:val="0"/>
          <w:smallCaps w:val="0"/>
          <w:strike w:val="0"/>
          <w:spacing w:val="0"/>
          <w:w w:val="100"/>
          <w:kern w:val="2"/>
          <w:position w:val="0"/>
          <w:sz w:val="32"/>
          <w:szCs w:val="32"/>
          <w:u w:val="none"/>
          <w:shd w:val="clear"/>
          <w:lang w:val="en-US" w:eastAsia="zh-CN" w:bidi="ar-SA"/>
        </w:rPr>
        <w:t>三、联合惩戒措施</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（一）依法限制或者禁止惩戒对象的市场准入、行政许可或者融资行为：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2" w:name="bookmark8"/>
      <w:bookmarkEnd w:id="2"/>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1.限制取得政府供应的土地。</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3" w:name="bookmark9"/>
      <w:bookmarkEnd w:id="3"/>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2.限制取得安全生产许可证。</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4" w:name="bookmark10"/>
      <w:bookmarkEnd w:id="4"/>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3.限制取得生产许可证。</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5" w:name="bookmark11"/>
      <w:bookmarkEnd w:id="5"/>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4.限制取得房地产项目开发规划选址许可、环境影响评 价许可和“三同时</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zh-CN" w:eastAsia="zh-CN" w:bidi="ar-SA"/>
        </w:rPr>
        <w:t>”验收</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许可、水土保持方案许可和设施验收 许可、施工许可、商品房预（销）售许可、商品房买卖合同备案等。</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6" w:name="bookmark12"/>
      <w:bookmarkEnd w:id="6"/>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5.限制其新的重大项目申报的审批、核减、停止拨付或收回政府补贴资金和保障资金。</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7" w:name="bookmark13"/>
      <w:bookmarkEnd w:id="7"/>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6.限制科技项目的申报和审批。</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8" w:name="bookmark14"/>
      <w:bookmarkEnd w:id="8"/>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7.从严审核企业债券的发行，从严审核发行公司债券， 将惩戒对象的失信行为作为股票发行审核及在全国中小企业股份转让单位公开转让审核参考。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9" w:name="bookmark15"/>
      <w:bookmarkEnd w:id="9"/>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8.禁止作为供应商参加政府采购活动。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pPr>
      <w:bookmarkStart w:id="10" w:name="bookmark16"/>
      <w:bookmarkEnd w:id="10"/>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9.</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t>限制发起设立或参股金融机构以及小额贷款公司、融 资担保公司、创业投资公司、互联网融资平台等机构。</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pPr>
      <w:bookmarkStart w:id="11" w:name="bookmark17"/>
      <w:bookmarkEnd w:id="11"/>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10.</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t>限制参与政府投资公共工程建设的投标活动。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sectPr>
          <w:footerReference r:id="rId6" w:type="first"/>
          <w:footerReference r:id="rId5" w:type="default"/>
          <w:footnotePr>
            <w:numFmt w:val="decimal"/>
          </w:footnotePr>
          <w:pgSz w:w="11900" w:h="16840"/>
          <w:pgMar w:top="1278" w:right="1709" w:bottom="1518" w:left="1752" w:header="0" w:footer="3" w:gutter="0"/>
          <w:pgNumType w:fmt="decimal" w:start="1"/>
          <w:cols w:space="720" w:num="1"/>
          <w:titlePg/>
          <w:rtlGutter w:val="0"/>
          <w:docGrid w:linePitch="360" w:charSpace="0"/>
        </w:sectPr>
      </w:pPr>
      <w:bookmarkStart w:id="12" w:name="bookmark18"/>
      <w:bookmarkEnd w:id="12"/>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11.</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t>限制或者禁止参与基础设施和公用事业特许经营，依</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pP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t>法取消已获得的特许经营权。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pPr>
      <w:bookmarkStart w:id="13" w:name="bookmark19"/>
      <w:bookmarkEnd w:id="13"/>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12.</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t>禁止惩戒对象在法定期限内担任相关生产经营单位的法定代表人、负责人，已经担任的依法责令办理变更登记。</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pPr>
      <w:bookmarkStart w:id="14" w:name="bookmark20"/>
      <w:bookmarkEnd w:id="14"/>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13.</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t>限制注册非金融企业债务融资工具。</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pPr>
      <w:bookmarkStart w:id="15" w:name="bookmark21"/>
      <w:bookmarkEnd w:id="15"/>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14.</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t>限制招录（招聘）为公务员或事业单位工作人员。</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pPr>
      <w:bookmarkStart w:id="16" w:name="bookmark22"/>
      <w:bookmarkEnd w:id="16"/>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15.</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t>限制登记为事业单位法定代表人。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pPr>
      <w:bookmarkStart w:id="17" w:name="bookmark23"/>
      <w:bookmarkEnd w:id="17"/>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16.</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t>将惩戒对象的信用信息通报金融机构，作为其评级授信、信贷融资、管理和退出的重要参考依据。</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pPr>
      <w:bookmarkStart w:id="18" w:name="bookmark24"/>
      <w:bookmarkEnd w:id="18"/>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17.</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t>供纳税信用管理时审慎性参考。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pPr>
      <w:bookmarkStart w:id="19" w:name="bookmark25"/>
      <w:bookmarkEnd w:id="19"/>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18.</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t>在审批证券公司、基金管理公司及期货公司的设立及变更持有5%以上股权的股东、实际控制人时，将其失信信息作为审批的参考。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pPr>
      <w:bookmarkStart w:id="20" w:name="bookmark26"/>
      <w:bookmarkEnd w:id="20"/>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19.</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t>依法限制担任上市公司、证券公司、基金管理公司、期货公司的董事、监事和高级管理人员等，对其证券、基金、 期货从业资格申请予以从严审核；对已成为证券、基金、期货从业人员的予以关注。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pPr>
      <w:bookmarkStart w:id="21" w:name="bookmark27"/>
      <w:bookmarkEnd w:id="21"/>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20.</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en-US" w:bidi="ar-SA"/>
        </w:rPr>
        <w:t>在境内上市公司实行股权激励计划或相关人员成为股权激励对象事中事后监管中予以关注。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21.限制其在检验检测认证行业执业；限制取得认证机构资质，限制获得认证证书。</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22" w:name="bookmark29"/>
      <w:bookmarkEnd w:id="22"/>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22.在上市公司或者非上市公众公司收购的事中事后监管中予以关注。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23" w:name="bookmark30"/>
      <w:bookmarkEnd w:id="23"/>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23.限制参与公共资源交易活动。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楷体_GB2312" w:hAnsi="楷体_GB2312" w:eastAsia="楷体_GB2312" w:cs="楷体_GB2312"/>
          <w:b w:val="0"/>
          <w:bCs w:val="0"/>
          <w:i w:val="0"/>
          <w:iCs w:val="0"/>
          <w:smallCaps w:val="0"/>
          <w:strike w:val="0"/>
          <w:spacing w:val="0"/>
          <w:w w:val="100"/>
          <w:kern w:val="2"/>
          <w:position w:val="0"/>
          <w:sz w:val="32"/>
          <w:szCs w:val="32"/>
          <w:u w:val="none"/>
          <w:shd w:val="clear"/>
          <w:lang w:val="en-US" w:eastAsia="zh-CN" w:bidi="ar-SA"/>
        </w:rPr>
      </w:pPr>
      <w:bookmarkStart w:id="24" w:name="bookmark31"/>
      <w:r>
        <w:rPr>
          <w:rFonts w:hint="eastAsia" w:ascii="楷体_GB2312" w:hAnsi="楷体_GB2312" w:eastAsia="楷体_GB2312" w:cs="楷体_GB2312"/>
          <w:b w:val="0"/>
          <w:bCs w:val="0"/>
          <w:i w:val="0"/>
          <w:iCs w:val="0"/>
          <w:smallCaps w:val="0"/>
          <w:strike w:val="0"/>
          <w:spacing w:val="0"/>
          <w:w w:val="100"/>
          <w:kern w:val="2"/>
          <w:position w:val="0"/>
          <w:sz w:val="32"/>
          <w:szCs w:val="32"/>
          <w:u w:val="none"/>
          <w:shd w:val="clear"/>
          <w:lang w:val="en-US" w:eastAsia="zh-CN" w:bidi="ar-SA"/>
        </w:rPr>
        <w:t>（</w:t>
      </w:r>
      <w:bookmarkEnd w:id="24"/>
      <w:r>
        <w:rPr>
          <w:rFonts w:hint="eastAsia" w:ascii="楷体_GB2312" w:hAnsi="楷体_GB2312" w:eastAsia="楷体_GB2312" w:cs="楷体_GB2312"/>
          <w:b w:val="0"/>
          <w:bCs w:val="0"/>
          <w:i w:val="0"/>
          <w:iCs w:val="0"/>
          <w:smallCaps w:val="0"/>
          <w:strike w:val="0"/>
          <w:spacing w:val="0"/>
          <w:w w:val="100"/>
          <w:kern w:val="2"/>
          <w:position w:val="0"/>
          <w:sz w:val="32"/>
          <w:szCs w:val="32"/>
          <w:u w:val="none"/>
          <w:shd w:val="clear"/>
          <w:lang w:val="en-US" w:eastAsia="zh-CN" w:bidi="ar-SA"/>
        </w:rPr>
        <w:t>二）停止执行惩戒对象享受的优惠政策，或者对其关于优惠政策申请不予批准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25" w:name="bookmark32"/>
      <w:bookmarkEnd w:id="25"/>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24.限制、暂停或取消政策性资金支持。</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26" w:name="bookmark33"/>
      <w:bookmarkEnd w:id="26"/>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25.停止执行投资等领域优惠政策。</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27" w:name="bookmark34"/>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w:t>
      </w:r>
      <w:bookmarkEnd w:id="27"/>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三）在业绩考核、综合评价、评优评先表彰等工作中，对惩戒对象予以限制和约束</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28" w:name="bookmark35"/>
      <w:bookmarkEnd w:id="28"/>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26.将惩戒对象失信行为作为考核、提拔任用的重要参考。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29" w:name="bookmark36"/>
      <w:bookmarkEnd w:id="29"/>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27.取消惩戒对象参加评优评先资格，不得向惩戒对象授予</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zh-CN" w:eastAsia="zh-CN" w:bidi="ar-SA"/>
        </w:rPr>
        <w:t>“文</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明单位”、</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zh-CN" w:eastAsia="zh-CN" w:bidi="ar-SA"/>
        </w:rPr>
        <w:t>“道</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德模范”、</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zh-CN" w:eastAsia="zh-CN" w:bidi="ar-SA"/>
        </w:rPr>
        <w:t>“五</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一劳动奖章”等荣誉。在失信行为发生后获得荣誉称号的予以撤销。</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30" w:name="bookmark37"/>
      <w:r>
        <w:rPr>
          <w:rFonts w:hint="eastAsia" w:ascii="楷体_GB2312" w:hAnsi="楷体_GB2312" w:eastAsia="楷体_GB2312" w:cs="楷体_GB2312"/>
          <w:b w:val="0"/>
          <w:bCs w:val="0"/>
          <w:i w:val="0"/>
          <w:iCs w:val="0"/>
          <w:smallCaps w:val="0"/>
          <w:strike w:val="0"/>
          <w:spacing w:val="0"/>
          <w:w w:val="100"/>
          <w:kern w:val="2"/>
          <w:position w:val="0"/>
          <w:sz w:val="32"/>
          <w:szCs w:val="32"/>
          <w:u w:val="none"/>
          <w:shd w:val="clear"/>
          <w:lang w:val="en-US" w:eastAsia="zh-CN" w:bidi="ar-SA"/>
        </w:rPr>
        <w:t>（</w:t>
      </w:r>
      <w:bookmarkEnd w:id="30"/>
      <w:r>
        <w:rPr>
          <w:rFonts w:hint="eastAsia" w:ascii="楷体_GB2312" w:hAnsi="楷体_GB2312" w:eastAsia="楷体_GB2312" w:cs="楷体_GB2312"/>
          <w:b w:val="0"/>
          <w:bCs w:val="0"/>
          <w:i w:val="0"/>
          <w:iCs w:val="0"/>
          <w:smallCaps w:val="0"/>
          <w:strike w:val="0"/>
          <w:spacing w:val="0"/>
          <w:w w:val="100"/>
          <w:kern w:val="2"/>
          <w:position w:val="0"/>
          <w:sz w:val="32"/>
          <w:szCs w:val="32"/>
          <w:u w:val="none"/>
          <w:shd w:val="clear"/>
          <w:lang w:val="en-US" w:eastAsia="zh-CN" w:bidi="ar-SA"/>
        </w:rPr>
        <w:t>四）其他惩戒措施</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31" w:name="bookmark38"/>
      <w:bookmarkEnd w:id="31"/>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28.在</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zh-CN" w:eastAsia="zh-CN" w:bidi="ar-SA"/>
        </w:rPr>
        <w:t>“信用</w:t>
      </w: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中国”网站上公示惩戒对象的失信行为。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32" w:name="bookmark39"/>
      <w:bookmarkEnd w:id="32"/>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29.推动各保险机构将惩戒对象的失信记录作为厘定保险费率的参考。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33" w:name="bookmark40"/>
      <w:bookmarkEnd w:id="33"/>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30.负有市场监管职能的各行业主管部门将惩戒对象作为重点监管对象，加大日常监管力度，提高现场检查、抽查比例和频次。</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34" w:name="bookmark41"/>
      <w:bookmarkEnd w:id="34"/>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31.作为选择政府和社会资本合作项目合作伙伴的参考。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楷体_GB2312" w:hAnsi="楷体_GB2312" w:eastAsia="楷体_GB2312" w:cs="楷体_GB2312"/>
          <w:b w:val="0"/>
          <w:bCs w:val="0"/>
          <w:i w:val="0"/>
          <w:iCs w:val="0"/>
          <w:smallCaps w:val="0"/>
          <w:strike w:val="0"/>
          <w:spacing w:val="0"/>
          <w:w w:val="100"/>
          <w:kern w:val="2"/>
          <w:position w:val="0"/>
          <w:sz w:val="32"/>
          <w:szCs w:val="32"/>
          <w:u w:val="none"/>
          <w:shd w:val="clear"/>
          <w:lang w:val="en-US" w:eastAsia="zh-CN" w:bidi="ar-SA"/>
        </w:rPr>
      </w:pPr>
      <w:bookmarkStart w:id="35" w:name="bookmark42"/>
      <w:r>
        <w:rPr>
          <w:rFonts w:hint="eastAsia" w:ascii="楷体_GB2312" w:hAnsi="楷体_GB2312" w:eastAsia="楷体_GB2312" w:cs="楷体_GB2312"/>
          <w:b w:val="0"/>
          <w:bCs w:val="0"/>
          <w:i w:val="0"/>
          <w:iCs w:val="0"/>
          <w:smallCaps w:val="0"/>
          <w:strike w:val="0"/>
          <w:spacing w:val="0"/>
          <w:w w:val="100"/>
          <w:kern w:val="2"/>
          <w:position w:val="0"/>
          <w:sz w:val="32"/>
          <w:szCs w:val="32"/>
          <w:u w:val="none"/>
          <w:shd w:val="clear"/>
          <w:lang w:val="en-US" w:eastAsia="zh-CN" w:bidi="ar-SA"/>
        </w:rPr>
        <w:t>（</w:t>
      </w:r>
      <w:bookmarkEnd w:id="35"/>
      <w:r>
        <w:rPr>
          <w:rFonts w:hint="eastAsia" w:ascii="楷体_GB2312" w:hAnsi="楷体_GB2312" w:eastAsia="楷体_GB2312" w:cs="楷体_GB2312"/>
          <w:b w:val="0"/>
          <w:bCs w:val="0"/>
          <w:i w:val="0"/>
          <w:iCs w:val="0"/>
          <w:smallCaps w:val="0"/>
          <w:strike w:val="0"/>
          <w:spacing w:val="0"/>
          <w:w w:val="100"/>
          <w:kern w:val="2"/>
          <w:position w:val="0"/>
          <w:sz w:val="32"/>
          <w:szCs w:val="32"/>
          <w:u w:val="none"/>
          <w:shd w:val="clear"/>
          <w:lang w:val="en-US" w:eastAsia="zh-CN" w:bidi="ar-SA"/>
        </w:rPr>
        <w:t>五）加强住房城乡建设系统日常行政监管监察</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32.住房城乡建设系统各级行政管理部门针对惩戒对象制定并落实以下措施。</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36" w:name="bookmark43"/>
      <w:bookmarkEnd w:id="36"/>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33.加大现场执法检查频。</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34.将其作为重点监管监察对象，建立常态化暗查暗访机制不定期开展抽查。</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 xml:space="preserve"> </w:t>
      </w:r>
      <w:bookmarkStart w:id="37" w:name="bookmark45"/>
      <w:bookmarkEnd w:id="37"/>
      <w:bookmarkStart w:id="38" w:name="bookmark44"/>
      <w:bookmarkEnd w:id="38"/>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 xml:space="preserve">   35.约谈其主要负责人，对其主要负责人及相关责任人强制进行相关业务培训</w:t>
      </w:r>
      <w:bookmarkStart w:id="39" w:name="bookmark46"/>
      <w:bookmarkEnd w:id="39"/>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36.暂停其相关资质证书的评窜，对已取得资质证书的，依法依规对其资质作撤销或降级处理。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40" w:name="bookmark47"/>
      <w:bookmarkEnd w:id="40"/>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37.依法对惩戒对象实施市场和行业禁入。</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41" w:name="bookmark48"/>
      <w:bookmarkEnd w:id="41"/>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38.发现有新的失信行为的，依法依规在自由裁量范围内 从重处罚。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bookmarkStart w:id="42" w:name="bookmark49"/>
      <w:r>
        <w:rPr>
          <w:rFonts w:hint="eastAsia" w:ascii="楷体_GB2312" w:hAnsi="楷体_GB2312" w:eastAsia="楷体_GB2312" w:cs="楷体_GB2312"/>
          <w:b w:val="0"/>
          <w:bCs w:val="0"/>
          <w:i w:val="0"/>
          <w:iCs w:val="0"/>
          <w:smallCaps w:val="0"/>
          <w:strike w:val="0"/>
          <w:spacing w:val="0"/>
          <w:w w:val="100"/>
          <w:kern w:val="2"/>
          <w:position w:val="0"/>
          <w:sz w:val="32"/>
          <w:szCs w:val="32"/>
          <w:u w:val="none"/>
          <w:shd w:val="clear"/>
          <w:lang w:val="en-US" w:eastAsia="zh-CN" w:bidi="ar-SA"/>
        </w:rPr>
        <w:t>四</w:t>
      </w:r>
      <w:bookmarkEnd w:id="42"/>
      <w:r>
        <w:rPr>
          <w:rFonts w:hint="eastAsia" w:ascii="楷体_GB2312" w:hAnsi="楷体_GB2312" w:eastAsia="楷体_GB2312" w:cs="楷体_GB2312"/>
          <w:b w:val="0"/>
          <w:bCs w:val="0"/>
          <w:i w:val="0"/>
          <w:iCs w:val="0"/>
          <w:smallCaps w:val="0"/>
          <w:strike w:val="0"/>
          <w:spacing w:val="0"/>
          <w:w w:val="100"/>
          <w:kern w:val="2"/>
          <w:position w:val="0"/>
          <w:sz w:val="32"/>
          <w:szCs w:val="32"/>
          <w:u w:val="none"/>
          <w:shd w:val="clear"/>
          <w:lang w:val="en-US" w:eastAsia="zh-CN" w:bidi="ar-SA"/>
        </w:rPr>
        <w:t>、联合惩戒的实施方式</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各部门按照本备忘录约定的内容，依法依规对惩戒对象实施联合惩戒。同时建立惩戒效杲定期通报机制，各部门根据实际情况，定期将联合惩戒实施情况通过全国信用信息共享平台反馈至国家发展改革委和住房城乡建设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楷体_GB2312" w:hAnsi="楷体_GB2312" w:eastAsia="楷体_GB2312" w:cs="楷体_GB2312"/>
          <w:b w:val="0"/>
          <w:bCs w:val="0"/>
          <w:i w:val="0"/>
          <w:iCs w:val="0"/>
          <w:smallCaps w:val="0"/>
          <w:strike w:val="0"/>
          <w:spacing w:val="0"/>
          <w:w w:val="100"/>
          <w:kern w:val="2"/>
          <w:position w:val="0"/>
          <w:sz w:val="32"/>
          <w:szCs w:val="32"/>
          <w:u w:val="none"/>
          <w:shd w:val="clear"/>
          <w:lang w:val="en-US" w:eastAsia="zh-CN" w:bidi="ar-SA"/>
        </w:rPr>
      </w:pPr>
      <w:bookmarkStart w:id="43" w:name="bookmark50"/>
      <w:r>
        <w:rPr>
          <w:rFonts w:hint="eastAsia" w:ascii="楷体_GB2312" w:hAnsi="楷体_GB2312" w:eastAsia="楷体_GB2312" w:cs="楷体_GB2312"/>
          <w:b w:val="0"/>
          <w:bCs w:val="0"/>
          <w:i w:val="0"/>
          <w:iCs w:val="0"/>
          <w:smallCaps w:val="0"/>
          <w:strike w:val="0"/>
          <w:spacing w:val="0"/>
          <w:w w:val="100"/>
          <w:kern w:val="2"/>
          <w:position w:val="0"/>
          <w:sz w:val="32"/>
          <w:szCs w:val="32"/>
          <w:u w:val="none"/>
          <w:shd w:val="clear"/>
          <w:lang w:val="en-US" w:eastAsia="zh-CN" w:bidi="ar-SA"/>
        </w:rPr>
        <w:t>五</w:t>
      </w:r>
      <w:bookmarkEnd w:id="43"/>
      <w:r>
        <w:rPr>
          <w:rFonts w:hint="eastAsia" w:ascii="楷体_GB2312" w:hAnsi="楷体_GB2312" w:eastAsia="楷体_GB2312" w:cs="楷体_GB2312"/>
          <w:b w:val="0"/>
          <w:bCs w:val="0"/>
          <w:i w:val="0"/>
          <w:iCs w:val="0"/>
          <w:smallCaps w:val="0"/>
          <w:strike w:val="0"/>
          <w:spacing w:val="0"/>
          <w:w w:val="100"/>
          <w:kern w:val="2"/>
          <w:position w:val="0"/>
          <w:sz w:val="32"/>
          <w:szCs w:val="32"/>
          <w:u w:val="none"/>
          <w:shd w:val="clear"/>
          <w:lang w:val="en-US" w:eastAsia="zh-CN" w:bidi="ar-SA"/>
        </w:rPr>
        <w:t>、其它事宜</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pP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各部门应密切协作，积极落实本备忘录，制定失信信用信息的使用、撤销、管理的相关实施细则和操作流程，依法依规实施联合惩戒。</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sectPr>
          <w:footerReference r:id="rId7" w:type="default"/>
          <w:footnotePr>
            <w:numFmt w:val="decimal"/>
          </w:footnotePr>
          <w:type w:val="continuous"/>
          <w:pgSz w:w="11900" w:h="16840"/>
          <w:pgMar w:top="1278" w:right="1709" w:bottom="1518" w:left="1752" w:header="850" w:footer="3" w:gutter="0"/>
          <w:pgNumType w:fmt="decimal"/>
          <w:cols w:space="720" w:num="1"/>
          <w:rtlGutter w:val="0"/>
          <w:docGrid w:linePitch="360" w:charSpace="0"/>
        </w:sectPr>
      </w:pPr>
      <w:r>
        <w:rPr>
          <w:rFonts w:hint="eastAsia" w:ascii="仿宋_GB2312" w:hAnsi="仿宋_GB2312" w:eastAsia="仿宋_GB2312" w:cs="仿宋_GB2312"/>
          <w:b w:val="0"/>
          <w:bCs w:val="0"/>
          <w:i w:val="0"/>
          <w:iCs w:val="0"/>
          <w:smallCaps w:val="0"/>
          <w:strike w:val="0"/>
          <w:spacing w:val="0"/>
          <w:w w:val="100"/>
          <w:kern w:val="2"/>
          <w:position w:val="0"/>
          <w:sz w:val="32"/>
          <w:szCs w:val="32"/>
          <w:u w:val="none"/>
          <w:shd w:val="clear"/>
          <w:lang w:val="en-US" w:eastAsia="zh-CN" w:bidi="ar-SA"/>
        </w:rPr>
        <w:t>本备忘录实施过程中涉及部门之间协调配合的问题，由各部门协商解决。本备忘录签署后，各项惩戒措施依据的法律、法规、规章及规范性文件有修改或调整的，以修改后的法律、法规、规章及规范性文件为准。</w:t>
      </w:r>
    </w:p>
    <w:p>
      <w:pPr>
        <w:pStyle w:val="13"/>
        <w:keepNext w:val="0"/>
        <w:keepLines w:val="0"/>
        <w:widowControl w:val="0"/>
        <w:shd w:val="clear" w:color="auto" w:fill="auto"/>
        <w:bidi w:val="0"/>
        <w:spacing w:before="0" w:after="600" w:line="240" w:lineRule="auto"/>
        <w:ind w:left="0" w:right="0" w:firstLine="0"/>
        <w:jc w:val="left"/>
        <w:rPr>
          <w:rFonts w:hint="eastAsia"/>
          <w:color w:val="000000"/>
          <w:spacing w:val="0"/>
          <w:w w:val="100"/>
          <w:position w:val="0"/>
          <w:sz w:val="30"/>
          <w:szCs w:val="30"/>
          <w:lang w:val="en-US" w:eastAsia="zh-CN"/>
        </w:rPr>
      </w:pPr>
      <w:r>
        <w:rPr>
          <w:color w:val="000000"/>
          <w:spacing w:val="0"/>
          <w:w w:val="100"/>
          <w:position w:val="0"/>
          <w:sz w:val="30"/>
          <w:szCs w:val="30"/>
        </w:rPr>
        <w:t>附</w:t>
      </w:r>
      <w:r>
        <w:rPr>
          <w:rFonts w:hint="eastAsia"/>
          <w:color w:val="000000"/>
          <w:spacing w:val="0"/>
          <w:w w:val="100"/>
          <w:position w:val="0"/>
          <w:sz w:val="30"/>
          <w:szCs w:val="30"/>
          <w:lang w:eastAsia="zh-CN"/>
        </w:rPr>
        <w:t>件</w:t>
      </w:r>
      <w:r>
        <w:rPr>
          <w:rFonts w:hint="eastAsia"/>
          <w:color w:val="000000"/>
          <w:spacing w:val="0"/>
          <w:w w:val="100"/>
          <w:position w:val="0"/>
          <w:sz w:val="30"/>
          <w:szCs w:val="30"/>
          <w:lang w:val="en-US" w:eastAsia="zh-CN"/>
        </w:rPr>
        <w:t>2</w:t>
      </w:r>
    </w:p>
    <w:p>
      <w:pPr>
        <w:pStyle w:val="13"/>
        <w:keepNext w:val="0"/>
        <w:keepLines w:val="0"/>
        <w:widowControl w:val="0"/>
        <w:shd w:val="clear" w:color="auto" w:fill="auto"/>
        <w:bidi w:val="0"/>
        <w:spacing w:before="0" w:after="600" w:line="240" w:lineRule="auto"/>
        <w:ind w:left="0" w:right="0" w:firstLine="0"/>
        <w:jc w:val="center"/>
        <w:rPr>
          <w:rFonts w:hint="default"/>
          <w:color w:val="000000"/>
          <w:spacing w:val="0"/>
          <w:w w:val="100"/>
          <w:position w:val="0"/>
          <w:sz w:val="30"/>
          <w:szCs w:val="30"/>
          <w:lang w:val="en-US" w:eastAsia="zh-CN"/>
        </w:rPr>
      </w:pPr>
      <w:r>
        <w:rPr>
          <w:b/>
          <w:sz w:val="44"/>
        </w:rPr>
        <w:t>联合惩戒措施相关依据和实施单位</w:t>
      </w:r>
    </w:p>
    <w:tbl>
      <w:tblPr>
        <w:tblStyle w:val="4"/>
        <w:tblW w:w="0" w:type="auto"/>
        <w:jc w:val="center"/>
        <w:tblLayout w:type="fixed"/>
        <w:tblCellMar>
          <w:top w:w="0" w:type="dxa"/>
          <w:left w:w="10" w:type="dxa"/>
          <w:bottom w:w="0" w:type="dxa"/>
          <w:right w:w="10" w:type="dxa"/>
        </w:tblCellMar>
      </w:tblPr>
      <w:tblGrid>
        <w:gridCol w:w="2784"/>
        <w:gridCol w:w="9360"/>
        <w:gridCol w:w="2074"/>
      </w:tblGrid>
      <w:tr>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2111"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403" w:lineRule="exact"/>
              <w:ind w:left="0" w:right="0" w:firstLine="0"/>
              <w:jc w:val="left"/>
              <w:rPr>
                <w:sz w:val="20"/>
                <w:szCs w:val="20"/>
              </w:rPr>
            </w:pPr>
            <w:r>
              <w:rPr>
                <w:rFonts w:hint="eastAsia"/>
                <w:color w:val="000000"/>
                <w:spacing w:val="0"/>
                <w:w w:val="100"/>
                <w:position w:val="0"/>
                <w:sz w:val="20"/>
                <w:szCs w:val="20"/>
                <w:lang w:val="en-US" w:eastAsia="zh-CN"/>
              </w:rPr>
              <w:t>1.</w:t>
            </w:r>
            <w:r>
              <w:rPr>
                <w:color w:val="000000"/>
                <w:spacing w:val="0"/>
                <w:w w:val="100"/>
                <w:position w:val="0"/>
                <w:sz w:val="20"/>
                <w:szCs w:val="20"/>
              </w:rPr>
              <w:t>限制取得政府供应土地。</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74" w:lineRule="exact"/>
              <w:ind w:left="0" w:right="0" w:firstLine="200"/>
              <w:jc w:val="left"/>
              <w:rPr>
                <w:sz w:val="20"/>
                <w:szCs w:val="20"/>
              </w:rPr>
            </w:pPr>
            <w:r>
              <w:rPr>
                <w:color w:val="000000"/>
                <w:spacing w:val="0"/>
                <w:w w:val="100"/>
                <w:position w:val="0"/>
                <w:sz w:val="20"/>
                <w:szCs w:val="20"/>
              </w:rPr>
              <w:t>《国务院关于建立完善守信联合激励和失信惩戒制度加快推进社会诚信建设的指导意见》笫（十）项</w:t>
            </w:r>
          </w:p>
          <w:p>
            <w:pPr>
              <w:pStyle w:val="21"/>
              <w:keepNext w:val="0"/>
              <w:keepLines w:val="0"/>
              <w:widowControl w:val="0"/>
              <w:shd w:val="clear" w:color="auto" w:fill="auto"/>
              <w:bidi w:val="0"/>
              <w:spacing w:before="0" w:after="0" w:line="374" w:lineRule="exact"/>
              <w:ind w:left="0" w:right="0" w:firstLine="200"/>
              <w:jc w:val="left"/>
              <w:rPr>
                <w:sz w:val="20"/>
                <w:szCs w:val="20"/>
              </w:rPr>
            </w:pPr>
            <w:r>
              <w:rPr>
                <w:color w:val="000000"/>
                <w:spacing w:val="0"/>
                <w:w w:val="100"/>
                <w:position w:val="0"/>
                <w:sz w:val="20"/>
                <w:szCs w:val="20"/>
              </w:rPr>
              <w:t>《国务院关于进一步加强企业安全生产工作的通知》第三十条</w:t>
            </w:r>
          </w:p>
          <w:p>
            <w:pPr>
              <w:pStyle w:val="21"/>
              <w:keepNext w:val="0"/>
              <w:keepLines w:val="0"/>
              <w:widowControl w:val="0"/>
              <w:shd w:val="clear" w:color="auto" w:fill="auto"/>
              <w:bidi w:val="0"/>
              <w:spacing w:before="0" w:after="0" w:line="374" w:lineRule="exact"/>
              <w:ind w:left="0" w:right="0" w:firstLine="200"/>
              <w:jc w:val="left"/>
              <w:rPr>
                <w:sz w:val="20"/>
                <w:szCs w:val="20"/>
              </w:rPr>
            </w:pPr>
            <w:r>
              <w:rPr>
                <w:color w:val="000000"/>
                <w:spacing w:val="0"/>
                <w:w w:val="100"/>
                <w:position w:val="0"/>
                <w:sz w:val="20"/>
                <w:szCs w:val="20"/>
              </w:rPr>
              <w:t>《国务院关于促进市场公平竞争维护市场正常秩序的若干意见》第四条第十五项</w:t>
            </w:r>
          </w:p>
          <w:p>
            <w:pPr>
              <w:pStyle w:val="21"/>
              <w:keepNext w:val="0"/>
              <w:keepLines w:val="0"/>
              <w:widowControl w:val="0"/>
              <w:shd w:val="clear" w:color="auto" w:fill="auto"/>
              <w:bidi w:val="0"/>
              <w:spacing w:before="0" w:after="0" w:line="374" w:lineRule="exact"/>
              <w:ind w:left="0" w:right="0" w:firstLine="200"/>
              <w:jc w:val="left"/>
              <w:rPr>
                <w:color w:val="000000"/>
                <w:spacing w:val="0"/>
                <w:w w:val="100"/>
                <w:position w:val="0"/>
                <w:sz w:val="20"/>
                <w:szCs w:val="20"/>
              </w:rPr>
            </w:pPr>
            <w:r>
              <w:rPr>
                <w:color w:val="000000"/>
                <w:spacing w:val="0"/>
                <w:w w:val="100"/>
                <w:position w:val="0"/>
                <w:sz w:val="20"/>
                <w:szCs w:val="20"/>
              </w:rPr>
              <w:t>《企业信息公示暂行条例》第十八条</w:t>
            </w:r>
          </w:p>
          <w:p>
            <w:pPr>
              <w:pStyle w:val="21"/>
              <w:keepNext w:val="0"/>
              <w:keepLines w:val="0"/>
              <w:widowControl w:val="0"/>
              <w:shd w:val="clear" w:color="auto" w:fill="auto"/>
              <w:bidi w:val="0"/>
              <w:spacing w:before="0" w:after="0" w:line="374" w:lineRule="exact"/>
              <w:ind w:left="0" w:right="0" w:firstLine="200"/>
              <w:jc w:val="left"/>
              <w:rPr>
                <w:color w:val="000000"/>
                <w:spacing w:val="0"/>
                <w:w w:val="100"/>
                <w:position w:val="0"/>
                <w:sz w:val="20"/>
                <w:szCs w:val="20"/>
              </w:rPr>
            </w:pP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国土资源部</w:t>
            </w:r>
          </w:p>
        </w:tc>
      </w:tr>
      <w:tr>
        <w:tblPrEx>
          <w:tblCellMar>
            <w:top w:w="0" w:type="dxa"/>
            <w:left w:w="10" w:type="dxa"/>
            <w:bottom w:w="0" w:type="dxa"/>
            <w:right w:w="10" w:type="dxa"/>
          </w:tblCellMar>
        </w:tblPrEx>
        <w:trPr>
          <w:trHeight w:val="1192"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403" w:lineRule="exact"/>
              <w:ind w:left="0" w:right="0" w:firstLine="0"/>
              <w:jc w:val="left"/>
              <w:rPr>
                <w:sz w:val="20"/>
                <w:szCs w:val="20"/>
              </w:rPr>
            </w:pPr>
            <w:r>
              <w:rPr>
                <w:rFonts w:hint="eastAsia"/>
                <w:color w:val="000000"/>
                <w:spacing w:val="0"/>
                <w:w w:val="100"/>
                <w:position w:val="0"/>
                <w:sz w:val="20"/>
                <w:szCs w:val="20"/>
                <w:lang w:val="en-US" w:eastAsia="zh-CN"/>
              </w:rPr>
              <w:t>2.</w:t>
            </w:r>
            <w:r>
              <w:rPr>
                <w:color w:val="000000"/>
                <w:spacing w:val="0"/>
                <w:w w:val="100"/>
                <w:position w:val="0"/>
                <w:sz w:val="20"/>
                <w:szCs w:val="20"/>
              </w:rPr>
              <w:t>限制取得安全生产许可证。</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140" w:line="240" w:lineRule="auto"/>
              <w:ind w:left="0" w:right="0" w:firstLine="200"/>
              <w:jc w:val="left"/>
              <w:rPr>
                <w:sz w:val="20"/>
                <w:szCs w:val="20"/>
              </w:rPr>
            </w:pPr>
            <w:r>
              <w:rPr>
                <w:color w:val="000000"/>
                <w:spacing w:val="0"/>
                <w:w w:val="100"/>
                <w:position w:val="0"/>
                <w:sz w:val="20"/>
                <w:szCs w:val="20"/>
              </w:rPr>
              <w:t>《安全生产许可证条例》第六条第十三项</w:t>
            </w:r>
          </w:p>
          <w:p>
            <w:pPr>
              <w:pStyle w:val="21"/>
              <w:keepNext w:val="0"/>
              <w:keepLines w:val="0"/>
              <w:widowControl w:val="0"/>
              <w:shd w:val="clear" w:color="auto" w:fill="auto"/>
              <w:bidi w:val="0"/>
              <w:spacing w:before="0" w:after="0" w:line="240" w:lineRule="auto"/>
              <w:ind w:left="0" w:right="0" w:firstLine="200"/>
              <w:jc w:val="left"/>
              <w:rPr>
                <w:color w:val="000000"/>
                <w:spacing w:val="0"/>
                <w:w w:val="100"/>
                <w:position w:val="0"/>
                <w:sz w:val="20"/>
                <w:szCs w:val="20"/>
              </w:rPr>
            </w:pPr>
            <w:r>
              <w:rPr>
                <w:color w:val="000000"/>
                <w:spacing w:val="0"/>
                <w:w w:val="100"/>
                <w:position w:val="0"/>
                <w:sz w:val="20"/>
                <w:szCs w:val="20"/>
              </w:rPr>
              <w:t>《国务院关于促进市场公平竞争维护市场正常秩序的若干意见》第四条笫十五项</w:t>
            </w:r>
          </w:p>
          <w:p>
            <w:pPr>
              <w:pStyle w:val="21"/>
              <w:keepNext w:val="0"/>
              <w:keepLines w:val="0"/>
              <w:widowControl w:val="0"/>
              <w:shd w:val="clear" w:color="auto" w:fill="auto"/>
              <w:bidi w:val="0"/>
              <w:spacing w:before="0" w:after="0" w:line="240" w:lineRule="auto"/>
              <w:ind w:left="0" w:right="0" w:firstLine="200"/>
              <w:jc w:val="left"/>
              <w:rPr>
                <w:color w:val="000000"/>
                <w:spacing w:val="0"/>
                <w:w w:val="100"/>
                <w:position w:val="0"/>
                <w:sz w:val="20"/>
                <w:szCs w:val="20"/>
              </w:rPr>
            </w:pP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安全监管总局</w:t>
            </w:r>
          </w:p>
        </w:tc>
      </w:tr>
      <w:tr>
        <w:tblPrEx>
          <w:tblCellMar>
            <w:top w:w="0" w:type="dxa"/>
            <w:left w:w="10" w:type="dxa"/>
            <w:bottom w:w="0" w:type="dxa"/>
            <w:right w:w="10" w:type="dxa"/>
          </w:tblCellMar>
        </w:tblPrEx>
        <w:trPr>
          <w:trHeight w:val="2070"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left"/>
              <w:rPr>
                <w:sz w:val="20"/>
                <w:szCs w:val="20"/>
              </w:rPr>
            </w:pPr>
            <w:r>
              <w:rPr>
                <w:rFonts w:hint="eastAsia"/>
                <w:color w:val="000000"/>
                <w:spacing w:val="0"/>
                <w:w w:val="100"/>
                <w:position w:val="0"/>
                <w:sz w:val="20"/>
                <w:szCs w:val="20"/>
                <w:lang w:val="en-US" w:eastAsia="zh-CN"/>
              </w:rPr>
              <w:t>3.</w:t>
            </w:r>
            <w:r>
              <w:rPr>
                <w:color w:val="000000"/>
                <w:spacing w:val="0"/>
                <w:w w:val="100"/>
                <w:position w:val="0"/>
                <w:sz w:val="20"/>
                <w:szCs w:val="20"/>
              </w:rPr>
              <w:t>限制取得生产许可证。</w:t>
            </w:r>
          </w:p>
        </w:tc>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384" w:lineRule="exact"/>
              <w:ind w:left="0" w:right="0" w:firstLine="200"/>
              <w:jc w:val="left"/>
              <w:rPr>
                <w:sz w:val="20"/>
                <w:szCs w:val="20"/>
              </w:rPr>
            </w:pPr>
            <w:r>
              <w:rPr>
                <w:color w:val="000000"/>
                <w:spacing w:val="0"/>
                <w:w w:val="100"/>
                <w:position w:val="0"/>
                <w:sz w:val="20"/>
                <w:szCs w:val="20"/>
              </w:rPr>
              <w:t>《工业产品生产许可证管理条例》第九条笫二款</w:t>
            </w:r>
          </w:p>
          <w:p>
            <w:pPr>
              <w:pStyle w:val="21"/>
              <w:keepNext w:val="0"/>
              <w:keepLines w:val="0"/>
              <w:widowControl w:val="0"/>
              <w:shd w:val="clear" w:color="auto" w:fill="auto"/>
              <w:bidi w:val="0"/>
              <w:spacing w:before="0" w:after="0" w:line="384" w:lineRule="exact"/>
              <w:ind w:left="0" w:right="0" w:firstLine="200"/>
              <w:jc w:val="left"/>
              <w:rPr>
                <w:sz w:val="20"/>
                <w:szCs w:val="20"/>
              </w:rPr>
            </w:pPr>
            <w:r>
              <w:rPr>
                <w:color w:val="000000"/>
                <w:spacing w:val="0"/>
                <w:w w:val="100"/>
                <w:position w:val="0"/>
                <w:sz w:val="20"/>
                <w:szCs w:val="20"/>
              </w:rPr>
              <w:t>《国务院关于建立完善守信联合激励和失信惩戒制度加快推进社会诚信建设的指导意 见》第（十）项</w:t>
            </w:r>
          </w:p>
          <w:p>
            <w:pPr>
              <w:pStyle w:val="21"/>
              <w:keepNext w:val="0"/>
              <w:keepLines w:val="0"/>
              <w:widowControl w:val="0"/>
              <w:shd w:val="clear" w:color="auto" w:fill="auto"/>
              <w:bidi w:val="0"/>
              <w:spacing w:before="0" w:after="0" w:line="384" w:lineRule="exact"/>
              <w:ind w:left="0" w:right="0" w:firstLine="200"/>
              <w:jc w:val="left"/>
              <w:rPr>
                <w:sz w:val="20"/>
                <w:szCs w:val="20"/>
              </w:rPr>
            </w:pPr>
            <w:r>
              <w:rPr>
                <w:color w:val="000000"/>
                <w:spacing w:val="0"/>
                <w:w w:val="100"/>
                <w:position w:val="0"/>
                <w:sz w:val="20"/>
                <w:szCs w:val="20"/>
              </w:rPr>
              <w:t>《国务院关于促进市场公平竞争维护市场正常秩序的若干意见》第四条第十五项</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质检总局</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2774"/>
        <w:gridCol w:w="9350"/>
        <w:gridCol w:w="2093"/>
      </w:tblGrid>
      <w:tr>
        <w:tblPrEx>
          <w:tblCellMar>
            <w:top w:w="0" w:type="dxa"/>
            <w:left w:w="10" w:type="dxa"/>
            <w:bottom w:w="0" w:type="dxa"/>
            <w:right w:w="10" w:type="dxa"/>
          </w:tblCellMar>
        </w:tblPrEx>
        <w:trPr>
          <w:trHeight w:val="4858"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484" w:lineRule="exact"/>
              <w:ind w:left="0" w:right="0" w:firstLine="0"/>
              <w:jc w:val="both"/>
              <w:rPr>
                <w:sz w:val="20"/>
                <w:szCs w:val="20"/>
              </w:rPr>
            </w:pPr>
            <w:r>
              <w:rPr>
                <w:rFonts w:hint="eastAsia"/>
                <w:color w:val="000000"/>
                <w:spacing w:val="0"/>
                <w:w w:val="100"/>
                <w:position w:val="0"/>
                <w:sz w:val="20"/>
                <w:szCs w:val="20"/>
                <w:lang w:val="en-US" w:eastAsia="zh-CN"/>
              </w:rPr>
              <w:t>4.</w:t>
            </w:r>
            <w:r>
              <w:rPr>
                <w:color w:val="000000"/>
                <w:spacing w:val="0"/>
                <w:w w:val="100"/>
                <w:position w:val="0"/>
                <w:sz w:val="20"/>
                <w:szCs w:val="20"/>
              </w:rPr>
              <w:t>限制取得房地产项目 开发规划选址许可、环境影响评价许可和“三同时” 验收许可、水土保持方案许可和设施验收许可、施工许可、商品房预（销）售许 可，商品房买卖合同</w:t>
            </w:r>
            <w:r>
              <w:rPr>
                <w:rFonts w:hint="eastAsia"/>
                <w:color w:val="000000"/>
                <w:spacing w:val="0"/>
                <w:w w:val="100"/>
                <w:position w:val="0"/>
                <w:sz w:val="20"/>
                <w:szCs w:val="20"/>
                <w:lang w:eastAsia="zh-CN"/>
              </w:rPr>
              <w:t>备案</w:t>
            </w:r>
            <w:r>
              <w:rPr>
                <w:color w:val="000000"/>
                <w:spacing w:val="0"/>
                <w:w w:val="100"/>
                <w:position w:val="0"/>
                <w:sz w:val="20"/>
                <w:szCs w:val="20"/>
              </w:rPr>
              <w:t>等。</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499" w:lineRule="exact"/>
              <w:ind w:left="0" w:right="0" w:firstLine="200"/>
              <w:jc w:val="left"/>
              <w:rPr>
                <w:sz w:val="20"/>
                <w:szCs w:val="20"/>
              </w:rPr>
            </w:pPr>
            <w:r>
              <w:rPr>
                <w:color w:val="000000"/>
                <w:spacing w:val="0"/>
                <w:w w:val="100"/>
                <w:position w:val="0"/>
                <w:sz w:val="20"/>
                <w:szCs w:val="20"/>
              </w:rPr>
              <w:t>《中华人民共和国城乡规划法》</w:t>
            </w:r>
          </w:p>
          <w:p>
            <w:pPr>
              <w:pStyle w:val="21"/>
              <w:keepNext w:val="0"/>
              <w:keepLines w:val="0"/>
              <w:widowControl w:val="0"/>
              <w:shd w:val="clear" w:color="auto" w:fill="auto"/>
              <w:bidi w:val="0"/>
              <w:spacing w:before="0" w:after="0" w:line="499" w:lineRule="exact"/>
              <w:ind w:left="0" w:right="0" w:firstLine="200"/>
              <w:jc w:val="left"/>
              <w:rPr>
                <w:sz w:val="20"/>
                <w:szCs w:val="20"/>
              </w:rPr>
            </w:pPr>
            <w:r>
              <w:rPr>
                <w:color w:val="000000"/>
                <w:spacing w:val="0"/>
                <w:w w:val="100"/>
                <w:position w:val="0"/>
                <w:sz w:val="20"/>
                <w:szCs w:val="20"/>
              </w:rPr>
              <w:t>《中华人民共和国环境影响评价法》</w:t>
            </w:r>
          </w:p>
          <w:p>
            <w:pPr>
              <w:pStyle w:val="21"/>
              <w:keepNext w:val="0"/>
              <w:keepLines w:val="0"/>
              <w:widowControl w:val="0"/>
              <w:shd w:val="clear" w:color="auto" w:fill="auto"/>
              <w:bidi w:val="0"/>
              <w:spacing w:before="0" w:after="0" w:line="499" w:lineRule="exact"/>
              <w:ind w:left="0" w:right="0" w:firstLine="200"/>
              <w:jc w:val="left"/>
              <w:rPr>
                <w:sz w:val="20"/>
                <w:szCs w:val="20"/>
              </w:rPr>
            </w:pPr>
            <w:r>
              <w:rPr>
                <w:color w:val="000000"/>
                <w:spacing w:val="0"/>
                <w:w w:val="100"/>
                <w:position w:val="0"/>
                <w:sz w:val="20"/>
                <w:szCs w:val="20"/>
              </w:rPr>
              <w:t>《中华人民共和国建筑法》</w:t>
            </w:r>
          </w:p>
          <w:p>
            <w:pPr>
              <w:pStyle w:val="21"/>
              <w:keepNext w:val="0"/>
              <w:keepLines w:val="0"/>
              <w:widowControl w:val="0"/>
              <w:shd w:val="clear" w:color="auto" w:fill="auto"/>
              <w:bidi w:val="0"/>
              <w:spacing w:before="0" w:after="0" w:line="499" w:lineRule="exact"/>
              <w:ind w:left="0" w:right="0" w:firstLine="200"/>
              <w:jc w:val="left"/>
              <w:rPr>
                <w:sz w:val="20"/>
                <w:szCs w:val="20"/>
              </w:rPr>
            </w:pPr>
            <w:r>
              <w:rPr>
                <w:color w:val="000000"/>
                <w:spacing w:val="0"/>
                <w:w w:val="100"/>
                <w:position w:val="0"/>
                <w:sz w:val="20"/>
                <w:szCs w:val="20"/>
              </w:rPr>
              <w:t>《中华人民共和国城市房地产管理法》</w:t>
            </w:r>
          </w:p>
          <w:p>
            <w:pPr>
              <w:pStyle w:val="21"/>
              <w:keepNext w:val="0"/>
              <w:keepLines w:val="0"/>
              <w:widowControl w:val="0"/>
              <w:shd w:val="clear" w:color="auto" w:fill="auto"/>
              <w:bidi w:val="0"/>
              <w:spacing w:before="0" w:after="0" w:line="499" w:lineRule="exact"/>
              <w:ind w:left="0" w:right="0" w:firstLine="200"/>
              <w:jc w:val="left"/>
              <w:rPr>
                <w:sz w:val="20"/>
                <w:szCs w:val="20"/>
              </w:rPr>
            </w:pPr>
            <w:r>
              <w:rPr>
                <w:color w:val="000000"/>
                <w:spacing w:val="0"/>
                <w:w w:val="100"/>
                <w:position w:val="0"/>
                <w:sz w:val="20"/>
                <w:szCs w:val="20"/>
              </w:rPr>
              <w:t>《中华人民共和国城市房地产开发经营管理条例》</w:t>
            </w:r>
          </w:p>
          <w:p>
            <w:pPr>
              <w:pStyle w:val="21"/>
              <w:keepNext w:val="0"/>
              <w:keepLines w:val="0"/>
              <w:widowControl w:val="0"/>
              <w:shd w:val="clear" w:color="auto" w:fill="auto"/>
              <w:bidi w:val="0"/>
              <w:spacing w:before="0" w:after="0" w:line="499" w:lineRule="exact"/>
              <w:ind w:left="0" w:right="0" w:firstLine="200"/>
              <w:jc w:val="left"/>
              <w:rPr>
                <w:sz w:val="20"/>
                <w:szCs w:val="20"/>
              </w:rPr>
            </w:pPr>
            <w:r>
              <w:rPr>
                <w:color w:val="000000"/>
                <w:spacing w:val="0"/>
                <w:w w:val="100"/>
                <w:position w:val="0"/>
                <w:sz w:val="20"/>
                <w:szCs w:val="20"/>
              </w:rPr>
              <w:t>《国务院关于建立完善守信联合激励和失信惩戒制度加快推进社会诚信建设的指导意见》第（十）项</w:t>
            </w:r>
          </w:p>
          <w:p>
            <w:pPr>
              <w:pStyle w:val="21"/>
              <w:keepNext w:val="0"/>
              <w:keepLines w:val="0"/>
              <w:widowControl w:val="0"/>
              <w:shd w:val="clear" w:color="auto" w:fill="auto"/>
              <w:bidi w:val="0"/>
              <w:spacing w:before="0" w:after="0" w:line="499" w:lineRule="exact"/>
              <w:ind w:left="0" w:right="0" w:firstLine="200"/>
              <w:jc w:val="left"/>
              <w:rPr>
                <w:sz w:val="20"/>
                <w:szCs w:val="20"/>
              </w:rPr>
            </w:pPr>
            <w:r>
              <w:rPr>
                <w:color w:val="000000"/>
                <w:spacing w:val="0"/>
                <w:w w:val="100"/>
                <w:position w:val="0"/>
                <w:sz w:val="20"/>
                <w:szCs w:val="20"/>
              </w:rPr>
              <w:t>《国务院办公厅关于促进房地产市场平稳健康发展的通知》第（七）项</w:t>
            </w:r>
          </w:p>
          <w:p>
            <w:pPr>
              <w:pStyle w:val="21"/>
              <w:keepNext w:val="0"/>
              <w:keepLines w:val="0"/>
              <w:widowControl w:val="0"/>
              <w:shd w:val="clear" w:color="auto" w:fill="auto"/>
              <w:bidi w:val="0"/>
              <w:spacing w:before="0" w:after="0" w:line="499" w:lineRule="exact"/>
              <w:ind w:left="0" w:right="0" w:firstLine="200"/>
              <w:jc w:val="left"/>
              <w:rPr>
                <w:sz w:val="20"/>
                <w:szCs w:val="20"/>
              </w:rPr>
            </w:pPr>
            <w:r>
              <w:rPr>
                <w:color w:val="000000"/>
                <w:spacing w:val="0"/>
                <w:w w:val="100"/>
                <w:position w:val="0"/>
                <w:sz w:val="20"/>
                <w:szCs w:val="20"/>
              </w:rPr>
              <w:t>《商品房销售管理办法》、《城市房地产转让管理现定》</w:t>
            </w:r>
          </w:p>
          <w:p>
            <w:pPr>
              <w:pStyle w:val="21"/>
              <w:keepNext w:val="0"/>
              <w:keepLines w:val="0"/>
              <w:widowControl w:val="0"/>
              <w:shd w:val="clear" w:color="auto" w:fill="auto"/>
              <w:bidi w:val="0"/>
              <w:spacing w:before="0" w:after="0" w:line="499" w:lineRule="exact"/>
              <w:ind w:left="0" w:right="0" w:firstLine="200"/>
              <w:jc w:val="left"/>
              <w:rPr>
                <w:sz w:val="20"/>
                <w:szCs w:val="20"/>
              </w:rPr>
            </w:pPr>
            <w:r>
              <w:rPr>
                <w:color w:val="000000"/>
                <w:spacing w:val="0"/>
                <w:w w:val="100"/>
                <w:position w:val="0"/>
                <w:sz w:val="20"/>
                <w:szCs w:val="20"/>
              </w:rPr>
              <w:t>《水土保持法》第二十五条、第二十六条、第二十七条</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200" w:line="240" w:lineRule="auto"/>
              <w:ind w:left="0" w:right="0" w:firstLine="0"/>
              <w:jc w:val="center"/>
              <w:rPr>
                <w:color w:val="000000"/>
                <w:spacing w:val="0"/>
                <w:w w:val="100"/>
                <w:position w:val="0"/>
                <w:sz w:val="20"/>
                <w:szCs w:val="20"/>
              </w:rPr>
            </w:pPr>
            <w:r>
              <w:rPr>
                <w:rFonts w:hint="eastAsia"/>
                <w:color w:val="000000"/>
                <w:spacing w:val="0"/>
                <w:w w:val="100"/>
                <w:position w:val="0"/>
                <w:sz w:val="20"/>
                <w:szCs w:val="20"/>
                <w:lang w:val="en-US" w:eastAsia="zh-CN"/>
              </w:rPr>
              <w:t>住房城乡建设部</w:t>
            </w:r>
            <w:r>
              <w:rPr>
                <w:color w:val="000000"/>
                <w:spacing w:val="0"/>
                <w:w w:val="100"/>
                <w:position w:val="0"/>
                <w:sz w:val="20"/>
                <w:szCs w:val="20"/>
              </w:rPr>
              <w:t>、</w:t>
            </w:r>
          </w:p>
          <w:p>
            <w:pPr>
              <w:pStyle w:val="21"/>
              <w:keepNext w:val="0"/>
              <w:keepLines w:val="0"/>
              <w:widowControl w:val="0"/>
              <w:shd w:val="clear" w:color="auto" w:fill="auto"/>
              <w:bidi w:val="0"/>
              <w:spacing w:before="0" w:after="200" w:line="240" w:lineRule="auto"/>
              <w:ind w:left="0" w:right="0" w:firstLine="0"/>
              <w:jc w:val="center"/>
              <w:rPr>
                <w:sz w:val="20"/>
                <w:szCs w:val="20"/>
              </w:rPr>
            </w:pPr>
            <w:r>
              <w:rPr>
                <w:color w:val="000000"/>
                <w:spacing w:val="0"/>
                <w:w w:val="100"/>
                <w:position w:val="0"/>
                <w:sz w:val="20"/>
                <w:szCs w:val="20"/>
              </w:rPr>
              <w:t>环境保护部、</w:t>
            </w:r>
          </w:p>
          <w:p>
            <w:pPr>
              <w:pStyle w:val="21"/>
              <w:keepNext w:val="0"/>
              <w:keepLines w:val="0"/>
              <w:widowControl w:val="0"/>
              <w:shd w:val="clear" w:color="auto" w:fill="auto"/>
              <w:bidi w:val="0"/>
              <w:spacing w:before="0" w:after="200" w:line="240" w:lineRule="auto"/>
              <w:ind w:left="0" w:right="0" w:firstLine="0"/>
              <w:jc w:val="center"/>
              <w:rPr>
                <w:sz w:val="20"/>
                <w:szCs w:val="20"/>
              </w:rPr>
            </w:pPr>
            <w:r>
              <w:rPr>
                <w:color w:val="000000"/>
                <w:spacing w:val="0"/>
                <w:w w:val="100"/>
                <w:position w:val="0"/>
                <w:sz w:val="20"/>
                <w:szCs w:val="20"/>
              </w:rPr>
              <w:t>水利部</w:t>
            </w:r>
          </w:p>
        </w:tc>
      </w:tr>
      <w:tr>
        <w:tblPrEx>
          <w:tblCellMar>
            <w:top w:w="0" w:type="dxa"/>
            <w:left w:w="10" w:type="dxa"/>
            <w:bottom w:w="0" w:type="dxa"/>
            <w:right w:w="10" w:type="dxa"/>
          </w:tblCellMar>
        </w:tblPrEx>
        <w:trPr>
          <w:trHeight w:val="2093"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480" w:lineRule="exact"/>
              <w:ind w:left="0" w:right="0" w:firstLine="0"/>
              <w:jc w:val="both"/>
              <w:rPr>
                <w:sz w:val="20"/>
                <w:szCs w:val="20"/>
              </w:rPr>
            </w:pPr>
            <w:r>
              <w:rPr>
                <w:rFonts w:hint="eastAsia"/>
                <w:color w:val="000000"/>
                <w:spacing w:val="0"/>
                <w:w w:val="100"/>
                <w:position w:val="0"/>
                <w:sz w:val="20"/>
                <w:szCs w:val="20"/>
                <w:lang w:val="en-US" w:eastAsia="zh-CN"/>
              </w:rPr>
              <w:t>5.</w:t>
            </w:r>
            <w:r>
              <w:rPr>
                <w:color w:val="000000"/>
                <w:spacing w:val="0"/>
                <w:w w:val="100"/>
                <w:position w:val="0"/>
                <w:sz w:val="20"/>
                <w:szCs w:val="20"/>
              </w:rPr>
              <w:t>限制其新的重大项目 申报的审批、核减、停止拨付或收回政府补贴资金和保障资金。</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220" w:line="240" w:lineRule="auto"/>
              <w:ind w:left="0" w:right="0" w:firstLine="200"/>
              <w:jc w:val="left"/>
              <w:rPr>
                <w:sz w:val="20"/>
                <w:szCs w:val="20"/>
              </w:rPr>
            </w:pPr>
            <w:r>
              <w:rPr>
                <w:color w:val="000000"/>
                <w:spacing w:val="0"/>
                <w:w w:val="100"/>
                <w:position w:val="0"/>
                <w:sz w:val="20"/>
                <w:szCs w:val="20"/>
              </w:rPr>
              <w:t>《国务院关于建立完善守信联合激励和失信惩戒制度加快推进社会诚信建设的指导意见》第（十）项</w:t>
            </w:r>
          </w:p>
          <w:p>
            <w:pPr>
              <w:pStyle w:val="21"/>
              <w:keepNext w:val="0"/>
              <w:keepLines w:val="0"/>
              <w:widowControl w:val="0"/>
              <w:shd w:val="clear" w:color="auto" w:fill="auto"/>
              <w:bidi w:val="0"/>
              <w:spacing w:before="0" w:after="220" w:line="240" w:lineRule="auto"/>
              <w:ind w:left="0" w:right="0" w:firstLine="200"/>
              <w:jc w:val="left"/>
              <w:rPr>
                <w:sz w:val="20"/>
                <w:szCs w:val="20"/>
              </w:rPr>
            </w:pPr>
            <w:r>
              <w:rPr>
                <w:color w:val="000000"/>
                <w:spacing w:val="0"/>
                <w:w w:val="100"/>
                <w:position w:val="0"/>
                <w:sz w:val="20"/>
                <w:szCs w:val="20"/>
              </w:rPr>
              <w:t>《国家高新技术产业发展项目管理暂行办法》笫十条第（一）、（二）项；第三十九条</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490" w:lineRule="exact"/>
              <w:ind w:left="0" w:right="0" w:firstLine="0"/>
              <w:jc w:val="center"/>
              <w:rPr>
                <w:color w:val="000000"/>
                <w:spacing w:val="0"/>
                <w:w w:val="100"/>
                <w:position w:val="0"/>
                <w:sz w:val="20"/>
                <w:szCs w:val="20"/>
              </w:rPr>
            </w:pPr>
            <w:r>
              <w:rPr>
                <w:color w:val="000000"/>
                <w:spacing w:val="0"/>
                <w:w w:val="100"/>
                <w:position w:val="0"/>
                <w:sz w:val="20"/>
                <w:szCs w:val="20"/>
              </w:rPr>
              <w:t>国改革委、 财政部、</w:t>
            </w:r>
          </w:p>
          <w:p>
            <w:pPr>
              <w:pStyle w:val="21"/>
              <w:keepNext w:val="0"/>
              <w:keepLines w:val="0"/>
              <w:widowControl w:val="0"/>
              <w:shd w:val="clear" w:color="auto" w:fill="auto"/>
              <w:bidi w:val="0"/>
              <w:spacing w:before="0" w:after="0" w:line="490" w:lineRule="exact"/>
              <w:ind w:left="0" w:right="0" w:firstLine="0"/>
              <w:jc w:val="center"/>
              <w:rPr>
                <w:color w:val="000000"/>
                <w:spacing w:val="0"/>
                <w:w w:val="100"/>
                <w:position w:val="0"/>
                <w:sz w:val="20"/>
                <w:szCs w:val="20"/>
              </w:rPr>
            </w:pPr>
            <w:r>
              <w:rPr>
                <w:color w:val="000000"/>
                <w:spacing w:val="0"/>
                <w:w w:val="100"/>
                <w:position w:val="0"/>
                <w:sz w:val="20"/>
                <w:szCs w:val="20"/>
              </w:rPr>
              <w:t>人力资源社会保障部、</w:t>
            </w:r>
          </w:p>
          <w:p>
            <w:pPr>
              <w:pStyle w:val="21"/>
              <w:keepNext w:val="0"/>
              <w:keepLines w:val="0"/>
              <w:widowControl w:val="0"/>
              <w:shd w:val="clear" w:color="auto" w:fill="auto"/>
              <w:bidi w:val="0"/>
              <w:spacing w:before="0" w:after="0" w:line="490" w:lineRule="exact"/>
              <w:ind w:left="0" w:right="0" w:firstLine="0"/>
              <w:jc w:val="center"/>
              <w:rPr>
                <w:sz w:val="20"/>
                <w:szCs w:val="20"/>
              </w:rPr>
            </w:pPr>
            <w:r>
              <w:rPr>
                <w:color w:val="000000"/>
                <w:spacing w:val="0"/>
                <w:w w:val="100"/>
                <w:position w:val="0"/>
                <w:sz w:val="20"/>
                <w:szCs w:val="20"/>
              </w:rPr>
              <w:t>国资委</w:t>
            </w:r>
          </w:p>
        </w:tc>
      </w:tr>
      <w:tr>
        <w:tblPrEx>
          <w:tblCellMar>
            <w:top w:w="0" w:type="dxa"/>
            <w:left w:w="10" w:type="dxa"/>
            <w:bottom w:w="0" w:type="dxa"/>
            <w:right w:w="10" w:type="dxa"/>
          </w:tblCellMar>
        </w:tblPrEx>
        <w:trPr>
          <w:trHeight w:val="1161" w:hRule="exact"/>
          <w:jc w:val="center"/>
        </w:trPr>
        <w:tc>
          <w:tcPr>
            <w:tcBorders>
              <w:top w:val="single" w:color="auto" w:sz="4" w:space="0"/>
              <w:left w:val="single" w:color="auto" w:sz="4" w:space="0"/>
              <w:bottom w:val="single" w:color="auto" w:sz="4" w:space="0"/>
            </w:tcBorders>
            <w:shd w:val="clear" w:color="auto" w:fill="FFFFFF"/>
            <w:vAlign w:val="bottom"/>
          </w:tcPr>
          <w:p>
            <w:pPr>
              <w:pStyle w:val="21"/>
              <w:keepNext w:val="0"/>
              <w:keepLines w:val="0"/>
              <w:widowControl w:val="0"/>
              <w:numPr>
                <w:ilvl w:val="0"/>
                <w:numId w:val="2"/>
              </w:numPr>
              <w:shd w:val="clear" w:color="auto" w:fill="auto"/>
              <w:bidi w:val="0"/>
              <w:spacing w:before="0" w:after="0" w:line="499" w:lineRule="exact"/>
              <w:ind w:left="0" w:right="0" w:firstLine="0"/>
              <w:jc w:val="both"/>
              <w:rPr>
                <w:rFonts w:hint="eastAsia"/>
                <w:color w:val="000000"/>
                <w:spacing w:val="0"/>
                <w:w w:val="100"/>
                <w:position w:val="0"/>
                <w:sz w:val="20"/>
                <w:szCs w:val="20"/>
                <w:lang w:eastAsia="zh-CN"/>
              </w:rPr>
            </w:pPr>
            <w:r>
              <w:rPr>
                <w:color w:val="000000"/>
                <w:spacing w:val="0"/>
                <w:w w:val="100"/>
                <w:position w:val="0"/>
                <w:sz w:val="20"/>
                <w:szCs w:val="20"/>
              </w:rPr>
              <w:t>限制科技项目的申报</w:t>
            </w:r>
            <w:r>
              <w:rPr>
                <w:rFonts w:hint="eastAsia"/>
                <w:color w:val="000000"/>
                <w:spacing w:val="0"/>
                <w:w w:val="100"/>
                <w:position w:val="0"/>
                <w:sz w:val="20"/>
                <w:szCs w:val="20"/>
                <w:lang w:eastAsia="zh-CN"/>
              </w:rPr>
              <w:t>和审批。</w:t>
            </w:r>
          </w:p>
          <w:p>
            <w:pPr>
              <w:pStyle w:val="21"/>
              <w:keepNext w:val="0"/>
              <w:keepLines w:val="0"/>
              <w:widowControl w:val="0"/>
              <w:numPr>
                <w:ilvl w:val="0"/>
                <w:numId w:val="0"/>
              </w:numPr>
              <w:shd w:val="clear" w:color="auto" w:fill="auto"/>
              <w:bidi w:val="0"/>
              <w:spacing w:before="0" w:after="0" w:line="499" w:lineRule="exact"/>
              <w:ind w:leftChars="0" w:right="0" w:rightChars="0"/>
              <w:jc w:val="both"/>
              <w:rPr>
                <w:rFonts w:hint="eastAsia"/>
                <w:color w:val="000000"/>
                <w:spacing w:val="0"/>
                <w:w w:val="100"/>
                <w:position w:val="0"/>
                <w:sz w:val="20"/>
                <w:szCs w:val="20"/>
                <w:lang w:eastAsia="zh-CN"/>
              </w:rPr>
            </w:pPr>
          </w:p>
        </w:tc>
        <w:tc>
          <w:tcPr>
            <w:tcBorders>
              <w:top w:val="single" w:color="auto" w:sz="4" w:space="0"/>
              <w:left w:val="single" w:color="auto" w:sz="4" w:space="0"/>
              <w:bottom w:val="single" w:color="auto" w:sz="4" w:space="0"/>
            </w:tcBorders>
            <w:shd w:val="clear" w:color="auto" w:fill="FFFFFF"/>
            <w:vAlign w:val="bottom"/>
          </w:tcPr>
          <w:p>
            <w:pPr>
              <w:pStyle w:val="21"/>
              <w:keepNext w:val="0"/>
              <w:keepLines w:val="0"/>
              <w:widowControl w:val="0"/>
              <w:shd w:val="clear" w:color="auto" w:fill="auto"/>
              <w:bidi w:val="0"/>
              <w:spacing w:before="0" w:after="0" w:line="490" w:lineRule="exact"/>
              <w:ind w:left="0" w:right="0" w:firstLine="200"/>
              <w:jc w:val="left"/>
              <w:rPr>
                <w:color w:val="000000"/>
                <w:spacing w:val="0"/>
                <w:w w:val="100"/>
                <w:position w:val="0"/>
                <w:sz w:val="20"/>
                <w:szCs w:val="20"/>
              </w:rPr>
            </w:pPr>
            <w:r>
              <w:rPr>
                <w:color w:val="000000"/>
                <w:spacing w:val="0"/>
                <w:w w:val="100"/>
                <w:position w:val="0"/>
                <w:sz w:val="20"/>
                <w:szCs w:val="20"/>
              </w:rPr>
              <w:t>《国务院关于建立完善守信联合激励和失信联合惩戒制度加快推进社会诚信建设的指导意见》第（十）项</w:t>
            </w:r>
          </w:p>
          <w:p>
            <w:pPr>
              <w:pStyle w:val="21"/>
              <w:keepNext w:val="0"/>
              <w:keepLines w:val="0"/>
              <w:widowControl w:val="0"/>
              <w:shd w:val="clear" w:color="auto" w:fill="auto"/>
              <w:bidi w:val="0"/>
              <w:spacing w:before="0" w:after="0" w:line="490" w:lineRule="exact"/>
              <w:ind w:left="0" w:right="0" w:firstLine="200"/>
              <w:jc w:val="left"/>
              <w:rPr>
                <w:color w:val="000000"/>
                <w:spacing w:val="0"/>
                <w:w w:val="100"/>
                <w:position w:val="0"/>
                <w:sz w:val="20"/>
                <w:szCs w:val="20"/>
              </w:rPr>
            </w:pP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科技部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2784"/>
        <w:gridCol w:w="9474"/>
        <w:gridCol w:w="1969"/>
      </w:tblGrid>
      <w:tr>
        <w:tblPrEx>
          <w:tblCellMar>
            <w:top w:w="0" w:type="dxa"/>
            <w:left w:w="10" w:type="dxa"/>
            <w:bottom w:w="0" w:type="dxa"/>
            <w:right w:w="10" w:type="dxa"/>
          </w:tblCellMar>
        </w:tblPrEx>
        <w:trPr>
          <w:trHeight w:val="80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W w:w="9474"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00"/>
              <w:jc w:val="both"/>
              <w:rPr>
                <w:sz w:val="20"/>
                <w:szCs w:val="20"/>
              </w:rPr>
            </w:pPr>
            <w:r>
              <w:rPr>
                <w:color w:val="000000"/>
                <w:spacing w:val="0"/>
                <w:w w:val="100"/>
                <w:position w:val="0"/>
                <w:sz w:val="20"/>
                <w:szCs w:val="20"/>
              </w:rPr>
              <w:t>《国家科技计划项目管理暂行办法》第八条（六）项</w:t>
            </w:r>
          </w:p>
        </w:tc>
        <w:tc>
          <w:tcPr>
            <w:tcW w:w="196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059"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360" w:lineRule="exact"/>
              <w:ind w:left="0" w:right="0" w:firstLine="0"/>
              <w:jc w:val="both"/>
              <w:rPr>
                <w:sz w:val="20"/>
                <w:szCs w:val="20"/>
              </w:rPr>
            </w:pPr>
            <w:r>
              <w:rPr>
                <w:rFonts w:hint="eastAsia"/>
                <w:color w:val="000000"/>
                <w:spacing w:val="0"/>
                <w:w w:val="100"/>
                <w:position w:val="0"/>
                <w:sz w:val="20"/>
                <w:szCs w:val="20"/>
                <w:lang w:val="en-US" w:eastAsia="zh-CN"/>
              </w:rPr>
              <w:t>7.</w:t>
            </w:r>
            <w:r>
              <w:rPr>
                <w:color w:val="000000"/>
                <w:spacing w:val="0"/>
                <w:w w:val="100"/>
                <w:position w:val="0"/>
                <w:sz w:val="20"/>
                <w:szCs w:val="20"/>
              </w:rPr>
              <w:t>从严审核企业债券的发行，从严审核发行公司债券，将惩戒对象的失信行为作为股票发行审核及在全国中小企业股份转让单位公开转让审核参考°</w:t>
            </w:r>
          </w:p>
        </w:tc>
        <w:tc>
          <w:tcPr>
            <w:tcW w:w="9474" w:type="dxa"/>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58" w:lineRule="exact"/>
              <w:ind w:left="0" w:right="0" w:firstLine="200"/>
              <w:jc w:val="both"/>
              <w:rPr>
                <w:sz w:val="20"/>
                <w:szCs w:val="20"/>
              </w:rPr>
            </w:pPr>
            <w:r>
              <w:rPr>
                <w:color w:val="000000"/>
                <w:spacing w:val="0"/>
                <w:w w:val="100"/>
                <w:position w:val="0"/>
                <w:sz w:val="20"/>
                <w:szCs w:val="20"/>
              </w:rPr>
              <w:t>《证券法》第十三条第一款第（三）项</w:t>
            </w:r>
          </w:p>
          <w:p>
            <w:pPr>
              <w:pStyle w:val="21"/>
              <w:keepNext w:val="0"/>
              <w:keepLines w:val="0"/>
              <w:widowControl w:val="0"/>
              <w:shd w:val="clear" w:color="auto" w:fill="auto"/>
              <w:bidi w:val="0"/>
              <w:spacing w:before="0" w:after="0" w:line="358" w:lineRule="exact"/>
              <w:ind w:left="0" w:right="0" w:firstLine="200"/>
              <w:jc w:val="both"/>
              <w:rPr>
                <w:sz w:val="20"/>
                <w:szCs w:val="20"/>
              </w:rPr>
            </w:pPr>
            <w:r>
              <w:rPr>
                <w:color w:val="000000"/>
                <w:spacing w:val="0"/>
                <w:w w:val="100"/>
                <w:position w:val="0"/>
                <w:sz w:val="20"/>
                <w:szCs w:val="20"/>
              </w:rPr>
              <w:t>《企业债券管理条例》第十二条第五项</w:t>
            </w:r>
          </w:p>
          <w:p>
            <w:pPr>
              <w:pStyle w:val="21"/>
              <w:keepNext w:val="0"/>
              <w:keepLines w:val="0"/>
              <w:widowControl w:val="0"/>
              <w:shd w:val="clear" w:color="auto" w:fill="auto"/>
              <w:bidi w:val="0"/>
              <w:spacing w:before="0" w:after="0" w:line="358" w:lineRule="exact"/>
              <w:ind w:left="0" w:right="0" w:firstLine="200"/>
              <w:jc w:val="both"/>
              <w:rPr>
                <w:sz w:val="20"/>
                <w:szCs w:val="20"/>
              </w:rPr>
            </w:pPr>
            <w:r>
              <w:rPr>
                <w:color w:val="000000"/>
                <w:spacing w:val="0"/>
                <w:w w:val="100"/>
                <w:position w:val="0"/>
                <w:sz w:val="20"/>
                <w:szCs w:val="20"/>
              </w:rPr>
              <w:t>《国务院关于建立完善守信联合激励和失信联合惩戒制度加快推进社会诚信建设的指导 意见》第（十）项</w:t>
            </w:r>
          </w:p>
          <w:p>
            <w:pPr>
              <w:pStyle w:val="21"/>
              <w:keepNext w:val="0"/>
              <w:keepLines w:val="0"/>
              <w:widowControl w:val="0"/>
              <w:shd w:val="clear" w:color="auto" w:fill="auto"/>
              <w:bidi w:val="0"/>
              <w:spacing w:before="0" w:after="0" w:line="358" w:lineRule="exact"/>
              <w:ind w:left="0" w:right="0" w:firstLine="200"/>
              <w:jc w:val="both"/>
              <w:rPr>
                <w:sz w:val="20"/>
                <w:szCs w:val="20"/>
              </w:rPr>
            </w:pPr>
            <w:r>
              <w:rPr>
                <w:color w:val="000000"/>
                <w:spacing w:val="0"/>
                <w:w w:val="100"/>
                <w:position w:val="0"/>
                <w:sz w:val="20"/>
                <w:szCs w:val="20"/>
              </w:rPr>
              <w:t>《国家发展改革委关于推进企业债券市场发展、简化发行核准程序有关事项的通知》第 二条第七项</w:t>
            </w:r>
          </w:p>
          <w:p>
            <w:pPr>
              <w:pStyle w:val="21"/>
              <w:keepNext w:val="0"/>
              <w:keepLines w:val="0"/>
              <w:widowControl w:val="0"/>
              <w:shd w:val="clear" w:color="auto" w:fill="auto"/>
              <w:bidi w:val="0"/>
              <w:spacing w:before="0" w:after="0" w:line="358" w:lineRule="exact"/>
              <w:ind w:left="0" w:right="0" w:firstLine="200"/>
              <w:jc w:val="both"/>
              <w:rPr>
                <w:sz w:val="20"/>
                <w:szCs w:val="20"/>
              </w:rPr>
            </w:pPr>
            <w:r>
              <w:rPr>
                <w:color w:val="000000"/>
                <w:spacing w:val="0"/>
                <w:w w:val="100"/>
                <w:position w:val="0"/>
                <w:sz w:val="20"/>
                <w:szCs w:val="20"/>
              </w:rPr>
              <w:t>《国家发展改革委、中国人民银行、中央编办关于在行政管理事项中使用信用记录和信用报告的若干意见》</w:t>
            </w:r>
          </w:p>
          <w:p>
            <w:pPr>
              <w:pStyle w:val="21"/>
              <w:keepNext w:val="0"/>
              <w:keepLines w:val="0"/>
              <w:widowControl w:val="0"/>
              <w:shd w:val="clear" w:color="auto" w:fill="auto"/>
              <w:bidi w:val="0"/>
              <w:spacing w:before="0" w:after="0" w:line="358" w:lineRule="exact"/>
              <w:ind w:left="0" w:right="0" w:firstLine="200"/>
              <w:jc w:val="both"/>
              <w:rPr>
                <w:sz w:val="20"/>
                <w:szCs w:val="20"/>
              </w:rPr>
            </w:pPr>
            <w:r>
              <w:rPr>
                <w:color w:val="000000"/>
                <w:spacing w:val="0"/>
                <w:w w:val="100"/>
                <w:position w:val="0"/>
                <w:sz w:val="20"/>
                <w:szCs w:val="20"/>
              </w:rPr>
              <w:t>《公司债券发行与交易管理办法》第十七条第（一）、（四）项</w:t>
            </w:r>
          </w:p>
          <w:p>
            <w:pPr>
              <w:pStyle w:val="21"/>
              <w:keepNext w:val="0"/>
              <w:keepLines w:val="0"/>
              <w:widowControl w:val="0"/>
              <w:shd w:val="clear" w:color="auto" w:fill="auto"/>
              <w:bidi w:val="0"/>
              <w:spacing w:before="0" w:after="0" w:line="358" w:lineRule="exact"/>
              <w:ind w:left="0" w:right="0" w:firstLine="200"/>
              <w:jc w:val="both"/>
              <w:rPr>
                <w:sz w:val="20"/>
                <w:szCs w:val="20"/>
              </w:rPr>
            </w:pPr>
            <w:r>
              <w:rPr>
                <w:color w:val="000000"/>
                <w:spacing w:val="0"/>
                <w:w w:val="100"/>
                <w:position w:val="0"/>
                <w:sz w:val="20"/>
                <w:szCs w:val="20"/>
              </w:rPr>
              <w:t>《首次公开发行股票并上市管理办法》第十八条第（二）、（六）项</w:t>
            </w:r>
          </w:p>
          <w:p>
            <w:pPr>
              <w:pStyle w:val="21"/>
              <w:keepNext w:val="0"/>
              <w:keepLines w:val="0"/>
              <w:widowControl w:val="0"/>
              <w:shd w:val="clear" w:color="auto" w:fill="auto"/>
              <w:bidi w:val="0"/>
              <w:spacing w:before="0" w:after="0" w:line="358" w:lineRule="exact"/>
              <w:ind w:left="0" w:right="0" w:firstLine="200"/>
              <w:jc w:val="both"/>
              <w:rPr>
                <w:sz w:val="20"/>
                <w:szCs w:val="20"/>
              </w:rPr>
            </w:pPr>
            <w:r>
              <w:rPr>
                <w:color w:val="000000"/>
                <w:spacing w:val="0"/>
                <w:w w:val="100"/>
                <w:position w:val="0"/>
                <w:sz w:val="20"/>
                <w:szCs w:val="20"/>
              </w:rPr>
              <w:t>《首次公开发行股票并在创业板上市管理办法》第二十条</w:t>
            </w:r>
          </w:p>
          <w:p>
            <w:pPr>
              <w:pStyle w:val="21"/>
              <w:keepNext w:val="0"/>
              <w:keepLines w:val="0"/>
              <w:widowControl w:val="0"/>
              <w:shd w:val="clear" w:color="auto" w:fill="auto"/>
              <w:bidi w:val="0"/>
              <w:spacing w:before="0" w:after="0" w:line="358" w:lineRule="exact"/>
              <w:ind w:left="0" w:right="0" w:firstLine="200"/>
              <w:jc w:val="both"/>
              <w:rPr>
                <w:sz w:val="20"/>
                <w:szCs w:val="20"/>
              </w:rPr>
            </w:pPr>
            <w:r>
              <w:rPr>
                <w:color w:val="000000"/>
                <w:spacing w:val="0"/>
                <w:w w:val="100"/>
                <w:position w:val="0"/>
                <w:sz w:val="20"/>
                <w:szCs w:val="20"/>
              </w:rPr>
              <w:t>《上市公司证券发行管理办法》</w:t>
            </w:r>
            <w:r>
              <w:rPr>
                <w:i/>
                <w:iCs/>
                <w:color w:val="000000"/>
                <w:spacing w:val="0"/>
                <w:w w:val="100"/>
                <w:position w:val="0"/>
                <w:sz w:val="20"/>
                <w:szCs w:val="20"/>
              </w:rPr>
              <w:t>第九条第</w:t>
            </w:r>
            <w:r>
              <w:rPr>
                <w:color w:val="000000"/>
                <w:spacing w:val="0"/>
                <w:w w:val="100"/>
                <w:position w:val="0"/>
                <w:sz w:val="20"/>
                <w:szCs w:val="20"/>
              </w:rPr>
              <w:t>（三）项</w:t>
            </w:r>
          </w:p>
          <w:p>
            <w:pPr>
              <w:pStyle w:val="21"/>
              <w:keepNext w:val="0"/>
              <w:keepLines w:val="0"/>
              <w:widowControl w:val="0"/>
              <w:shd w:val="clear" w:color="auto" w:fill="auto"/>
              <w:bidi w:val="0"/>
              <w:spacing w:before="0" w:after="0" w:line="358" w:lineRule="exact"/>
              <w:ind w:left="0" w:right="0" w:firstLine="200"/>
              <w:jc w:val="both"/>
              <w:rPr>
                <w:sz w:val="20"/>
                <w:szCs w:val="20"/>
              </w:rPr>
            </w:pPr>
            <w:r>
              <w:rPr>
                <w:color w:val="000000"/>
                <w:spacing w:val="0"/>
                <w:w w:val="100"/>
                <w:position w:val="0"/>
                <w:sz w:val="20"/>
                <w:szCs w:val="20"/>
              </w:rPr>
              <w:t>《创业板上市公司证券发行管理暂行办法》第三条</w:t>
            </w:r>
          </w:p>
          <w:p>
            <w:pPr>
              <w:pStyle w:val="21"/>
              <w:keepNext w:val="0"/>
              <w:keepLines w:val="0"/>
              <w:widowControl w:val="0"/>
              <w:shd w:val="clear" w:color="auto" w:fill="auto"/>
              <w:bidi w:val="0"/>
              <w:spacing w:before="0" w:after="0" w:line="358" w:lineRule="exact"/>
              <w:ind w:left="0" w:right="0" w:firstLine="200"/>
              <w:jc w:val="both"/>
              <w:rPr>
                <w:sz w:val="20"/>
                <w:szCs w:val="20"/>
              </w:rPr>
            </w:pPr>
            <w:r>
              <w:rPr>
                <w:color w:val="000000"/>
                <w:spacing w:val="0"/>
                <w:w w:val="100"/>
                <w:position w:val="0"/>
                <w:sz w:val="20"/>
                <w:szCs w:val="20"/>
              </w:rPr>
              <w:t>《非上市公众公司监督管理办法》第三条</w:t>
            </w:r>
          </w:p>
        </w:tc>
        <w:tc>
          <w:tcPr>
            <w:tcW w:w="1969" w:type="dxa"/>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394" w:lineRule="exact"/>
              <w:ind w:left="0" w:right="0" w:firstLine="0"/>
              <w:jc w:val="center"/>
              <w:rPr>
                <w:color w:val="000000"/>
                <w:spacing w:val="0"/>
                <w:w w:val="100"/>
                <w:position w:val="0"/>
                <w:sz w:val="20"/>
                <w:szCs w:val="20"/>
              </w:rPr>
            </w:pPr>
            <w:r>
              <w:rPr>
                <w:color w:val="000000"/>
                <w:spacing w:val="0"/>
                <w:w w:val="100"/>
                <w:position w:val="0"/>
                <w:sz w:val="20"/>
                <w:szCs w:val="20"/>
              </w:rPr>
              <w:t>国家发展改革委、</w:t>
            </w:r>
          </w:p>
          <w:p>
            <w:pPr>
              <w:pStyle w:val="21"/>
              <w:keepNext w:val="0"/>
              <w:keepLines w:val="0"/>
              <w:widowControl w:val="0"/>
              <w:shd w:val="clear" w:color="auto" w:fill="auto"/>
              <w:bidi w:val="0"/>
              <w:spacing w:before="0" w:after="0" w:line="394" w:lineRule="exact"/>
              <w:ind w:left="0" w:right="0" w:firstLine="0"/>
              <w:jc w:val="center"/>
              <w:rPr>
                <w:sz w:val="20"/>
                <w:szCs w:val="20"/>
              </w:rPr>
            </w:pPr>
            <w:r>
              <w:rPr>
                <w:color w:val="000000"/>
                <w:spacing w:val="0"/>
                <w:w w:val="100"/>
                <w:position w:val="0"/>
                <w:sz w:val="20"/>
                <w:szCs w:val="20"/>
              </w:rPr>
              <w:t>证监会</w:t>
            </w:r>
          </w:p>
        </w:tc>
      </w:tr>
      <w:tr>
        <w:tblPrEx>
          <w:tblCellMar>
            <w:top w:w="0" w:type="dxa"/>
            <w:left w:w="10" w:type="dxa"/>
            <w:bottom w:w="0" w:type="dxa"/>
            <w:right w:w="10" w:type="dxa"/>
          </w:tblCellMar>
        </w:tblPrEx>
        <w:trPr>
          <w:trHeight w:val="1546"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374" w:lineRule="exact"/>
              <w:ind w:left="0" w:right="0" w:firstLine="0"/>
              <w:jc w:val="both"/>
              <w:rPr>
                <w:sz w:val="20"/>
                <w:szCs w:val="20"/>
              </w:rPr>
            </w:pPr>
            <w:r>
              <w:rPr>
                <w:rFonts w:hint="eastAsia"/>
                <w:color w:val="000000"/>
                <w:spacing w:val="0"/>
                <w:w w:val="100"/>
                <w:position w:val="0"/>
                <w:sz w:val="20"/>
                <w:szCs w:val="20"/>
                <w:lang w:val="en-US" w:eastAsia="zh-CN"/>
              </w:rPr>
              <w:t>8.</w:t>
            </w:r>
            <w:r>
              <w:rPr>
                <w:color w:val="000000"/>
                <w:spacing w:val="0"/>
                <w:w w:val="100"/>
                <w:position w:val="0"/>
                <w:sz w:val="20"/>
                <w:szCs w:val="20"/>
              </w:rPr>
              <w:t>禁止作为供应商参加 政府采购活动.</w:t>
            </w:r>
          </w:p>
        </w:tc>
        <w:tc>
          <w:tcPr>
            <w:tcW w:w="9474" w:type="dxa"/>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55" w:lineRule="exact"/>
              <w:ind w:left="0" w:right="0" w:firstLine="200"/>
              <w:jc w:val="both"/>
              <w:rPr>
                <w:sz w:val="20"/>
                <w:szCs w:val="20"/>
              </w:rPr>
            </w:pPr>
            <w:r>
              <w:rPr>
                <w:color w:val="000000"/>
                <w:spacing w:val="0"/>
                <w:w w:val="100"/>
                <w:position w:val="0"/>
                <w:sz w:val="20"/>
                <w:szCs w:val="20"/>
              </w:rPr>
              <w:t>《中华人民共和国釆购法》第二十二条</w:t>
            </w:r>
          </w:p>
          <w:p>
            <w:pPr>
              <w:pStyle w:val="21"/>
              <w:keepNext w:val="0"/>
              <w:keepLines w:val="0"/>
              <w:widowControl w:val="0"/>
              <w:shd w:val="clear" w:color="auto" w:fill="auto"/>
              <w:bidi w:val="0"/>
              <w:spacing w:before="0" w:after="0" w:line="355" w:lineRule="exact"/>
              <w:ind w:left="0" w:right="0" w:firstLine="200"/>
              <w:jc w:val="both"/>
              <w:rPr>
                <w:sz w:val="20"/>
                <w:szCs w:val="20"/>
              </w:rPr>
            </w:pPr>
            <w:r>
              <w:rPr>
                <w:color w:val="000000"/>
                <w:spacing w:val="0"/>
                <w:w w:val="100"/>
                <w:position w:val="0"/>
                <w:sz w:val="20"/>
                <w:szCs w:val="20"/>
              </w:rPr>
              <w:t>《中华人民共和国釆购法实施条例》第十九条</w:t>
            </w:r>
          </w:p>
          <w:p>
            <w:pPr>
              <w:pStyle w:val="21"/>
              <w:keepNext w:val="0"/>
              <w:keepLines w:val="0"/>
              <w:widowControl w:val="0"/>
              <w:shd w:val="clear" w:color="auto" w:fill="auto"/>
              <w:bidi w:val="0"/>
              <w:spacing w:before="0" w:after="0" w:line="355" w:lineRule="exact"/>
              <w:ind w:left="0" w:right="0" w:firstLine="200"/>
              <w:jc w:val="both"/>
              <w:rPr>
                <w:sz w:val="20"/>
                <w:szCs w:val="20"/>
              </w:rPr>
            </w:pPr>
            <w:r>
              <w:rPr>
                <w:color w:val="000000"/>
                <w:spacing w:val="0"/>
                <w:w w:val="100"/>
                <w:position w:val="0"/>
                <w:sz w:val="20"/>
                <w:szCs w:val="20"/>
              </w:rPr>
              <w:t>《国务院关于建立完善守信联合激励和失信惩戒制度加快推进社会诚信建设的指导意见》第（十）项</w:t>
            </w:r>
          </w:p>
        </w:tc>
        <w:tc>
          <w:tcPr>
            <w:tcW w:w="19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财政部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2774"/>
        <w:gridCol w:w="9350"/>
        <w:gridCol w:w="2093"/>
      </w:tblGrid>
      <w:tr>
        <w:tblPrEx>
          <w:tblCellMar>
            <w:top w:w="0" w:type="dxa"/>
            <w:left w:w="10" w:type="dxa"/>
            <w:bottom w:w="0" w:type="dxa"/>
            <w:right w:w="10" w:type="dxa"/>
          </w:tblCellMar>
        </w:tblPrEx>
        <w:trPr>
          <w:trHeight w:val="2170"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341" w:lineRule="exact"/>
              <w:ind w:left="0" w:right="0" w:firstLine="0"/>
              <w:jc w:val="both"/>
              <w:rPr>
                <w:sz w:val="20"/>
                <w:szCs w:val="20"/>
              </w:rPr>
            </w:pPr>
            <w:r>
              <w:rPr>
                <w:rFonts w:hint="eastAsia"/>
                <w:color w:val="000000"/>
                <w:spacing w:val="0"/>
                <w:w w:val="100"/>
                <w:position w:val="0"/>
                <w:sz w:val="20"/>
                <w:szCs w:val="20"/>
                <w:lang w:val="en-US" w:eastAsia="zh-CN"/>
              </w:rPr>
              <w:t>9.</w:t>
            </w:r>
            <w:r>
              <w:rPr>
                <w:color w:val="000000"/>
                <w:spacing w:val="0"/>
                <w:w w:val="100"/>
                <w:position w:val="0"/>
                <w:sz w:val="20"/>
                <w:szCs w:val="20"/>
              </w:rPr>
              <w:t>限制发起设立或参股金融机构以及小额贷歉公司、融资担保公司、创业投资公司、互联网融资平台等机构。</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336" w:lineRule="exact"/>
              <w:ind w:left="0" w:right="0" w:firstLine="200"/>
              <w:jc w:val="left"/>
              <w:rPr>
                <w:sz w:val="20"/>
                <w:szCs w:val="20"/>
              </w:rPr>
            </w:pPr>
            <w:r>
              <w:rPr>
                <w:color w:val="000000"/>
                <w:spacing w:val="0"/>
                <w:w w:val="100"/>
                <w:position w:val="0"/>
                <w:sz w:val="20"/>
                <w:szCs w:val="20"/>
              </w:rPr>
              <w:t>《国务院关于建立完善守信联合激励和失信惩戒制度加快推进社会诚信建设的指导意 见》第（十）项</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336" w:lineRule="exact"/>
              <w:ind w:left="0" w:right="0" w:firstLine="0"/>
              <w:jc w:val="left"/>
              <w:rPr>
                <w:sz w:val="20"/>
                <w:szCs w:val="20"/>
              </w:rPr>
            </w:pPr>
            <w:r>
              <w:rPr>
                <w:color w:val="000000"/>
                <w:spacing w:val="0"/>
                <w:w w:val="100"/>
                <w:position w:val="0"/>
                <w:sz w:val="20"/>
                <w:szCs w:val="20"/>
              </w:rPr>
              <w:t>银监会、保监会、 财政部、中央网信办</w:t>
            </w:r>
          </w:p>
        </w:tc>
      </w:tr>
      <w:tr>
        <w:tblPrEx>
          <w:tblCellMar>
            <w:top w:w="0" w:type="dxa"/>
            <w:left w:w="10" w:type="dxa"/>
            <w:bottom w:w="0" w:type="dxa"/>
            <w:right w:w="10" w:type="dxa"/>
          </w:tblCellMar>
        </w:tblPrEx>
        <w:trPr>
          <w:trHeight w:val="2777"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403" w:lineRule="exact"/>
              <w:ind w:left="0" w:right="0" w:firstLine="0"/>
              <w:jc w:val="both"/>
              <w:rPr>
                <w:sz w:val="20"/>
                <w:szCs w:val="20"/>
              </w:rPr>
            </w:pPr>
            <w:r>
              <w:rPr>
                <w:rFonts w:hint="eastAsia"/>
                <w:color w:val="000000"/>
                <w:spacing w:val="0"/>
                <w:w w:val="100"/>
                <w:position w:val="0"/>
                <w:sz w:val="20"/>
                <w:szCs w:val="20"/>
                <w:lang w:val="en-US" w:eastAsia="zh-CN"/>
              </w:rPr>
              <w:t>10.</w:t>
            </w:r>
            <w:r>
              <w:rPr>
                <w:color w:val="000000"/>
                <w:spacing w:val="0"/>
                <w:w w:val="100"/>
                <w:position w:val="0"/>
                <w:sz w:val="20"/>
                <w:szCs w:val="20"/>
              </w:rPr>
              <w:t>限制参与政府投资公共工程建设的投标活动。</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403" w:lineRule="exact"/>
              <w:ind w:left="0" w:right="0" w:firstLine="200"/>
              <w:jc w:val="left"/>
              <w:rPr>
                <w:sz w:val="20"/>
                <w:szCs w:val="20"/>
              </w:rPr>
            </w:pPr>
            <w:r>
              <w:rPr>
                <w:color w:val="000000"/>
                <w:spacing w:val="0"/>
                <w:w w:val="100"/>
                <w:position w:val="0"/>
                <w:sz w:val="20"/>
                <w:szCs w:val="20"/>
              </w:rPr>
              <w:t>《企业信息公示暂行条例》第十八条</w:t>
            </w:r>
          </w:p>
          <w:p>
            <w:pPr>
              <w:pStyle w:val="21"/>
              <w:keepNext w:val="0"/>
              <w:keepLines w:val="0"/>
              <w:widowControl w:val="0"/>
              <w:shd w:val="clear" w:color="auto" w:fill="auto"/>
              <w:bidi w:val="0"/>
              <w:spacing w:before="0" w:after="0" w:line="403" w:lineRule="exact"/>
              <w:ind w:left="0" w:right="0" w:firstLine="200"/>
              <w:jc w:val="left"/>
              <w:rPr>
                <w:sz w:val="20"/>
                <w:szCs w:val="20"/>
              </w:rPr>
            </w:pPr>
            <w:r>
              <w:rPr>
                <w:color w:val="000000"/>
                <w:spacing w:val="0"/>
                <w:w w:val="100"/>
                <w:position w:val="0"/>
                <w:sz w:val="20"/>
                <w:szCs w:val="20"/>
              </w:rPr>
              <w:t>《国务院关于建立完善守信联合激励和失信惩戒制度加快推进社会诚信建设的指导意 见》第（十）项</w:t>
            </w:r>
          </w:p>
          <w:p>
            <w:pPr>
              <w:pStyle w:val="21"/>
              <w:keepNext w:val="0"/>
              <w:keepLines w:val="0"/>
              <w:widowControl w:val="0"/>
              <w:shd w:val="clear" w:color="auto" w:fill="auto"/>
              <w:bidi w:val="0"/>
              <w:spacing w:before="0" w:after="0" w:line="403" w:lineRule="exact"/>
              <w:ind w:left="0" w:right="0" w:firstLine="200"/>
              <w:jc w:val="left"/>
              <w:rPr>
                <w:sz w:val="20"/>
                <w:szCs w:val="20"/>
              </w:rPr>
            </w:pPr>
            <w:r>
              <w:rPr>
                <w:color w:val="000000"/>
                <w:spacing w:val="0"/>
                <w:w w:val="100"/>
                <w:position w:val="0"/>
                <w:sz w:val="20"/>
                <w:szCs w:val="20"/>
              </w:rPr>
              <w:t>《国务院办公厅关于运用大数据加强对市场主体服务和监管的若干意见》第四条第（十 五）项建立健全失信联合惩戒机制</w:t>
            </w:r>
          </w:p>
          <w:p>
            <w:pPr>
              <w:pStyle w:val="21"/>
              <w:keepNext w:val="0"/>
              <w:keepLines w:val="0"/>
              <w:widowControl w:val="0"/>
              <w:shd w:val="clear" w:color="auto" w:fill="auto"/>
              <w:bidi w:val="0"/>
              <w:spacing w:before="0" w:after="0" w:line="403" w:lineRule="exact"/>
              <w:ind w:left="0" w:right="0" w:firstLine="200"/>
              <w:jc w:val="left"/>
              <w:rPr>
                <w:color w:val="000000"/>
                <w:spacing w:val="0"/>
                <w:w w:val="100"/>
                <w:position w:val="0"/>
                <w:sz w:val="20"/>
                <w:szCs w:val="20"/>
              </w:rPr>
            </w:pPr>
            <w:r>
              <w:rPr>
                <w:color w:val="000000"/>
                <w:spacing w:val="0"/>
                <w:w w:val="100"/>
                <w:position w:val="0"/>
                <w:sz w:val="20"/>
                <w:szCs w:val="20"/>
              </w:rPr>
              <w:t>《工程建设项目施工招标投标办法》第二十条</w:t>
            </w:r>
          </w:p>
          <w:p>
            <w:pPr>
              <w:pStyle w:val="21"/>
              <w:keepNext w:val="0"/>
              <w:keepLines w:val="0"/>
              <w:widowControl w:val="0"/>
              <w:shd w:val="clear" w:color="auto" w:fill="auto"/>
              <w:bidi w:val="0"/>
              <w:spacing w:before="0" w:after="0" w:line="403" w:lineRule="exact"/>
              <w:ind w:left="0" w:right="0" w:firstLine="200"/>
              <w:jc w:val="left"/>
              <w:rPr>
                <w:color w:val="000000"/>
                <w:spacing w:val="0"/>
                <w:w w:val="100"/>
                <w:position w:val="0"/>
                <w:sz w:val="20"/>
                <w:szCs w:val="20"/>
              </w:rPr>
            </w:pP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359" w:lineRule="exact"/>
              <w:ind w:left="0" w:right="0" w:firstLine="0"/>
              <w:jc w:val="center"/>
              <w:rPr>
                <w:sz w:val="20"/>
                <w:szCs w:val="20"/>
              </w:rPr>
            </w:pPr>
            <w:r>
              <w:rPr>
                <w:color w:val="000000"/>
                <w:spacing w:val="0"/>
                <w:w w:val="100"/>
                <w:position w:val="0"/>
                <w:sz w:val="20"/>
                <w:szCs w:val="20"/>
              </w:rPr>
              <w:t>国家发展改革委、工业和信息化部、住房城乡建设部、交通运输部、水利 部、商务部、民航 局、铁路总公司</w:t>
            </w:r>
          </w:p>
        </w:tc>
      </w:tr>
      <w:tr>
        <w:tblPrEx>
          <w:tblCellMar>
            <w:top w:w="0" w:type="dxa"/>
            <w:left w:w="10" w:type="dxa"/>
            <w:bottom w:w="0" w:type="dxa"/>
            <w:right w:w="10" w:type="dxa"/>
          </w:tblCellMar>
        </w:tblPrEx>
        <w:trPr>
          <w:trHeight w:val="2927" w:hRule="exact"/>
          <w:jc w:val="center"/>
        </w:trPr>
        <w:tc>
          <w:tcPr>
            <w:tcBorders>
              <w:top w:val="single" w:color="auto" w:sz="4" w:space="0"/>
              <w:left w:val="single" w:color="auto" w:sz="4" w:space="0"/>
              <w:bottom w:val="single" w:color="auto" w:sz="4" w:space="0"/>
            </w:tcBorders>
            <w:shd w:val="clear" w:color="auto" w:fill="FFFFFF"/>
            <w:vAlign w:val="bottom"/>
          </w:tcPr>
          <w:p>
            <w:pPr>
              <w:pStyle w:val="21"/>
              <w:keepNext w:val="0"/>
              <w:keepLines w:val="0"/>
              <w:widowControl w:val="0"/>
              <w:numPr>
                <w:ilvl w:val="0"/>
                <w:numId w:val="3"/>
              </w:numPr>
              <w:shd w:val="clear" w:color="auto" w:fill="auto"/>
              <w:bidi w:val="0"/>
              <w:spacing w:before="0" w:after="0" w:line="397" w:lineRule="exact"/>
              <w:ind w:left="0" w:right="0" w:firstLine="0"/>
              <w:jc w:val="both"/>
              <w:rPr>
                <w:color w:val="000000"/>
                <w:spacing w:val="0"/>
                <w:w w:val="100"/>
                <w:position w:val="0"/>
                <w:sz w:val="20"/>
                <w:szCs w:val="20"/>
              </w:rPr>
            </w:pPr>
            <w:r>
              <w:rPr>
                <w:color w:val="000000"/>
                <w:spacing w:val="0"/>
                <w:w w:val="100"/>
                <w:position w:val="0"/>
                <w:sz w:val="20"/>
                <w:szCs w:val="20"/>
              </w:rPr>
              <w:t>限制或者禁止參与基 础设施和公用事业特许经管，依法取消已获得的特许经营权。</w:t>
            </w:r>
          </w:p>
          <w:p>
            <w:pPr>
              <w:pStyle w:val="21"/>
              <w:keepNext w:val="0"/>
              <w:keepLines w:val="0"/>
              <w:widowControl w:val="0"/>
              <w:numPr>
                <w:ilvl w:val="0"/>
                <w:numId w:val="0"/>
              </w:numPr>
              <w:shd w:val="clear" w:color="auto" w:fill="auto"/>
              <w:bidi w:val="0"/>
              <w:spacing w:before="0" w:after="0" w:line="397" w:lineRule="exact"/>
              <w:ind w:leftChars="0" w:right="0" w:rightChars="0"/>
              <w:jc w:val="both"/>
              <w:rPr>
                <w:color w:val="000000"/>
                <w:spacing w:val="0"/>
                <w:w w:val="100"/>
                <w:position w:val="0"/>
                <w:sz w:val="20"/>
                <w:szCs w:val="20"/>
              </w:rPr>
            </w:pPr>
          </w:p>
          <w:p>
            <w:pPr>
              <w:pStyle w:val="21"/>
              <w:keepNext w:val="0"/>
              <w:keepLines w:val="0"/>
              <w:widowControl w:val="0"/>
              <w:numPr>
                <w:ilvl w:val="0"/>
                <w:numId w:val="0"/>
              </w:numPr>
              <w:shd w:val="clear" w:color="auto" w:fill="auto"/>
              <w:bidi w:val="0"/>
              <w:spacing w:before="0" w:after="0" w:line="397" w:lineRule="exact"/>
              <w:ind w:leftChars="0" w:right="0" w:rightChars="0"/>
              <w:jc w:val="both"/>
              <w:rPr>
                <w:color w:val="000000"/>
                <w:spacing w:val="0"/>
                <w:w w:val="100"/>
                <w:position w:val="0"/>
                <w:sz w:val="20"/>
                <w:szCs w:val="20"/>
              </w:rPr>
            </w:pPr>
          </w:p>
        </w:tc>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413" w:lineRule="exact"/>
              <w:ind w:left="0" w:right="0" w:firstLine="200"/>
              <w:jc w:val="left"/>
              <w:rPr>
                <w:sz w:val="20"/>
                <w:szCs w:val="20"/>
              </w:rPr>
            </w:pPr>
            <w:r>
              <w:rPr>
                <w:color w:val="000000"/>
                <w:spacing w:val="0"/>
                <w:w w:val="100"/>
                <w:position w:val="0"/>
                <w:sz w:val="20"/>
                <w:szCs w:val="20"/>
              </w:rPr>
              <w:t>《国务院关于建立完善守信联合激励和失信惩戒制度加快推进社会诚信建设的指导意见》第（十）项</w:t>
            </w:r>
          </w:p>
          <w:p>
            <w:pPr>
              <w:pStyle w:val="21"/>
              <w:keepNext w:val="0"/>
              <w:keepLines w:val="0"/>
              <w:widowControl w:val="0"/>
              <w:shd w:val="clear" w:color="auto" w:fill="auto"/>
              <w:bidi w:val="0"/>
              <w:spacing w:before="0" w:after="0" w:line="413" w:lineRule="exact"/>
              <w:ind w:left="0" w:right="0" w:firstLine="200"/>
              <w:jc w:val="left"/>
              <w:rPr>
                <w:sz w:val="20"/>
                <w:szCs w:val="20"/>
              </w:rPr>
            </w:pPr>
            <w:r>
              <w:rPr>
                <w:color w:val="000000"/>
                <w:spacing w:val="0"/>
                <w:w w:val="100"/>
                <w:position w:val="0"/>
                <w:sz w:val="20"/>
                <w:szCs w:val="20"/>
              </w:rPr>
              <w:t>《基础设施和公用事业脖许经营管理办法》第十七、五十三、五十六条</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403" w:lineRule="exact"/>
              <w:ind w:left="0" w:right="0" w:firstLine="0"/>
              <w:jc w:val="center"/>
              <w:rPr>
                <w:color w:val="000000"/>
                <w:spacing w:val="0"/>
                <w:w w:val="100"/>
                <w:position w:val="0"/>
                <w:sz w:val="20"/>
                <w:szCs w:val="20"/>
              </w:rPr>
            </w:pPr>
            <w:r>
              <w:rPr>
                <w:color w:val="000000"/>
                <w:spacing w:val="0"/>
                <w:w w:val="100"/>
                <w:position w:val="0"/>
                <w:sz w:val="20"/>
                <w:szCs w:val="20"/>
              </w:rPr>
              <w:t>国家发展改革委、 财政部、住房城乡建设部、交通运输部、水利部</w:t>
            </w:r>
          </w:p>
          <w:p>
            <w:pPr>
              <w:pStyle w:val="21"/>
              <w:keepNext w:val="0"/>
              <w:keepLines w:val="0"/>
              <w:widowControl w:val="0"/>
              <w:shd w:val="clear" w:color="auto" w:fill="auto"/>
              <w:bidi w:val="0"/>
              <w:spacing w:before="0" w:after="0" w:line="403" w:lineRule="exact"/>
              <w:ind w:left="0" w:right="0" w:firstLine="0"/>
              <w:jc w:val="center"/>
              <w:rPr>
                <w:color w:val="000000"/>
                <w:spacing w:val="0"/>
                <w:w w:val="100"/>
                <w:position w:val="0"/>
                <w:sz w:val="20"/>
                <w:szCs w:val="20"/>
              </w:rPr>
            </w:pPr>
          </w:p>
        </w:tc>
      </w:tr>
    </w:tbl>
    <w:p>
      <w:pPr>
        <w:sectPr>
          <w:footerReference r:id="rId8" w:type="default"/>
          <w:footnotePr>
            <w:numFmt w:val="decimal"/>
          </w:footnotePr>
          <w:pgSz w:w="16840" w:h="11900" w:orient="landscape"/>
          <w:pgMar w:top="1703" w:right="1290" w:bottom="1655" w:left="1324" w:header="1275" w:footer="3" w:gutter="0"/>
          <w:pgNumType w:fmt="decimal"/>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2784"/>
        <w:gridCol w:w="9341"/>
        <w:gridCol w:w="2093"/>
      </w:tblGrid>
      <w:tr>
        <w:tblPrEx>
          <w:tblCellMar>
            <w:top w:w="0" w:type="dxa"/>
            <w:left w:w="10" w:type="dxa"/>
            <w:bottom w:w="0" w:type="dxa"/>
            <w:right w:w="10" w:type="dxa"/>
          </w:tblCellMar>
        </w:tblPrEx>
        <w:trPr>
          <w:trHeight w:val="4042"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406" w:lineRule="exact"/>
              <w:ind w:left="0" w:right="0" w:firstLine="0"/>
              <w:jc w:val="both"/>
              <w:rPr>
                <w:sz w:val="20"/>
                <w:szCs w:val="20"/>
              </w:rPr>
            </w:pPr>
            <w:r>
              <w:rPr>
                <w:rFonts w:hint="eastAsia"/>
                <w:color w:val="000000"/>
                <w:spacing w:val="0"/>
                <w:w w:val="100"/>
                <w:position w:val="0"/>
                <w:sz w:val="20"/>
                <w:szCs w:val="20"/>
                <w:lang w:val="en-US" w:eastAsia="zh-CN"/>
              </w:rPr>
              <w:t>12.</w:t>
            </w:r>
            <w:r>
              <w:rPr>
                <w:color w:val="000000"/>
                <w:spacing w:val="0"/>
                <w:w w:val="100"/>
                <w:position w:val="0"/>
                <w:sz w:val="20"/>
                <w:szCs w:val="20"/>
              </w:rPr>
              <w:t>禁止惩戒对象在法定期眼内担任相关生产经营单位的法定代表人、负责人，巳经担任的依法责令办理变更登记。</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94" w:lineRule="exact"/>
              <w:ind w:left="0" w:right="0" w:firstLine="200"/>
              <w:jc w:val="left"/>
              <w:rPr>
                <w:sz w:val="20"/>
                <w:szCs w:val="20"/>
              </w:rPr>
            </w:pPr>
            <w:r>
              <w:rPr>
                <w:color w:val="000000"/>
                <w:spacing w:val="0"/>
                <w:w w:val="100"/>
                <w:position w:val="0"/>
                <w:sz w:val="20"/>
                <w:szCs w:val="20"/>
              </w:rPr>
              <w:t>《中华人民共和国建统法》笫七十六条</w:t>
            </w:r>
          </w:p>
          <w:p>
            <w:pPr>
              <w:pStyle w:val="21"/>
              <w:keepNext w:val="0"/>
              <w:keepLines w:val="0"/>
              <w:widowControl w:val="0"/>
              <w:shd w:val="clear" w:color="auto" w:fill="auto"/>
              <w:bidi w:val="0"/>
              <w:spacing w:before="0" w:after="0" w:line="394" w:lineRule="exact"/>
              <w:ind w:left="0" w:right="0" w:firstLine="200"/>
              <w:jc w:val="left"/>
              <w:rPr>
                <w:sz w:val="20"/>
                <w:szCs w:val="20"/>
              </w:rPr>
            </w:pPr>
            <w:r>
              <w:rPr>
                <w:color w:val="000000"/>
                <w:spacing w:val="0"/>
                <w:w w:val="100"/>
                <w:position w:val="0"/>
                <w:sz w:val="20"/>
                <w:szCs w:val="20"/>
              </w:rPr>
              <w:t>《中华人民共和国建设工程质匱管理条例》第七十五条</w:t>
            </w:r>
          </w:p>
          <w:p>
            <w:pPr>
              <w:pStyle w:val="21"/>
              <w:keepNext w:val="0"/>
              <w:keepLines w:val="0"/>
              <w:widowControl w:val="0"/>
              <w:shd w:val="clear" w:color="auto" w:fill="auto"/>
              <w:bidi w:val="0"/>
              <w:spacing w:before="0" w:after="0" w:line="394" w:lineRule="exact"/>
              <w:ind w:left="0" w:right="0" w:firstLine="200"/>
              <w:jc w:val="left"/>
              <w:rPr>
                <w:sz w:val="20"/>
                <w:szCs w:val="20"/>
              </w:rPr>
            </w:pPr>
            <w:r>
              <w:rPr>
                <w:color w:val="000000"/>
                <w:spacing w:val="0"/>
                <w:w w:val="100"/>
                <w:position w:val="0"/>
                <w:sz w:val="20"/>
                <w:szCs w:val="20"/>
              </w:rPr>
              <w:t>《中华人民共和国企业国有资产法》第二十二条、第二十三条</w:t>
            </w:r>
          </w:p>
          <w:p>
            <w:pPr>
              <w:pStyle w:val="21"/>
              <w:keepNext w:val="0"/>
              <w:keepLines w:val="0"/>
              <w:widowControl w:val="0"/>
              <w:shd w:val="clear" w:color="auto" w:fill="auto"/>
              <w:bidi w:val="0"/>
              <w:spacing w:before="0" w:after="0" w:line="394" w:lineRule="exact"/>
              <w:ind w:left="0" w:right="0" w:firstLine="200"/>
              <w:jc w:val="left"/>
              <w:rPr>
                <w:sz w:val="20"/>
                <w:szCs w:val="20"/>
              </w:rPr>
            </w:pPr>
            <w:r>
              <w:rPr>
                <w:color w:val="000000"/>
                <w:spacing w:val="0"/>
                <w:w w:val="100"/>
                <w:position w:val="0"/>
                <w:sz w:val="20"/>
                <w:szCs w:val="20"/>
              </w:rPr>
              <w:t>《中华人民共和国公司法》第一百四十六条第一款第（二）项</w:t>
            </w:r>
          </w:p>
          <w:p>
            <w:pPr>
              <w:pStyle w:val="21"/>
              <w:keepNext w:val="0"/>
              <w:keepLines w:val="0"/>
              <w:widowControl w:val="0"/>
              <w:shd w:val="clear" w:color="auto" w:fill="auto"/>
              <w:bidi w:val="0"/>
              <w:spacing w:before="0" w:after="0" w:line="394" w:lineRule="exact"/>
              <w:ind w:left="0" w:right="0" w:firstLine="200"/>
              <w:jc w:val="left"/>
              <w:rPr>
                <w:sz w:val="20"/>
                <w:szCs w:val="20"/>
              </w:rPr>
            </w:pPr>
            <w:r>
              <w:rPr>
                <w:color w:val="000000"/>
                <w:spacing w:val="0"/>
                <w:w w:val="100"/>
                <w:position w:val="0"/>
                <w:sz w:val="20"/>
                <w:szCs w:val="20"/>
              </w:rPr>
              <w:t>《企业法人法定代表人登记管理规定》第四条笫（四）项</w:t>
            </w:r>
          </w:p>
          <w:p>
            <w:pPr>
              <w:pStyle w:val="21"/>
              <w:keepNext w:val="0"/>
              <w:keepLines w:val="0"/>
              <w:widowControl w:val="0"/>
              <w:shd w:val="clear" w:color="auto" w:fill="auto"/>
              <w:bidi w:val="0"/>
              <w:spacing w:before="0" w:after="0" w:line="394" w:lineRule="exact"/>
              <w:ind w:left="0" w:right="0" w:firstLine="200"/>
              <w:jc w:val="left"/>
              <w:rPr>
                <w:sz w:val="20"/>
                <w:szCs w:val="20"/>
              </w:rPr>
            </w:pPr>
            <w:r>
              <w:rPr>
                <w:color w:val="000000"/>
                <w:spacing w:val="0"/>
                <w:w w:val="100"/>
                <w:position w:val="0"/>
                <w:sz w:val="20"/>
                <w:szCs w:val="20"/>
              </w:rPr>
              <w:t>《国务院关于建立完善守信联合激励和失信惩戒制度加快推进社会诚信建设的指导意 见》笫（十）项</w:t>
            </w:r>
          </w:p>
          <w:p>
            <w:pPr>
              <w:pStyle w:val="21"/>
              <w:keepNext w:val="0"/>
              <w:keepLines w:val="0"/>
              <w:widowControl w:val="0"/>
              <w:shd w:val="clear" w:color="auto" w:fill="auto"/>
              <w:bidi w:val="0"/>
              <w:spacing w:before="0" w:after="0" w:line="394" w:lineRule="exact"/>
              <w:ind w:left="0" w:right="0" w:firstLine="200"/>
              <w:jc w:val="left"/>
              <w:rPr>
                <w:sz w:val="20"/>
                <w:szCs w:val="20"/>
              </w:rPr>
            </w:pPr>
            <w:r>
              <w:rPr>
                <w:color w:val="000000"/>
                <w:spacing w:val="0"/>
                <w:w w:val="100"/>
                <w:position w:val="0"/>
                <w:sz w:val="20"/>
                <w:szCs w:val="20"/>
              </w:rPr>
              <w:t>《建设工程安全生产管理条例》第六十六条第三款</w:t>
            </w:r>
          </w:p>
          <w:p>
            <w:pPr>
              <w:pStyle w:val="21"/>
              <w:keepNext w:val="0"/>
              <w:keepLines w:val="0"/>
              <w:widowControl w:val="0"/>
              <w:shd w:val="clear" w:color="auto" w:fill="auto"/>
              <w:bidi w:val="0"/>
              <w:spacing w:before="0" w:after="0" w:line="394" w:lineRule="exact"/>
              <w:ind w:left="0" w:right="0" w:firstLine="200"/>
              <w:jc w:val="left"/>
              <w:rPr>
                <w:color w:val="000000"/>
                <w:spacing w:val="0"/>
                <w:w w:val="100"/>
                <w:position w:val="0"/>
                <w:sz w:val="20"/>
                <w:szCs w:val="20"/>
              </w:rPr>
            </w:pPr>
            <w:r>
              <w:rPr>
                <w:color w:val="000000"/>
                <w:spacing w:val="0"/>
                <w:w w:val="100"/>
                <w:position w:val="0"/>
                <w:sz w:val="20"/>
                <w:szCs w:val="20"/>
              </w:rPr>
              <w:t>《建筑施工企业主要负责人、项目负责人和专职安全生产管理人员安全生产管理规定》第三十二条第二款</w:t>
            </w:r>
          </w:p>
          <w:p>
            <w:pPr>
              <w:pStyle w:val="21"/>
              <w:keepNext w:val="0"/>
              <w:keepLines w:val="0"/>
              <w:widowControl w:val="0"/>
              <w:shd w:val="clear" w:color="auto" w:fill="auto"/>
              <w:bidi w:val="0"/>
              <w:spacing w:before="0" w:after="0" w:line="394" w:lineRule="exact"/>
              <w:ind w:left="0" w:right="0" w:firstLine="200"/>
              <w:jc w:val="left"/>
              <w:rPr>
                <w:color w:val="000000"/>
                <w:spacing w:val="0"/>
                <w:w w:val="100"/>
                <w:position w:val="0"/>
                <w:sz w:val="20"/>
                <w:szCs w:val="20"/>
              </w:rPr>
            </w:pP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403" w:lineRule="exact"/>
              <w:ind w:left="0" w:right="0" w:firstLine="0"/>
              <w:jc w:val="center"/>
              <w:rPr>
                <w:color w:val="000000"/>
                <w:spacing w:val="0"/>
                <w:w w:val="100"/>
                <w:position w:val="0"/>
                <w:sz w:val="20"/>
                <w:szCs w:val="20"/>
              </w:rPr>
            </w:pPr>
            <w:r>
              <w:rPr>
                <w:color w:val="000000"/>
                <w:spacing w:val="0"/>
                <w:w w:val="100"/>
                <w:position w:val="0"/>
                <w:sz w:val="20"/>
                <w:szCs w:val="20"/>
              </w:rPr>
              <w:t>国资委、</w:t>
            </w:r>
          </w:p>
          <w:p>
            <w:pPr>
              <w:pStyle w:val="21"/>
              <w:keepNext w:val="0"/>
              <w:keepLines w:val="0"/>
              <w:widowControl w:val="0"/>
              <w:shd w:val="clear" w:color="auto" w:fill="auto"/>
              <w:bidi w:val="0"/>
              <w:spacing w:before="0" w:after="0" w:line="403" w:lineRule="exact"/>
              <w:ind w:left="0" w:right="0" w:firstLine="0"/>
              <w:jc w:val="center"/>
              <w:rPr>
                <w:sz w:val="20"/>
                <w:szCs w:val="20"/>
              </w:rPr>
            </w:pPr>
            <w:r>
              <w:rPr>
                <w:color w:val="000000"/>
                <w:spacing w:val="0"/>
                <w:w w:val="100"/>
                <w:position w:val="0"/>
                <w:sz w:val="20"/>
                <w:szCs w:val="20"/>
              </w:rPr>
              <w:t>住房城乡建设部</w:t>
            </w:r>
          </w:p>
        </w:tc>
      </w:tr>
      <w:tr>
        <w:tblPrEx>
          <w:tblCellMar>
            <w:top w:w="0" w:type="dxa"/>
            <w:left w:w="10" w:type="dxa"/>
            <w:bottom w:w="0" w:type="dxa"/>
            <w:right w:w="10" w:type="dxa"/>
          </w:tblCellMar>
        </w:tblPrEx>
        <w:trPr>
          <w:trHeight w:val="1008"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422" w:lineRule="exact"/>
              <w:ind w:left="0" w:right="0" w:firstLine="0"/>
              <w:jc w:val="both"/>
              <w:rPr>
                <w:sz w:val="20"/>
                <w:szCs w:val="20"/>
              </w:rPr>
            </w:pPr>
            <w:r>
              <w:rPr>
                <w:rFonts w:hint="eastAsia"/>
                <w:color w:val="000000"/>
                <w:spacing w:val="0"/>
                <w:w w:val="100"/>
                <w:position w:val="0"/>
                <w:sz w:val="20"/>
                <w:szCs w:val="20"/>
                <w:lang w:val="en-US" w:eastAsia="zh-CN"/>
              </w:rPr>
              <w:t>13.</w:t>
            </w:r>
            <w:r>
              <w:rPr>
                <w:color w:val="000000"/>
                <w:spacing w:val="0"/>
                <w:w w:val="100"/>
                <w:position w:val="0"/>
                <w:sz w:val="20"/>
                <w:szCs w:val="20"/>
              </w:rPr>
              <w:t>限制注册非金融企业债务融资工具。</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《银行间债券市场非金融企业债务融资工具管理办法》第十三条、第十七条、第十八条</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人民银行</w:t>
            </w:r>
          </w:p>
        </w:tc>
      </w:tr>
      <w:tr>
        <w:tblPrEx>
          <w:tblCellMar>
            <w:top w:w="0" w:type="dxa"/>
            <w:left w:w="10" w:type="dxa"/>
            <w:bottom w:w="0" w:type="dxa"/>
            <w:right w:w="10" w:type="dxa"/>
          </w:tblCellMar>
        </w:tblPrEx>
        <w:trPr>
          <w:trHeight w:val="1354"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numPr>
                <w:ilvl w:val="0"/>
                <w:numId w:val="4"/>
              </w:numPr>
              <w:shd w:val="clear" w:color="auto" w:fill="auto"/>
              <w:bidi w:val="0"/>
              <w:spacing w:before="0" w:after="0" w:line="408" w:lineRule="exact"/>
              <w:ind w:left="0" w:right="0" w:firstLine="0"/>
              <w:jc w:val="both"/>
              <w:rPr>
                <w:color w:val="000000"/>
                <w:spacing w:val="0"/>
                <w:w w:val="100"/>
                <w:position w:val="0"/>
                <w:sz w:val="20"/>
                <w:szCs w:val="20"/>
              </w:rPr>
            </w:pPr>
            <w:r>
              <w:rPr>
                <w:color w:val="000000"/>
                <w:spacing w:val="0"/>
                <w:w w:val="100"/>
                <w:position w:val="0"/>
                <w:sz w:val="20"/>
                <w:szCs w:val="20"/>
              </w:rPr>
              <w:t>限制惩戒（招聘）为公务员或事业单位工作人员。</w:t>
            </w:r>
          </w:p>
          <w:p>
            <w:pPr>
              <w:pStyle w:val="21"/>
              <w:keepNext w:val="0"/>
              <w:keepLines w:val="0"/>
              <w:widowControl w:val="0"/>
              <w:numPr>
                <w:ilvl w:val="0"/>
                <w:numId w:val="0"/>
              </w:numPr>
              <w:shd w:val="clear" w:color="auto" w:fill="auto"/>
              <w:bidi w:val="0"/>
              <w:spacing w:before="0" w:after="0" w:line="408" w:lineRule="exact"/>
              <w:ind w:leftChars="0" w:right="0" w:rightChars="0"/>
              <w:jc w:val="both"/>
              <w:rPr>
                <w:color w:val="000000"/>
                <w:spacing w:val="0"/>
                <w:w w:val="100"/>
                <w:position w:val="0"/>
                <w:sz w:val="20"/>
                <w:szCs w:val="20"/>
              </w:rPr>
            </w:pP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403" w:lineRule="exact"/>
              <w:ind w:left="180" w:right="0" w:firstLine="20"/>
              <w:jc w:val="left"/>
              <w:rPr>
                <w:sz w:val="20"/>
                <w:szCs w:val="20"/>
              </w:rPr>
            </w:pPr>
            <w:r>
              <w:rPr>
                <w:color w:val="000000"/>
                <w:spacing w:val="0"/>
                <w:w w:val="100"/>
                <w:position w:val="0"/>
                <w:sz w:val="20"/>
                <w:szCs w:val="20"/>
              </w:rPr>
              <w:t>《中华人民共和国公务员法》第十一条、第十二条、第二十条 《公务员录用规定（试行）》第十六条</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408" w:lineRule="exact"/>
              <w:ind w:left="0" w:right="0" w:firstLine="0"/>
              <w:jc w:val="center"/>
              <w:rPr>
                <w:sz w:val="20"/>
                <w:szCs w:val="20"/>
              </w:rPr>
            </w:pPr>
            <w:r>
              <w:rPr>
                <w:color w:val="000000"/>
                <w:spacing w:val="0"/>
                <w:w w:val="100"/>
                <w:position w:val="0"/>
                <w:sz w:val="20"/>
                <w:szCs w:val="20"/>
              </w:rPr>
              <w:t>中组部、人力资源社会保障部、公务员局</w:t>
            </w:r>
          </w:p>
        </w:tc>
      </w:tr>
      <w:tr>
        <w:tblPrEx>
          <w:tblCellMar>
            <w:top w:w="0" w:type="dxa"/>
            <w:left w:w="10" w:type="dxa"/>
            <w:bottom w:w="0" w:type="dxa"/>
            <w:right w:w="10" w:type="dxa"/>
          </w:tblCellMar>
        </w:tblPrEx>
        <w:trPr>
          <w:trHeight w:val="1373"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403" w:lineRule="exact"/>
              <w:ind w:left="0" w:right="0" w:firstLine="0"/>
              <w:jc w:val="both"/>
              <w:rPr>
                <w:sz w:val="20"/>
                <w:szCs w:val="20"/>
              </w:rPr>
            </w:pPr>
            <w:r>
              <w:rPr>
                <w:rFonts w:hint="eastAsia"/>
                <w:color w:val="000000"/>
                <w:spacing w:val="0"/>
                <w:w w:val="100"/>
                <w:position w:val="0"/>
                <w:sz w:val="20"/>
                <w:szCs w:val="20"/>
                <w:lang w:val="en-US" w:eastAsia="zh-CN"/>
              </w:rPr>
              <w:t>15.</w:t>
            </w:r>
            <w:r>
              <w:rPr>
                <w:color w:val="000000"/>
                <w:spacing w:val="0"/>
                <w:w w:val="100"/>
                <w:position w:val="0"/>
                <w:sz w:val="20"/>
                <w:szCs w:val="20"/>
              </w:rPr>
              <w:t>限制登记为事业单位法定代表人。</w:t>
            </w:r>
          </w:p>
        </w:tc>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403" w:lineRule="exact"/>
              <w:ind w:left="180" w:right="0" w:firstLine="20"/>
              <w:jc w:val="left"/>
              <w:rPr>
                <w:color w:val="000000"/>
                <w:spacing w:val="0"/>
                <w:w w:val="100"/>
                <w:position w:val="0"/>
                <w:sz w:val="20"/>
                <w:szCs w:val="20"/>
              </w:rPr>
            </w:pPr>
            <w:r>
              <w:rPr>
                <w:color w:val="000000"/>
                <w:spacing w:val="0"/>
                <w:w w:val="100"/>
                <w:position w:val="0"/>
                <w:sz w:val="20"/>
                <w:szCs w:val="20"/>
              </w:rPr>
              <w:t>《中央编办关于批转</w:t>
            </w:r>
            <w:r>
              <w:rPr>
                <w:color w:val="000000"/>
                <w:spacing w:val="0"/>
                <w:w w:val="100"/>
                <w:position w:val="0"/>
                <w:sz w:val="20"/>
                <w:szCs w:val="20"/>
                <w:lang w:val="zh-CN" w:eastAsia="zh-CN"/>
              </w:rPr>
              <w:t>〈事业</w:t>
            </w:r>
            <w:r>
              <w:rPr>
                <w:color w:val="000000"/>
                <w:spacing w:val="0"/>
                <w:w w:val="100"/>
                <w:position w:val="0"/>
                <w:sz w:val="20"/>
                <w:szCs w:val="20"/>
              </w:rPr>
              <w:t>单位、社会团体及企业等组织利用国有资产举办事业单位设立登记办法（试行）＞的通知》第四条</w:t>
            </w:r>
          </w:p>
          <w:p>
            <w:pPr>
              <w:pStyle w:val="21"/>
              <w:keepNext w:val="0"/>
              <w:keepLines w:val="0"/>
              <w:widowControl w:val="0"/>
              <w:shd w:val="clear" w:color="auto" w:fill="auto"/>
              <w:bidi w:val="0"/>
              <w:spacing w:before="0" w:after="0" w:line="374" w:lineRule="exact"/>
              <w:ind w:left="0" w:right="0" w:firstLine="200"/>
              <w:jc w:val="left"/>
              <w:rPr>
                <w:sz w:val="20"/>
                <w:szCs w:val="20"/>
              </w:rPr>
            </w:pPr>
            <w:r>
              <w:rPr>
                <w:color w:val="000000"/>
                <w:spacing w:val="0"/>
                <w:w w:val="100"/>
                <w:position w:val="0"/>
                <w:sz w:val="20"/>
                <w:szCs w:val="20"/>
              </w:rPr>
              <w:t>《事业单位登记管理暂行条例实施细则》第三十一条</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中央编办</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2765"/>
        <w:gridCol w:w="9720"/>
        <w:gridCol w:w="1732"/>
      </w:tblGrid>
      <w:tr>
        <w:tblPrEx>
          <w:tblCellMar>
            <w:top w:w="0" w:type="dxa"/>
            <w:left w:w="10" w:type="dxa"/>
            <w:bottom w:w="0" w:type="dxa"/>
            <w:right w:w="10" w:type="dxa"/>
          </w:tblCellMar>
        </w:tblPrEx>
        <w:trPr>
          <w:trHeight w:val="3456"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403" w:lineRule="exact"/>
              <w:ind w:left="0" w:right="0" w:firstLine="0"/>
              <w:jc w:val="both"/>
              <w:rPr>
                <w:sz w:val="20"/>
                <w:szCs w:val="20"/>
              </w:rPr>
            </w:pPr>
            <w:r>
              <w:rPr>
                <w:rFonts w:hint="eastAsia"/>
                <w:color w:val="000000"/>
                <w:spacing w:val="0"/>
                <w:w w:val="100"/>
                <w:position w:val="0"/>
                <w:sz w:val="20"/>
                <w:szCs w:val="20"/>
                <w:lang w:val="en-US" w:eastAsia="zh-CN"/>
              </w:rPr>
              <w:t>16.</w:t>
            </w:r>
            <w:r>
              <w:rPr>
                <w:color w:val="000000"/>
                <w:spacing w:val="0"/>
                <w:w w:val="100"/>
                <w:position w:val="0"/>
                <w:sz w:val="20"/>
                <w:szCs w:val="20"/>
              </w:rPr>
              <w:t>将惩戒对象的信用信息通报金融机构，作为其 评级授信、信贷融资、管理和退出的重要参考</w:t>
            </w:r>
            <w:r>
              <w:rPr>
                <w:rFonts w:hint="eastAsia"/>
                <w:color w:val="000000"/>
                <w:spacing w:val="0"/>
                <w:w w:val="100"/>
                <w:position w:val="0"/>
                <w:sz w:val="20"/>
                <w:szCs w:val="20"/>
                <w:lang w:eastAsia="zh-CN"/>
              </w:rPr>
              <w:t>依据</w:t>
            </w:r>
            <w:r>
              <w:rPr>
                <w:color w:val="000000"/>
                <w:spacing w:val="0"/>
                <w:w w:val="100"/>
                <w:position w:val="0"/>
                <w:sz w:val="20"/>
                <w:szCs w:val="20"/>
              </w:rPr>
              <w:t>。</w:t>
            </w:r>
          </w:p>
        </w:tc>
        <w:tc>
          <w:tcPr>
            <w:tcW w:w="9720"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326" w:lineRule="exact"/>
              <w:ind w:left="180" w:right="0" w:firstLine="20"/>
              <w:jc w:val="left"/>
              <w:rPr>
                <w:sz w:val="20"/>
                <w:szCs w:val="20"/>
              </w:rPr>
            </w:pPr>
            <w:r>
              <w:rPr>
                <w:color w:val="000000"/>
                <w:spacing w:val="0"/>
                <w:w w:val="100"/>
                <w:position w:val="0"/>
                <w:sz w:val="20"/>
                <w:szCs w:val="20"/>
              </w:rPr>
              <w:t>《中华人民共和国商业银行法》第三十五条</w:t>
            </w:r>
          </w:p>
          <w:p>
            <w:pPr>
              <w:pStyle w:val="21"/>
              <w:keepNext w:val="0"/>
              <w:keepLines w:val="0"/>
              <w:widowControl w:val="0"/>
              <w:shd w:val="clear" w:color="auto" w:fill="auto"/>
              <w:bidi w:val="0"/>
              <w:spacing w:before="0" w:after="0" w:line="326" w:lineRule="exact"/>
              <w:ind w:left="180" w:right="0" w:firstLine="20"/>
              <w:jc w:val="left"/>
              <w:rPr>
                <w:sz w:val="20"/>
                <w:szCs w:val="20"/>
              </w:rPr>
            </w:pPr>
            <w:r>
              <w:rPr>
                <w:color w:val="000000"/>
                <w:spacing w:val="0"/>
                <w:w w:val="100"/>
                <w:position w:val="0"/>
                <w:sz w:val="20"/>
                <w:szCs w:val="20"/>
              </w:rPr>
              <w:t>《中华人民共和国征信业管理条例》第十四条、二十一条</w:t>
            </w:r>
          </w:p>
          <w:p>
            <w:pPr>
              <w:pStyle w:val="21"/>
              <w:keepNext w:val="0"/>
              <w:keepLines w:val="0"/>
              <w:widowControl w:val="0"/>
              <w:shd w:val="clear" w:color="auto" w:fill="auto"/>
              <w:bidi w:val="0"/>
              <w:spacing w:before="0" w:after="0" w:line="326" w:lineRule="exact"/>
              <w:ind w:left="0" w:right="0" w:firstLine="200"/>
              <w:jc w:val="left"/>
              <w:rPr>
                <w:sz w:val="20"/>
                <w:szCs w:val="20"/>
              </w:rPr>
            </w:pPr>
            <w:r>
              <w:rPr>
                <w:color w:val="000000"/>
                <w:spacing w:val="0"/>
                <w:w w:val="100"/>
                <w:position w:val="0"/>
                <w:sz w:val="20"/>
                <w:szCs w:val="20"/>
              </w:rPr>
              <w:t>《国务院关于建立完善守信联合激励和失信联合惩戒制度加快推进社会诚信建设的指导 意见》策（十一）项</w:t>
            </w:r>
          </w:p>
          <w:p>
            <w:pPr>
              <w:pStyle w:val="21"/>
              <w:keepNext w:val="0"/>
              <w:keepLines w:val="0"/>
              <w:widowControl w:val="0"/>
              <w:shd w:val="clear" w:color="auto" w:fill="auto"/>
              <w:bidi w:val="0"/>
              <w:spacing w:before="0" w:after="0" w:line="326" w:lineRule="exact"/>
              <w:ind w:left="180" w:right="0" w:firstLine="20"/>
              <w:jc w:val="left"/>
              <w:rPr>
                <w:sz w:val="20"/>
                <w:szCs w:val="20"/>
              </w:rPr>
            </w:pPr>
            <w:r>
              <w:rPr>
                <w:color w:val="000000"/>
                <w:spacing w:val="0"/>
                <w:w w:val="100"/>
                <w:position w:val="0"/>
                <w:sz w:val="20"/>
                <w:szCs w:val="20"/>
              </w:rPr>
              <w:t>《国务院关于促进市场公平竞争维护市场正常秩序的若干意见》）第（十五）项</w:t>
            </w:r>
          </w:p>
          <w:p>
            <w:pPr>
              <w:pStyle w:val="21"/>
              <w:keepNext w:val="0"/>
              <w:keepLines w:val="0"/>
              <w:widowControl w:val="0"/>
              <w:shd w:val="clear" w:color="auto" w:fill="auto"/>
              <w:bidi w:val="0"/>
              <w:spacing w:before="0" w:after="0" w:line="326" w:lineRule="exact"/>
              <w:ind w:left="180" w:right="0" w:firstLine="20"/>
              <w:jc w:val="left"/>
              <w:rPr>
                <w:sz w:val="20"/>
                <w:szCs w:val="20"/>
              </w:rPr>
            </w:pPr>
            <w:r>
              <w:rPr>
                <w:color w:val="000000"/>
                <w:spacing w:val="0"/>
                <w:w w:val="100"/>
                <w:position w:val="0"/>
                <w:sz w:val="20"/>
                <w:szCs w:val="20"/>
              </w:rPr>
              <w:t>《流动资金贷款管理暂行办法》第五、三十条</w:t>
            </w:r>
          </w:p>
          <w:p>
            <w:pPr>
              <w:pStyle w:val="21"/>
              <w:keepNext w:val="0"/>
              <w:keepLines w:val="0"/>
              <w:widowControl w:val="0"/>
              <w:shd w:val="clear" w:color="auto" w:fill="auto"/>
              <w:bidi w:val="0"/>
              <w:spacing w:before="0" w:after="0" w:line="326" w:lineRule="exact"/>
              <w:ind w:left="180" w:right="0" w:firstLine="20"/>
              <w:jc w:val="left"/>
              <w:rPr>
                <w:sz w:val="20"/>
                <w:szCs w:val="20"/>
              </w:rPr>
            </w:pPr>
            <w:r>
              <w:rPr>
                <w:color w:val="000000"/>
                <w:spacing w:val="0"/>
                <w:w w:val="100"/>
                <w:position w:val="0"/>
                <w:sz w:val="20"/>
                <w:szCs w:val="20"/>
              </w:rPr>
              <w:t>《个人贷款管理暂行办法》第十四、十八条</w:t>
            </w:r>
          </w:p>
          <w:p>
            <w:pPr>
              <w:pStyle w:val="21"/>
              <w:keepNext w:val="0"/>
              <w:keepLines w:val="0"/>
              <w:widowControl w:val="0"/>
              <w:shd w:val="clear" w:color="auto" w:fill="auto"/>
              <w:bidi w:val="0"/>
              <w:spacing w:before="0" w:after="0" w:line="326" w:lineRule="exact"/>
              <w:ind w:left="180" w:right="0" w:firstLine="20"/>
              <w:jc w:val="left"/>
              <w:rPr>
                <w:sz w:val="20"/>
                <w:szCs w:val="20"/>
              </w:rPr>
            </w:pPr>
            <w:r>
              <w:rPr>
                <w:color w:val="000000"/>
                <w:spacing w:val="0"/>
                <w:w w:val="100"/>
                <w:position w:val="0"/>
                <w:sz w:val="20"/>
                <w:szCs w:val="20"/>
              </w:rPr>
              <w:t>《固定资产贷款管理哲行办法》第五、三十条</w:t>
            </w:r>
          </w:p>
          <w:p>
            <w:pPr>
              <w:pStyle w:val="21"/>
              <w:keepNext w:val="0"/>
              <w:keepLines w:val="0"/>
              <w:widowControl w:val="0"/>
              <w:shd w:val="clear" w:color="auto" w:fill="auto"/>
              <w:bidi w:val="0"/>
              <w:spacing w:before="0" w:after="0" w:line="326" w:lineRule="exact"/>
              <w:ind w:left="180" w:right="0" w:firstLine="20"/>
              <w:jc w:val="left"/>
              <w:rPr>
                <w:sz w:val="20"/>
                <w:szCs w:val="20"/>
              </w:rPr>
            </w:pPr>
            <w:r>
              <w:rPr>
                <w:color w:val="000000"/>
                <w:spacing w:val="0"/>
                <w:w w:val="100"/>
                <w:position w:val="0"/>
                <w:sz w:val="20"/>
                <w:szCs w:val="20"/>
              </w:rPr>
              <w:t>《贷款通则》第十本、二十二条</w:t>
            </w:r>
          </w:p>
        </w:tc>
        <w:tc>
          <w:tcPr>
            <w:tcW w:w="1732" w:type="dxa"/>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403" w:lineRule="exact"/>
              <w:ind w:left="0" w:right="0" w:firstLine="0"/>
              <w:jc w:val="center"/>
              <w:rPr>
                <w:sz w:val="20"/>
                <w:szCs w:val="20"/>
              </w:rPr>
            </w:pPr>
            <w:r>
              <w:rPr>
                <w:color w:val="000000"/>
                <w:spacing w:val="0"/>
                <w:w w:val="100"/>
                <w:position w:val="0"/>
                <w:sz w:val="20"/>
                <w:szCs w:val="20"/>
              </w:rPr>
              <w:t>人民银行、银监会</w:t>
            </w:r>
          </w:p>
        </w:tc>
      </w:tr>
      <w:tr>
        <w:tblPrEx>
          <w:tblCellMar>
            <w:top w:w="0" w:type="dxa"/>
            <w:left w:w="10" w:type="dxa"/>
            <w:bottom w:w="0" w:type="dxa"/>
            <w:right w:w="10" w:type="dxa"/>
          </w:tblCellMar>
        </w:tblPrEx>
        <w:trPr>
          <w:trHeight w:val="845"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442" w:lineRule="exact"/>
              <w:ind w:left="0" w:right="0" w:firstLine="0"/>
              <w:jc w:val="both"/>
              <w:rPr>
                <w:sz w:val="20"/>
                <w:szCs w:val="20"/>
              </w:rPr>
            </w:pPr>
            <w:r>
              <w:rPr>
                <w:rFonts w:hint="eastAsia"/>
                <w:color w:val="000000"/>
                <w:spacing w:val="0"/>
                <w:w w:val="100"/>
                <w:position w:val="0"/>
                <w:sz w:val="20"/>
                <w:szCs w:val="20"/>
                <w:lang w:val="en-US" w:eastAsia="zh-CN"/>
              </w:rPr>
              <w:t>17.</w:t>
            </w:r>
            <w:r>
              <w:rPr>
                <w:color w:val="000000"/>
                <w:spacing w:val="0"/>
                <w:w w:val="100"/>
                <w:position w:val="0"/>
                <w:sz w:val="20"/>
                <w:szCs w:val="20"/>
              </w:rPr>
              <w:t>供纳税信用管理时审 慎性参考。</w:t>
            </w:r>
          </w:p>
        </w:tc>
        <w:tc>
          <w:tcPr>
            <w:tcW w:w="9720"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《纳税信用管理办法（试行）》第十、十四条</w:t>
            </w:r>
          </w:p>
        </w:tc>
        <w:tc>
          <w:tcPr>
            <w:tcW w:w="1732" w:type="dxa"/>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税务总局</w:t>
            </w:r>
          </w:p>
        </w:tc>
      </w:tr>
      <w:tr>
        <w:tblPrEx>
          <w:tblCellMar>
            <w:top w:w="0" w:type="dxa"/>
            <w:left w:w="10" w:type="dxa"/>
            <w:bottom w:w="0" w:type="dxa"/>
            <w:right w:w="10" w:type="dxa"/>
          </w:tblCellMar>
        </w:tblPrEx>
        <w:trPr>
          <w:trHeight w:val="2669"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440" w:lineRule="exact"/>
              <w:ind w:left="0" w:right="0" w:firstLine="0"/>
              <w:jc w:val="both"/>
              <w:rPr>
                <w:sz w:val="20"/>
                <w:szCs w:val="20"/>
              </w:rPr>
            </w:pPr>
            <w:r>
              <w:rPr>
                <w:rFonts w:hint="eastAsia"/>
                <w:color w:val="000000"/>
                <w:spacing w:val="0"/>
                <w:w w:val="100"/>
                <w:position w:val="0"/>
                <w:sz w:val="20"/>
                <w:szCs w:val="20"/>
                <w:lang w:val="en-US" w:eastAsia="zh-CN"/>
              </w:rPr>
              <w:t>18.</w:t>
            </w:r>
            <w:r>
              <w:rPr>
                <w:color w:val="000000"/>
                <w:spacing w:val="0"/>
                <w:w w:val="100"/>
                <w:position w:val="0"/>
                <w:sz w:val="20"/>
                <w:szCs w:val="20"/>
              </w:rPr>
              <w:t>在审批证券公司、基 金管理公司及期货公司 的设立及变更持有</w:t>
            </w:r>
            <w:r>
              <w:rPr>
                <w:rFonts w:ascii="Times New Roman" w:hAnsi="Times New Roman" w:eastAsia="Times New Roman" w:cs="Times New Roman"/>
                <w:color w:val="000000"/>
                <w:spacing w:val="0"/>
                <w:w w:val="100"/>
                <w:position w:val="0"/>
                <w:sz w:val="26"/>
                <w:szCs w:val="26"/>
              </w:rPr>
              <w:t>5%</w:t>
            </w:r>
            <w:r>
              <w:rPr>
                <w:color w:val="000000"/>
                <w:spacing w:val="0"/>
                <w:w w:val="100"/>
                <w:position w:val="0"/>
                <w:sz w:val="20"/>
                <w:szCs w:val="20"/>
              </w:rPr>
              <w:t>以 上股权的股东、实际控例 人时，将其失信信息作为 审批的参考。</w:t>
            </w:r>
          </w:p>
        </w:tc>
        <w:tc>
          <w:tcPr>
            <w:tcW w:w="9720" w:type="dxa"/>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427" w:lineRule="exact"/>
              <w:ind w:left="180" w:right="0" w:firstLine="20"/>
              <w:jc w:val="left"/>
              <w:rPr>
                <w:sz w:val="20"/>
                <w:szCs w:val="20"/>
              </w:rPr>
            </w:pPr>
            <w:r>
              <w:rPr>
                <w:color w:val="000000"/>
                <w:spacing w:val="0"/>
                <w:w w:val="100"/>
                <w:position w:val="0"/>
                <w:sz w:val="20"/>
                <w:szCs w:val="20"/>
              </w:rPr>
              <w:t>《证券法》第一百二十四条第（二）项</w:t>
            </w:r>
          </w:p>
          <w:p>
            <w:pPr>
              <w:pStyle w:val="21"/>
              <w:keepNext w:val="0"/>
              <w:keepLines w:val="0"/>
              <w:widowControl w:val="0"/>
              <w:shd w:val="clear" w:color="auto" w:fill="auto"/>
              <w:bidi w:val="0"/>
              <w:spacing w:before="0" w:after="0" w:line="427" w:lineRule="exact"/>
              <w:ind w:left="180" w:right="0" w:firstLine="20"/>
              <w:jc w:val="left"/>
              <w:rPr>
                <w:sz w:val="20"/>
                <w:szCs w:val="20"/>
              </w:rPr>
            </w:pPr>
            <w:r>
              <w:rPr>
                <w:color w:val="000000"/>
                <w:spacing w:val="0"/>
                <w:w w:val="100"/>
                <w:position w:val="0"/>
                <w:sz w:val="20"/>
                <w:szCs w:val="20"/>
              </w:rPr>
              <w:t>《证券投资基金法》笫十三条第（三）项</w:t>
            </w:r>
          </w:p>
          <w:p>
            <w:pPr>
              <w:pStyle w:val="21"/>
              <w:keepNext w:val="0"/>
              <w:keepLines w:val="0"/>
              <w:widowControl w:val="0"/>
              <w:shd w:val="clear" w:color="auto" w:fill="auto"/>
              <w:bidi w:val="0"/>
              <w:spacing w:before="0" w:after="0" w:line="427" w:lineRule="exact"/>
              <w:ind w:left="180" w:right="0" w:firstLine="20"/>
              <w:jc w:val="left"/>
              <w:rPr>
                <w:sz w:val="20"/>
                <w:szCs w:val="20"/>
              </w:rPr>
            </w:pPr>
            <w:r>
              <w:rPr>
                <w:color w:val="000000"/>
                <w:spacing w:val="0"/>
                <w:w w:val="100"/>
                <w:position w:val="0"/>
                <w:sz w:val="20"/>
                <w:szCs w:val="20"/>
              </w:rPr>
              <w:t>《期货交易管理条例》第十六条第（四）项</w:t>
            </w:r>
          </w:p>
          <w:p>
            <w:pPr>
              <w:pStyle w:val="21"/>
              <w:keepNext w:val="0"/>
              <w:keepLines w:val="0"/>
              <w:widowControl w:val="0"/>
              <w:shd w:val="clear" w:color="auto" w:fill="auto"/>
              <w:bidi w:val="0"/>
              <w:spacing w:before="0" w:after="0" w:line="427" w:lineRule="exact"/>
              <w:ind w:left="180" w:right="0" w:firstLine="20"/>
              <w:jc w:val="left"/>
              <w:rPr>
                <w:color w:val="000000"/>
                <w:spacing w:val="0"/>
                <w:w w:val="100"/>
                <w:position w:val="0"/>
                <w:sz w:val="20"/>
                <w:szCs w:val="20"/>
              </w:rPr>
            </w:pPr>
            <w:r>
              <w:rPr>
                <w:color w:val="000000"/>
                <w:spacing w:val="0"/>
                <w:w w:val="100"/>
                <w:position w:val="0"/>
                <w:sz w:val="20"/>
                <w:szCs w:val="20"/>
              </w:rPr>
              <w:t>《证券公司监督管理条例》第十条第（一）、（四）项 《证券投资基金管理公司管理办法》第七条第（三）项 《期货公司监督管理办法》第七条第（四）项</w:t>
            </w:r>
          </w:p>
          <w:p>
            <w:pPr>
              <w:pStyle w:val="21"/>
              <w:keepNext w:val="0"/>
              <w:keepLines w:val="0"/>
              <w:widowControl w:val="0"/>
              <w:shd w:val="clear" w:color="auto" w:fill="auto"/>
              <w:bidi w:val="0"/>
              <w:spacing w:before="0" w:after="0" w:line="427" w:lineRule="exact"/>
              <w:ind w:left="180" w:right="0" w:firstLine="20"/>
              <w:jc w:val="left"/>
              <w:rPr>
                <w:color w:val="000000"/>
                <w:spacing w:val="0"/>
                <w:w w:val="100"/>
                <w:position w:val="0"/>
                <w:sz w:val="20"/>
                <w:szCs w:val="20"/>
              </w:rPr>
            </w:pPr>
          </w:p>
        </w:tc>
        <w:tc>
          <w:tcPr>
            <w:tcW w:w="1732" w:type="dxa"/>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证监会</w:t>
            </w:r>
          </w:p>
        </w:tc>
      </w:tr>
      <w:tr>
        <w:tblPrEx>
          <w:tblCellMar>
            <w:top w:w="0" w:type="dxa"/>
            <w:left w:w="10" w:type="dxa"/>
            <w:bottom w:w="0" w:type="dxa"/>
            <w:right w:w="10" w:type="dxa"/>
          </w:tblCellMar>
        </w:tblPrEx>
        <w:trPr>
          <w:trHeight w:val="1373" w:hRule="exact"/>
          <w:jc w:val="center"/>
        </w:trPr>
        <w:tc>
          <w:tcPr>
            <w:tcBorders>
              <w:top w:val="single" w:color="auto" w:sz="4" w:space="0"/>
              <w:left w:val="single" w:color="auto" w:sz="4" w:space="0"/>
              <w:bottom w:val="single" w:color="auto" w:sz="4" w:space="0"/>
            </w:tcBorders>
            <w:shd w:val="clear" w:color="auto" w:fill="FFFFFF"/>
            <w:vAlign w:val="bottom"/>
          </w:tcPr>
          <w:p>
            <w:pPr>
              <w:pStyle w:val="21"/>
              <w:keepNext w:val="0"/>
              <w:keepLines w:val="0"/>
              <w:widowControl w:val="0"/>
              <w:shd w:val="clear" w:color="auto" w:fill="auto"/>
              <w:bidi w:val="0"/>
              <w:spacing w:before="0" w:after="0" w:line="427" w:lineRule="exact"/>
              <w:ind w:left="0" w:right="0" w:firstLine="0"/>
              <w:jc w:val="both"/>
              <w:rPr>
                <w:rFonts w:hint="eastAsia" w:eastAsia="宋体"/>
                <w:sz w:val="20"/>
                <w:szCs w:val="20"/>
                <w:lang w:eastAsia="zh-CN"/>
              </w:rPr>
            </w:pPr>
            <w:r>
              <w:rPr>
                <w:rFonts w:hint="eastAsia"/>
                <w:color w:val="000000"/>
                <w:spacing w:val="0"/>
                <w:w w:val="100"/>
                <w:position w:val="0"/>
                <w:sz w:val="20"/>
                <w:szCs w:val="20"/>
                <w:lang w:val="en-US" w:eastAsia="zh-CN"/>
              </w:rPr>
              <w:t>19.</w:t>
            </w:r>
            <w:r>
              <w:rPr>
                <w:color w:val="000000"/>
                <w:spacing w:val="0"/>
                <w:w w:val="100"/>
                <w:position w:val="0"/>
                <w:sz w:val="20"/>
                <w:szCs w:val="20"/>
              </w:rPr>
              <w:t>依法限制其担任上市公司、证券公司、基金管 理公司、期货公司的</w:t>
            </w:r>
            <w:r>
              <w:rPr>
                <w:rFonts w:hint="eastAsia"/>
                <w:color w:val="000000"/>
                <w:spacing w:val="0"/>
                <w:w w:val="100"/>
                <w:position w:val="0"/>
                <w:sz w:val="20"/>
                <w:szCs w:val="20"/>
                <w:lang w:eastAsia="zh-CN"/>
              </w:rPr>
              <w:t>董事、</w:t>
            </w:r>
            <w:r>
              <w:rPr>
                <w:color w:val="000000"/>
                <w:spacing w:val="0"/>
                <w:w w:val="100"/>
                <w:position w:val="0"/>
                <w:sz w:val="20"/>
                <w:szCs w:val="20"/>
              </w:rPr>
              <w:t>监事和高级管理人员</w:t>
            </w:r>
          </w:p>
        </w:tc>
        <w:tc>
          <w:tcPr>
            <w:tcW w:w="9720" w:type="dxa"/>
            <w:tcBorders>
              <w:top w:val="single" w:color="auto" w:sz="4" w:space="0"/>
              <w:left w:val="single" w:color="auto" w:sz="4" w:space="0"/>
              <w:bottom w:val="single" w:color="auto" w:sz="4" w:space="0"/>
            </w:tcBorders>
            <w:shd w:val="clear" w:color="auto" w:fill="FFFFFF"/>
            <w:vAlign w:val="bottom"/>
          </w:tcPr>
          <w:p>
            <w:pPr>
              <w:pStyle w:val="21"/>
              <w:keepNext w:val="0"/>
              <w:keepLines w:val="0"/>
              <w:widowControl w:val="0"/>
              <w:shd w:val="clear" w:color="auto" w:fill="auto"/>
              <w:bidi w:val="0"/>
              <w:spacing w:before="0" w:after="180" w:line="240" w:lineRule="auto"/>
              <w:ind w:left="180" w:right="0" w:firstLine="20"/>
              <w:jc w:val="left"/>
              <w:rPr>
                <w:sz w:val="20"/>
                <w:szCs w:val="20"/>
              </w:rPr>
            </w:pPr>
            <w:r>
              <w:rPr>
                <w:color w:val="000000"/>
                <w:spacing w:val="0"/>
                <w:w w:val="100"/>
                <w:position w:val="0"/>
                <w:sz w:val="20"/>
                <w:szCs w:val="20"/>
              </w:rPr>
              <w:t>《公司法》第一百四十六条第（四）项</w:t>
            </w:r>
          </w:p>
          <w:p>
            <w:pPr>
              <w:pStyle w:val="21"/>
              <w:keepNext w:val="0"/>
              <w:keepLines w:val="0"/>
              <w:widowControl w:val="0"/>
              <w:shd w:val="clear" w:color="auto" w:fill="auto"/>
              <w:bidi w:val="0"/>
              <w:spacing w:before="0" w:after="180" w:line="240" w:lineRule="auto"/>
              <w:ind w:left="0" w:right="0" w:firstLine="180"/>
              <w:jc w:val="left"/>
              <w:rPr>
                <w:sz w:val="20"/>
                <w:szCs w:val="20"/>
              </w:rPr>
            </w:pPr>
            <w:r>
              <w:rPr>
                <w:color w:val="000000"/>
                <w:spacing w:val="0"/>
                <w:w w:val="100"/>
                <w:position w:val="0"/>
                <w:sz w:val="20"/>
                <w:szCs w:val="20"/>
              </w:rPr>
              <w:t>《证券公司童事、监事和高级管理人员任职资格监管办法》第八条笫（一）项</w:t>
            </w:r>
          </w:p>
          <w:p>
            <w:pPr>
              <w:pStyle w:val="21"/>
              <w:keepNext w:val="0"/>
              <w:keepLines w:val="0"/>
              <w:widowControl w:val="0"/>
              <w:shd w:val="clear" w:color="auto" w:fill="auto"/>
              <w:bidi w:val="0"/>
              <w:spacing w:before="0" w:after="180" w:line="240" w:lineRule="auto"/>
              <w:ind w:left="0" w:right="0" w:firstLine="180"/>
              <w:jc w:val="left"/>
              <w:rPr>
                <w:sz w:val="20"/>
                <w:szCs w:val="20"/>
              </w:rPr>
            </w:pPr>
            <w:r>
              <w:rPr>
                <w:color w:val="000000"/>
                <w:spacing w:val="0"/>
                <w:w w:val="100"/>
                <w:position w:val="0"/>
                <w:sz w:val="20"/>
                <w:szCs w:val="20"/>
              </w:rPr>
              <w:t>《证券投资基金法》第十五条第（二）项</w:t>
            </w:r>
          </w:p>
        </w:tc>
        <w:tc>
          <w:tcPr>
            <w:tcW w:w="17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证监会</w:t>
            </w:r>
          </w:p>
        </w:tc>
      </w:tr>
    </w:tbl>
    <w:p>
      <w:pPr>
        <w:sectPr>
          <w:footerReference r:id="rId10" w:type="first"/>
          <w:footerReference r:id="rId9" w:type="default"/>
          <w:footnotePr>
            <w:numFmt w:val="decimal"/>
          </w:footnotePr>
          <w:pgSz w:w="16840" w:h="11900" w:orient="landscape"/>
          <w:pgMar w:top="1703" w:right="1290" w:bottom="1655" w:left="1324" w:header="0" w:footer="3" w:gutter="0"/>
          <w:pgNumType w:fmt="decimal"/>
          <w:cols w:space="720" w:num="1"/>
          <w:titlePg/>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2784"/>
        <w:gridCol w:w="9350"/>
        <w:gridCol w:w="2083"/>
      </w:tblGrid>
      <w:tr>
        <w:tblPrEx>
          <w:tblCellMar>
            <w:top w:w="0" w:type="dxa"/>
            <w:left w:w="10" w:type="dxa"/>
            <w:bottom w:w="0" w:type="dxa"/>
            <w:right w:w="10" w:type="dxa"/>
          </w:tblCellMar>
        </w:tblPrEx>
        <w:trPr>
          <w:trHeight w:val="2544"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417" w:lineRule="exact"/>
              <w:ind w:left="0" w:right="0" w:firstLine="0"/>
              <w:jc w:val="both"/>
              <w:rPr>
                <w:color w:val="000000"/>
                <w:spacing w:val="0"/>
                <w:w w:val="100"/>
                <w:position w:val="0"/>
                <w:sz w:val="20"/>
                <w:szCs w:val="20"/>
              </w:rPr>
            </w:pPr>
            <w:r>
              <w:rPr>
                <w:color w:val="000000"/>
                <w:spacing w:val="0"/>
                <w:w w:val="100"/>
                <w:position w:val="0"/>
                <w:sz w:val="20"/>
                <w:szCs w:val="20"/>
              </w:rPr>
              <w:t>人员等，对其证券、基金、期 货从业资</w:t>
            </w:r>
            <w:r>
              <w:rPr>
                <w:color w:val="000000"/>
                <w:spacing w:val="0"/>
                <w:w w:val="100"/>
                <w:position w:val="0"/>
                <w:sz w:val="20"/>
                <w:szCs w:val="20"/>
                <w:lang w:val="zh-CN" w:eastAsia="zh-CN" w:bidi="zh-CN"/>
              </w:rPr>
              <w:t>格申谙</w:t>
            </w:r>
            <w:r>
              <w:rPr>
                <w:color w:val="000000"/>
                <w:spacing w:val="0"/>
                <w:w w:val="100"/>
                <w:position w:val="0"/>
                <w:sz w:val="20"/>
                <w:szCs w:val="20"/>
              </w:rPr>
              <w:t>予以从严审核；对已成为证券、基金、期货从业人员的予以关注。</w:t>
            </w:r>
          </w:p>
          <w:p>
            <w:pPr>
              <w:pStyle w:val="21"/>
              <w:keepNext w:val="0"/>
              <w:keepLines w:val="0"/>
              <w:widowControl w:val="0"/>
              <w:shd w:val="clear" w:color="auto" w:fill="auto"/>
              <w:bidi w:val="0"/>
              <w:spacing w:before="0" w:after="0" w:line="417" w:lineRule="exact"/>
              <w:ind w:left="0" w:right="0" w:firstLine="0"/>
              <w:jc w:val="both"/>
              <w:rPr>
                <w:color w:val="000000"/>
                <w:spacing w:val="0"/>
                <w:w w:val="100"/>
                <w:position w:val="0"/>
                <w:sz w:val="20"/>
                <w:szCs w:val="2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140" w:after="160" w:line="240" w:lineRule="auto"/>
              <w:ind w:left="0" w:right="0" w:firstLine="200"/>
              <w:jc w:val="left"/>
              <w:rPr>
                <w:sz w:val="20"/>
                <w:szCs w:val="20"/>
              </w:rPr>
            </w:pPr>
            <w:r>
              <w:rPr>
                <w:color w:val="000000"/>
                <w:spacing w:val="0"/>
                <w:w w:val="100"/>
                <w:position w:val="0"/>
                <w:sz w:val="20"/>
                <w:szCs w:val="20"/>
              </w:rPr>
              <w:t>《证券投资基金行业髙级管理人员任职资格管理办法》第四条</w:t>
            </w:r>
          </w:p>
          <w:p>
            <w:pPr>
              <w:pStyle w:val="21"/>
              <w:keepNext w:val="0"/>
              <w:keepLines w:val="0"/>
              <w:widowControl w:val="0"/>
              <w:shd w:val="clear" w:color="auto" w:fill="auto"/>
              <w:bidi w:val="0"/>
              <w:spacing w:before="0" w:after="160" w:line="240" w:lineRule="auto"/>
              <w:ind w:left="0" w:right="0" w:firstLine="200"/>
              <w:jc w:val="left"/>
              <w:rPr>
                <w:sz w:val="20"/>
                <w:szCs w:val="20"/>
              </w:rPr>
            </w:pPr>
            <w:r>
              <w:rPr>
                <w:color w:val="000000"/>
                <w:spacing w:val="0"/>
                <w:w w:val="100"/>
                <w:position w:val="0"/>
                <w:sz w:val="20"/>
                <w:szCs w:val="20"/>
              </w:rPr>
              <w:t>《期货公司筮事、监事和高级管理人员任职资格管理办法》第六条</w:t>
            </w:r>
          </w:p>
          <w:p>
            <w:pPr>
              <w:pStyle w:val="21"/>
              <w:keepNext w:val="0"/>
              <w:keepLines w:val="0"/>
              <w:widowControl w:val="0"/>
              <w:shd w:val="clear" w:color="auto" w:fill="auto"/>
              <w:bidi w:val="0"/>
              <w:spacing w:before="0" w:after="160" w:line="240" w:lineRule="auto"/>
              <w:ind w:left="0" w:right="0" w:firstLine="200"/>
              <w:jc w:val="left"/>
              <w:rPr>
                <w:sz w:val="20"/>
                <w:szCs w:val="20"/>
              </w:rPr>
            </w:pPr>
            <w:r>
              <w:rPr>
                <w:color w:val="000000"/>
                <w:spacing w:val="0"/>
                <w:w w:val="100"/>
                <w:position w:val="0"/>
                <w:sz w:val="20"/>
                <w:szCs w:val="20"/>
              </w:rPr>
              <w:t>《证券业从业人员资格管理办法》第十条第（五）项</w:t>
            </w:r>
          </w:p>
          <w:p>
            <w:pPr>
              <w:pStyle w:val="21"/>
              <w:keepNext w:val="0"/>
              <w:keepLines w:val="0"/>
              <w:widowControl w:val="0"/>
              <w:shd w:val="clear" w:color="auto" w:fill="auto"/>
              <w:bidi w:val="0"/>
              <w:spacing w:before="0" w:after="160" w:line="240" w:lineRule="auto"/>
              <w:ind w:left="0" w:right="0" w:firstLine="200"/>
              <w:jc w:val="left"/>
              <w:rPr>
                <w:sz w:val="20"/>
                <w:szCs w:val="20"/>
              </w:rPr>
            </w:pPr>
            <w:r>
              <w:rPr>
                <w:color w:val="000000"/>
                <w:spacing w:val="0"/>
                <w:w w:val="100"/>
                <w:position w:val="0"/>
                <w:sz w:val="20"/>
                <w:szCs w:val="20"/>
              </w:rPr>
              <w:t>《期货从业人员管理办法》第十条第（一）项</w:t>
            </w:r>
          </w:p>
          <w:p>
            <w:pPr>
              <w:pStyle w:val="21"/>
              <w:keepNext w:val="0"/>
              <w:keepLines w:val="0"/>
              <w:widowControl w:val="0"/>
              <w:shd w:val="clear" w:color="auto" w:fill="auto"/>
              <w:bidi w:val="0"/>
              <w:spacing w:before="0" w:after="160" w:line="240" w:lineRule="auto"/>
              <w:ind w:left="0" w:right="0" w:firstLine="200"/>
              <w:jc w:val="left"/>
              <w:rPr>
                <w:sz w:val="20"/>
                <w:szCs w:val="20"/>
              </w:rPr>
            </w:pPr>
            <w:r>
              <w:rPr>
                <w:color w:val="000000"/>
                <w:spacing w:val="0"/>
                <w:w w:val="100"/>
                <w:position w:val="0"/>
                <w:sz w:val="20"/>
                <w:szCs w:val="20"/>
              </w:rPr>
              <w:t>《私募投资基金监督管理暂行办法》第四条</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99"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426" w:lineRule="exact"/>
              <w:ind w:left="0" w:right="0" w:firstLine="0"/>
              <w:jc w:val="both"/>
              <w:rPr>
                <w:sz w:val="20"/>
                <w:szCs w:val="20"/>
              </w:rPr>
            </w:pPr>
            <w:r>
              <w:rPr>
                <w:rFonts w:hint="eastAsia"/>
                <w:color w:val="000000"/>
                <w:spacing w:val="0"/>
                <w:w w:val="100"/>
                <w:position w:val="0"/>
                <w:sz w:val="20"/>
                <w:szCs w:val="20"/>
                <w:lang w:val="en-US" w:eastAsia="zh-CN"/>
              </w:rPr>
              <w:t>20.</w:t>
            </w:r>
            <w:r>
              <w:rPr>
                <w:color w:val="000000"/>
                <w:spacing w:val="0"/>
                <w:w w:val="100"/>
                <w:position w:val="0"/>
                <w:sz w:val="20"/>
                <w:szCs w:val="20"/>
              </w:rPr>
              <w:t>在境内上市公司实行股权激励计划或相关人员成为股权激励对象事中事后监管中予以关注。</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《上市公司管权激励管理办法》第七、八条</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证监会</w:t>
            </w:r>
          </w:p>
        </w:tc>
      </w:tr>
      <w:tr>
        <w:tblPrEx>
          <w:tblCellMar>
            <w:top w:w="0" w:type="dxa"/>
            <w:left w:w="10" w:type="dxa"/>
            <w:bottom w:w="0" w:type="dxa"/>
            <w:right w:w="10" w:type="dxa"/>
          </w:tblCellMar>
        </w:tblPrEx>
        <w:trPr>
          <w:trHeight w:val="2544"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426" w:lineRule="exact"/>
              <w:ind w:left="0" w:right="0" w:firstLine="0"/>
              <w:jc w:val="both"/>
              <w:rPr>
                <w:sz w:val="20"/>
                <w:szCs w:val="20"/>
              </w:rPr>
            </w:pPr>
            <w:r>
              <w:rPr>
                <w:rFonts w:hint="eastAsia"/>
                <w:color w:val="000000"/>
                <w:spacing w:val="0"/>
                <w:w w:val="100"/>
                <w:position w:val="0"/>
                <w:sz w:val="20"/>
                <w:szCs w:val="20"/>
                <w:lang w:val="en-US" w:eastAsia="zh-CN"/>
              </w:rPr>
              <w:t>21.</w:t>
            </w:r>
            <w:r>
              <w:rPr>
                <w:color w:val="000000"/>
                <w:spacing w:val="0"/>
                <w:w w:val="100"/>
                <w:position w:val="0"/>
                <w:sz w:val="20"/>
                <w:szCs w:val="20"/>
              </w:rPr>
              <w:t>限制其在检验检测认证行业执业；</w:t>
            </w:r>
            <w:r>
              <w:rPr>
                <w:rFonts w:hint="eastAsia"/>
                <w:color w:val="000000"/>
                <w:spacing w:val="0"/>
                <w:w w:val="100"/>
                <w:position w:val="0"/>
                <w:sz w:val="20"/>
                <w:szCs w:val="20"/>
                <w:lang w:eastAsia="zh-CN"/>
              </w:rPr>
              <w:t>限制</w:t>
            </w:r>
            <w:r>
              <w:rPr>
                <w:color w:val="000000"/>
                <w:spacing w:val="0"/>
                <w:w w:val="100"/>
                <w:position w:val="0"/>
                <w:sz w:val="20"/>
                <w:szCs w:val="20"/>
              </w:rPr>
              <w:t>取得认证机构资质，</w:t>
            </w:r>
            <w:r>
              <w:rPr>
                <w:rFonts w:hint="eastAsia"/>
                <w:color w:val="000000"/>
                <w:spacing w:val="0"/>
                <w:w w:val="100"/>
                <w:position w:val="0"/>
                <w:sz w:val="20"/>
                <w:szCs w:val="20"/>
                <w:lang w:eastAsia="zh-CN"/>
              </w:rPr>
              <w:t>限制</w:t>
            </w:r>
            <w:r>
              <w:rPr>
                <w:color w:val="000000"/>
                <w:spacing w:val="0"/>
                <w:w w:val="100"/>
                <w:position w:val="0"/>
                <w:sz w:val="20"/>
                <w:szCs w:val="20"/>
              </w:rPr>
              <w:t>获得认证证书。</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422" w:lineRule="exact"/>
              <w:ind w:left="0" w:right="0" w:firstLine="200"/>
              <w:jc w:val="left"/>
              <w:rPr>
                <w:sz w:val="20"/>
                <w:szCs w:val="20"/>
              </w:rPr>
            </w:pPr>
            <w:r>
              <w:rPr>
                <w:color w:val="000000"/>
                <w:spacing w:val="0"/>
                <w:w w:val="100"/>
                <w:position w:val="0"/>
                <w:sz w:val="20"/>
                <w:szCs w:val="20"/>
              </w:rPr>
              <w:t>《国务院关于建立完善守信联合激励和失信惩戒制度加快推进社会诚信建设的指导意 见》第十条</w:t>
            </w:r>
          </w:p>
          <w:p>
            <w:pPr>
              <w:pStyle w:val="21"/>
              <w:keepNext w:val="0"/>
              <w:keepLines w:val="0"/>
              <w:widowControl w:val="0"/>
              <w:shd w:val="clear" w:color="auto" w:fill="auto"/>
              <w:bidi w:val="0"/>
              <w:spacing w:before="0" w:after="0" w:line="422" w:lineRule="exact"/>
              <w:ind w:left="0" w:right="0" w:firstLine="200"/>
              <w:jc w:val="left"/>
              <w:rPr>
                <w:sz w:val="20"/>
                <w:szCs w:val="20"/>
              </w:rPr>
            </w:pPr>
            <w:r>
              <w:rPr>
                <w:color w:val="000000"/>
                <w:spacing w:val="0"/>
                <w:w w:val="100"/>
                <w:position w:val="0"/>
                <w:sz w:val="20"/>
                <w:szCs w:val="20"/>
              </w:rPr>
              <w:t>《国务院关于促进市场公平竞争维护市场正常秩序的若干意见》第（十五）项</w:t>
            </w:r>
          </w:p>
          <w:p>
            <w:pPr>
              <w:pStyle w:val="21"/>
              <w:keepNext w:val="0"/>
              <w:keepLines w:val="0"/>
              <w:widowControl w:val="0"/>
              <w:shd w:val="clear" w:color="auto" w:fill="auto"/>
              <w:bidi w:val="0"/>
              <w:spacing w:before="0" w:after="0" w:line="422" w:lineRule="exact"/>
              <w:ind w:left="180" w:right="0" w:firstLine="20"/>
              <w:jc w:val="left"/>
              <w:rPr>
                <w:sz w:val="20"/>
                <w:szCs w:val="20"/>
              </w:rPr>
            </w:pPr>
            <w:r>
              <w:rPr>
                <w:color w:val="000000"/>
                <w:spacing w:val="0"/>
                <w:w w:val="100"/>
                <w:position w:val="0"/>
                <w:sz w:val="20"/>
                <w:szCs w:val="20"/>
              </w:rPr>
              <w:t>《国务院关于印发社会信用体系建设规划纲要</w:t>
            </w:r>
            <w:r>
              <w:rPr>
                <w:color w:val="000000"/>
                <w:spacing w:val="0"/>
                <w:w w:val="100"/>
                <w:position w:val="0"/>
                <w:sz w:val="26"/>
                <w:szCs w:val="26"/>
                <w:lang w:val="en-US" w:eastAsia="en-US" w:bidi="en-US"/>
              </w:rPr>
              <w:t>（</w:t>
            </w:r>
            <w:r>
              <w:rPr>
                <w:rFonts w:ascii="Times New Roman" w:hAnsi="Times New Roman" w:eastAsia="Times New Roman" w:cs="Times New Roman"/>
                <w:color w:val="000000"/>
                <w:spacing w:val="0"/>
                <w:w w:val="100"/>
                <w:position w:val="0"/>
                <w:sz w:val="26"/>
                <w:szCs w:val="26"/>
                <w:lang w:val="en-US" w:eastAsia="en-US" w:bidi="en-US"/>
              </w:rPr>
              <w:t>2014-2020</w:t>
            </w:r>
            <w:r>
              <w:rPr>
                <w:color w:val="000000"/>
                <w:spacing w:val="0"/>
                <w:w w:val="100"/>
                <w:position w:val="0"/>
                <w:sz w:val="20"/>
                <w:szCs w:val="20"/>
              </w:rPr>
              <w:t>年）的通知》第二部分（一）、 （二）条</w:t>
            </w:r>
          </w:p>
          <w:p>
            <w:pPr>
              <w:pStyle w:val="21"/>
              <w:keepNext w:val="0"/>
              <w:keepLines w:val="0"/>
              <w:widowControl w:val="0"/>
              <w:shd w:val="clear" w:color="auto" w:fill="auto"/>
              <w:bidi w:val="0"/>
              <w:spacing w:before="0" w:after="0" w:line="422" w:lineRule="exact"/>
              <w:ind w:left="0" w:right="0" w:firstLine="180"/>
              <w:jc w:val="left"/>
              <w:rPr>
                <w:color w:val="000000"/>
                <w:spacing w:val="0"/>
                <w:w w:val="100"/>
                <w:position w:val="0"/>
                <w:sz w:val="20"/>
                <w:szCs w:val="20"/>
              </w:rPr>
            </w:pPr>
            <w:r>
              <w:rPr>
                <w:color w:val="000000"/>
                <w:spacing w:val="0"/>
                <w:w w:val="100"/>
                <w:position w:val="0"/>
                <w:sz w:val="20"/>
                <w:szCs w:val="20"/>
              </w:rPr>
              <w:t>《认证机构管理办法》第二十一条</w:t>
            </w:r>
          </w:p>
          <w:p>
            <w:pPr>
              <w:pStyle w:val="21"/>
              <w:keepNext w:val="0"/>
              <w:keepLines w:val="0"/>
              <w:widowControl w:val="0"/>
              <w:shd w:val="clear" w:color="auto" w:fill="auto"/>
              <w:bidi w:val="0"/>
              <w:spacing w:before="0" w:after="0" w:line="422" w:lineRule="exact"/>
              <w:ind w:left="0" w:right="0" w:firstLine="180"/>
              <w:jc w:val="left"/>
              <w:rPr>
                <w:color w:val="000000"/>
                <w:spacing w:val="0"/>
                <w:w w:val="100"/>
                <w:position w:val="0"/>
                <w:sz w:val="20"/>
                <w:szCs w:val="20"/>
              </w:rPr>
            </w:pP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质检总局</w:t>
            </w:r>
          </w:p>
        </w:tc>
      </w:tr>
      <w:tr>
        <w:tblPrEx>
          <w:tblCellMar>
            <w:top w:w="0" w:type="dxa"/>
            <w:left w:w="10" w:type="dxa"/>
            <w:bottom w:w="0" w:type="dxa"/>
            <w:right w:w="10" w:type="dxa"/>
          </w:tblCellMar>
        </w:tblPrEx>
        <w:trPr>
          <w:trHeight w:val="1402"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427" w:lineRule="exact"/>
              <w:ind w:left="0" w:right="0" w:firstLine="0"/>
              <w:jc w:val="both"/>
              <w:rPr>
                <w:sz w:val="20"/>
                <w:szCs w:val="20"/>
              </w:rPr>
            </w:pPr>
            <w:r>
              <w:rPr>
                <w:rFonts w:hint="eastAsia"/>
                <w:color w:val="000000"/>
                <w:spacing w:val="0"/>
                <w:w w:val="100"/>
                <w:position w:val="0"/>
                <w:sz w:val="20"/>
                <w:szCs w:val="20"/>
                <w:lang w:val="en-US" w:eastAsia="zh-CN"/>
              </w:rPr>
              <w:t>22.</w:t>
            </w:r>
            <w:r>
              <w:rPr>
                <w:color w:val="000000"/>
                <w:spacing w:val="0"/>
                <w:w w:val="100"/>
                <w:position w:val="0"/>
                <w:sz w:val="20"/>
                <w:szCs w:val="20"/>
              </w:rPr>
              <w:t>在上市公司或者非上市公众公司收购的事中事后监管中予以关注。</w:t>
            </w:r>
          </w:p>
        </w:tc>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160" w:line="240" w:lineRule="auto"/>
              <w:ind w:left="0" w:right="0" w:firstLine="180"/>
              <w:jc w:val="left"/>
              <w:rPr>
                <w:sz w:val="20"/>
                <w:szCs w:val="20"/>
              </w:rPr>
            </w:pPr>
            <w:r>
              <w:rPr>
                <w:color w:val="000000"/>
                <w:spacing w:val="0"/>
                <w:w w:val="100"/>
                <w:position w:val="0"/>
                <w:sz w:val="20"/>
                <w:szCs w:val="20"/>
              </w:rPr>
              <w:t>《上市公司收购管理办法》笫六条</w:t>
            </w:r>
          </w:p>
          <w:p>
            <w:pPr>
              <w:pStyle w:val="21"/>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《非上市公众公司收购管理办法》笫六条</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证监会</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2774"/>
        <w:gridCol w:w="9350"/>
        <w:gridCol w:w="2093"/>
      </w:tblGrid>
      <w:tr>
        <w:tblPrEx>
          <w:tblCellMar>
            <w:top w:w="0" w:type="dxa"/>
            <w:left w:w="10" w:type="dxa"/>
            <w:bottom w:w="0" w:type="dxa"/>
            <w:right w:w="10" w:type="dxa"/>
          </w:tblCellMar>
        </w:tblPrEx>
        <w:trPr>
          <w:trHeight w:val="1363"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432" w:lineRule="exact"/>
              <w:ind w:left="0" w:right="0" w:firstLine="0"/>
              <w:jc w:val="both"/>
              <w:rPr>
                <w:sz w:val="20"/>
                <w:szCs w:val="20"/>
              </w:rPr>
            </w:pPr>
            <w:r>
              <w:rPr>
                <w:rFonts w:hint="eastAsia"/>
                <w:color w:val="000000"/>
                <w:spacing w:val="0"/>
                <w:w w:val="100"/>
                <w:position w:val="0"/>
                <w:sz w:val="20"/>
                <w:szCs w:val="20"/>
                <w:lang w:val="en-US" w:eastAsia="zh-CN"/>
              </w:rPr>
              <w:t>23.</w:t>
            </w:r>
            <w:r>
              <w:rPr>
                <w:color w:val="000000"/>
                <w:spacing w:val="0"/>
                <w:w w:val="100"/>
                <w:position w:val="0"/>
                <w:sz w:val="20"/>
                <w:szCs w:val="20"/>
              </w:rPr>
              <w:t>限制参与有关公共资源交易活动。</w:t>
            </w: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422" w:lineRule="exact"/>
              <w:ind w:left="0" w:right="0" w:firstLine="200"/>
              <w:jc w:val="both"/>
              <w:rPr>
                <w:color w:val="000000"/>
                <w:spacing w:val="0"/>
                <w:w w:val="100"/>
                <w:position w:val="0"/>
                <w:sz w:val="20"/>
                <w:szCs w:val="20"/>
              </w:rPr>
            </w:pPr>
          </w:p>
          <w:p>
            <w:pPr>
              <w:pStyle w:val="21"/>
              <w:keepNext w:val="0"/>
              <w:keepLines w:val="0"/>
              <w:widowControl w:val="0"/>
              <w:shd w:val="clear" w:color="auto" w:fill="auto"/>
              <w:bidi w:val="0"/>
              <w:spacing w:before="0" w:after="0" w:line="422" w:lineRule="exact"/>
              <w:ind w:left="0" w:right="0" w:firstLine="200"/>
              <w:jc w:val="both"/>
              <w:rPr>
                <w:sz w:val="20"/>
                <w:szCs w:val="20"/>
              </w:rPr>
            </w:pPr>
            <w:r>
              <w:rPr>
                <w:color w:val="000000"/>
                <w:spacing w:val="0"/>
                <w:w w:val="100"/>
                <w:position w:val="0"/>
                <w:sz w:val="20"/>
                <w:szCs w:val="20"/>
              </w:rPr>
              <w:t>《国务院关于建立完善守信联合激励和失信惩戒制度加快推进社会诚信建设的指导意 见》第十条</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413" w:lineRule="exact"/>
              <w:ind w:left="0" w:right="0" w:firstLine="0"/>
              <w:jc w:val="left"/>
              <w:rPr>
                <w:sz w:val="20"/>
                <w:szCs w:val="20"/>
              </w:rPr>
            </w:pPr>
            <w:r>
              <w:rPr>
                <w:color w:val="000000"/>
                <w:spacing w:val="0"/>
                <w:w w:val="100"/>
                <w:position w:val="0"/>
                <w:sz w:val="20"/>
                <w:szCs w:val="20"/>
              </w:rPr>
              <w:t>国家发展改革委、 财政部,国资</w:t>
            </w:r>
            <w:r>
              <w:rPr>
                <w:rFonts w:hint="eastAsia"/>
                <w:color w:val="000000"/>
                <w:spacing w:val="0"/>
                <w:w w:val="100"/>
                <w:position w:val="0"/>
                <w:sz w:val="20"/>
                <w:szCs w:val="20"/>
                <w:lang w:eastAsia="zh-CN"/>
              </w:rPr>
              <w:t>委</w:t>
            </w:r>
            <w:r>
              <w:rPr>
                <w:color w:val="000000"/>
                <w:spacing w:val="0"/>
                <w:w w:val="100"/>
                <w:position w:val="0"/>
                <w:sz w:val="20"/>
                <w:szCs w:val="20"/>
              </w:rPr>
              <w:t>等有关单位</w:t>
            </w:r>
          </w:p>
        </w:tc>
      </w:tr>
      <w:tr>
        <w:tblPrEx>
          <w:tblCellMar>
            <w:top w:w="0" w:type="dxa"/>
            <w:left w:w="10" w:type="dxa"/>
            <w:bottom w:w="0" w:type="dxa"/>
            <w:right w:w="10" w:type="dxa"/>
          </w:tblCellMar>
        </w:tblPrEx>
        <w:trPr>
          <w:trHeight w:val="1622"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442" w:lineRule="exact"/>
              <w:ind w:left="0" w:right="0" w:firstLine="0"/>
              <w:jc w:val="both"/>
              <w:rPr>
                <w:sz w:val="20"/>
                <w:szCs w:val="20"/>
              </w:rPr>
            </w:pPr>
            <w:r>
              <w:rPr>
                <w:rFonts w:hint="eastAsia"/>
                <w:color w:val="000000"/>
                <w:spacing w:val="0"/>
                <w:w w:val="100"/>
                <w:position w:val="0"/>
                <w:sz w:val="20"/>
                <w:szCs w:val="20"/>
                <w:lang w:val="en-US" w:eastAsia="zh-CN"/>
              </w:rPr>
              <w:t>24.</w:t>
            </w:r>
            <w:r>
              <w:rPr>
                <w:color w:val="000000"/>
                <w:spacing w:val="0"/>
                <w:w w:val="100"/>
                <w:position w:val="0"/>
                <w:sz w:val="20"/>
                <w:szCs w:val="20"/>
              </w:rPr>
              <w:t>限制、暂停或取消政策性资金支持。</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140" w:line="240" w:lineRule="auto"/>
              <w:ind w:left="0" w:right="0" w:firstLine="180"/>
              <w:jc w:val="both"/>
              <w:rPr>
                <w:sz w:val="20"/>
                <w:szCs w:val="20"/>
              </w:rPr>
            </w:pPr>
            <w:r>
              <w:rPr>
                <w:color w:val="000000"/>
                <w:spacing w:val="0"/>
                <w:w w:val="100"/>
                <w:position w:val="0"/>
                <w:sz w:val="20"/>
                <w:szCs w:val="20"/>
              </w:rPr>
              <w:t>《国务院关于促进市场公平竞争维护市场正常秩序的若干意见》第（十五）项</w:t>
            </w:r>
          </w:p>
          <w:p>
            <w:pPr>
              <w:pStyle w:val="21"/>
              <w:keepNext w:val="0"/>
              <w:keepLines w:val="0"/>
              <w:widowControl w:val="0"/>
              <w:shd w:val="clear" w:color="auto" w:fill="auto"/>
              <w:bidi w:val="0"/>
              <w:spacing w:before="0" w:after="140" w:line="240" w:lineRule="auto"/>
              <w:ind w:left="0" w:right="0" w:firstLine="180"/>
              <w:jc w:val="both"/>
              <w:rPr>
                <w:sz w:val="20"/>
                <w:szCs w:val="20"/>
              </w:rPr>
            </w:pPr>
            <w:r>
              <w:rPr>
                <w:color w:val="000000"/>
                <w:spacing w:val="0"/>
                <w:w w:val="100"/>
                <w:position w:val="0"/>
                <w:sz w:val="20"/>
                <w:szCs w:val="20"/>
              </w:rPr>
              <w:t>《国务院关于建立完善守信联合激励和失信惩戒制度加快推进社会诚信建设的指导意</w:t>
            </w:r>
          </w:p>
          <w:p>
            <w:pPr>
              <w:pStyle w:val="21"/>
              <w:keepNext w:val="0"/>
              <w:keepLines w:val="0"/>
              <w:widowControl w:val="0"/>
              <w:shd w:val="clear" w:color="auto" w:fill="auto"/>
              <w:bidi w:val="0"/>
              <w:spacing w:before="0" w:after="140" w:line="240" w:lineRule="auto"/>
              <w:ind w:left="0" w:right="0" w:firstLine="0"/>
              <w:jc w:val="left"/>
              <w:rPr>
                <w:sz w:val="20"/>
                <w:szCs w:val="20"/>
              </w:rPr>
            </w:pPr>
            <w:r>
              <w:rPr>
                <w:color w:val="000000"/>
                <w:spacing w:val="0"/>
                <w:w w:val="100"/>
                <w:position w:val="0"/>
                <w:sz w:val="20"/>
                <w:szCs w:val="20"/>
              </w:rPr>
              <w:t>见》第十条</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432" w:lineRule="exact"/>
              <w:ind w:left="0" w:right="0" w:firstLine="0"/>
              <w:jc w:val="center"/>
              <w:rPr>
                <w:sz w:val="20"/>
                <w:szCs w:val="20"/>
              </w:rPr>
            </w:pPr>
            <w:r>
              <w:rPr>
                <w:color w:val="000000"/>
                <w:spacing w:val="0"/>
                <w:w w:val="100"/>
                <w:position w:val="0"/>
                <w:sz w:val="20"/>
                <w:szCs w:val="20"/>
              </w:rPr>
              <w:t>财政部等有关单位</w:t>
            </w:r>
          </w:p>
        </w:tc>
      </w:tr>
      <w:tr>
        <w:tblPrEx>
          <w:tblCellMar>
            <w:top w:w="0" w:type="dxa"/>
            <w:left w:w="10" w:type="dxa"/>
            <w:bottom w:w="0" w:type="dxa"/>
            <w:right w:w="10" w:type="dxa"/>
          </w:tblCellMar>
        </w:tblPrEx>
        <w:trPr>
          <w:trHeight w:val="1392"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326" w:lineRule="exact"/>
              <w:ind w:left="0" w:right="0" w:firstLine="0"/>
              <w:jc w:val="both"/>
              <w:rPr>
                <w:sz w:val="20"/>
                <w:szCs w:val="20"/>
              </w:rPr>
            </w:pPr>
            <w:r>
              <w:rPr>
                <w:rFonts w:hint="eastAsia"/>
                <w:color w:val="000000"/>
                <w:spacing w:val="0"/>
                <w:w w:val="100"/>
                <w:position w:val="0"/>
                <w:sz w:val="20"/>
                <w:szCs w:val="20"/>
                <w:lang w:val="en-US" w:eastAsia="zh-CN"/>
              </w:rPr>
              <w:t>25.</w:t>
            </w:r>
            <w:r>
              <w:rPr>
                <w:color w:val="000000"/>
                <w:spacing w:val="0"/>
                <w:w w:val="100"/>
                <w:position w:val="0"/>
                <w:sz w:val="20"/>
                <w:szCs w:val="20"/>
              </w:rPr>
              <w:t>停止执行投资等领域优惠政策。</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317" w:lineRule="exact"/>
              <w:ind w:left="0" w:right="0" w:firstLine="200"/>
              <w:jc w:val="both"/>
              <w:rPr>
                <w:sz w:val="20"/>
                <w:szCs w:val="20"/>
              </w:rPr>
            </w:pPr>
            <w:r>
              <w:rPr>
                <w:color w:val="000000"/>
                <w:spacing w:val="0"/>
                <w:w w:val="100"/>
                <w:position w:val="0"/>
                <w:sz w:val="20"/>
                <w:szCs w:val="20"/>
              </w:rPr>
              <w:t>《国务院关于建立完善守信联合激励和失信惩戒制度加快推进社会诚信建设的指导意见》第十条</w:t>
            </w:r>
          </w:p>
          <w:p>
            <w:pPr>
              <w:pStyle w:val="21"/>
              <w:keepNext w:val="0"/>
              <w:keepLines w:val="0"/>
              <w:widowControl w:val="0"/>
              <w:shd w:val="clear" w:color="auto" w:fill="auto"/>
              <w:bidi w:val="0"/>
              <w:spacing w:before="0" w:after="0" w:line="317" w:lineRule="exact"/>
              <w:ind w:left="0" w:right="0" w:firstLine="200"/>
              <w:jc w:val="both"/>
              <w:rPr>
                <w:sz w:val="20"/>
                <w:szCs w:val="20"/>
              </w:rPr>
            </w:pPr>
            <w:r>
              <w:rPr>
                <w:color w:val="000000"/>
                <w:spacing w:val="0"/>
                <w:w w:val="100"/>
                <w:position w:val="0"/>
                <w:sz w:val="20"/>
                <w:szCs w:val="20"/>
              </w:rPr>
              <w:t>《国务院关于促进市场公平竞争维护市场正常秩序的若干意见》</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国家发展改革委</w:t>
            </w:r>
          </w:p>
        </w:tc>
      </w:tr>
      <w:tr>
        <w:tblPrEx>
          <w:tblCellMar>
            <w:top w:w="0" w:type="dxa"/>
            <w:left w:w="10" w:type="dxa"/>
            <w:bottom w:w="0" w:type="dxa"/>
            <w:right w:w="10" w:type="dxa"/>
          </w:tblCellMar>
        </w:tblPrEx>
        <w:trPr>
          <w:trHeight w:val="979"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31" w:lineRule="exact"/>
              <w:ind w:left="0" w:right="0" w:firstLine="0"/>
              <w:jc w:val="both"/>
              <w:rPr>
                <w:sz w:val="20"/>
                <w:szCs w:val="20"/>
              </w:rPr>
            </w:pPr>
            <w:r>
              <w:rPr>
                <w:rFonts w:hint="eastAsia"/>
                <w:color w:val="000000"/>
                <w:spacing w:val="0"/>
                <w:w w:val="100"/>
                <w:position w:val="0"/>
                <w:sz w:val="20"/>
                <w:szCs w:val="20"/>
                <w:lang w:val="en-US" w:eastAsia="zh-CN"/>
              </w:rPr>
              <w:t>26.</w:t>
            </w:r>
            <w:r>
              <w:rPr>
                <w:color w:val="000000"/>
                <w:spacing w:val="0"/>
                <w:w w:val="100"/>
                <w:position w:val="0"/>
                <w:sz w:val="20"/>
                <w:szCs w:val="20"/>
              </w:rPr>
              <w:t>将惩戒对象失信行为 作为考核、提拔任用的重要参考。</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60" w:line="240" w:lineRule="auto"/>
              <w:ind w:left="0" w:right="0" w:firstLine="200"/>
              <w:jc w:val="both"/>
              <w:rPr>
                <w:sz w:val="20"/>
                <w:szCs w:val="20"/>
              </w:rPr>
            </w:pPr>
            <w:r>
              <w:rPr>
                <w:color w:val="000000"/>
                <w:spacing w:val="0"/>
                <w:w w:val="100"/>
                <w:position w:val="0"/>
                <w:sz w:val="20"/>
                <w:szCs w:val="20"/>
              </w:rPr>
              <w:t>《中华人民共和国企业国有资产法》第二十三条</w:t>
            </w:r>
          </w:p>
          <w:p>
            <w:pPr>
              <w:pStyle w:val="21"/>
              <w:keepNext w:val="0"/>
              <w:keepLines w:val="0"/>
              <w:widowControl w:val="0"/>
              <w:shd w:val="clear" w:color="auto" w:fill="auto"/>
              <w:bidi w:val="0"/>
              <w:spacing w:before="0" w:after="60" w:line="240" w:lineRule="auto"/>
              <w:ind w:left="0" w:right="0" w:firstLine="200"/>
              <w:jc w:val="both"/>
              <w:rPr>
                <w:sz w:val="20"/>
                <w:szCs w:val="20"/>
              </w:rPr>
            </w:pPr>
            <w:r>
              <w:rPr>
                <w:color w:val="000000"/>
                <w:spacing w:val="0"/>
                <w:w w:val="100"/>
                <w:position w:val="0"/>
                <w:sz w:val="20"/>
                <w:szCs w:val="20"/>
              </w:rPr>
              <w:t>《中央企业负责人经营业绩考核办法》第三十八条</w:t>
            </w:r>
          </w:p>
          <w:p>
            <w:pPr>
              <w:pStyle w:val="21"/>
              <w:keepNext w:val="0"/>
              <w:keepLines w:val="0"/>
              <w:widowControl w:val="0"/>
              <w:shd w:val="clear" w:color="auto" w:fill="auto"/>
              <w:bidi w:val="0"/>
              <w:spacing w:before="0" w:after="60" w:line="240" w:lineRule="auto"/>
              <w:ind w:left="0" w:right="0" w:firstLine="200"/>
              <w:jc w:val="both"/>
              <w:rPr>
                <w:sz w:val="20"/>
                <w:szCs w:val="20"/>
              </w:rPr>
            </w:pPr>
            <w:r>
              <w:rPr>
                <w:color w:val="000000"/>
                <w:spacing w:val="0"/>
                <w:w w:val="100"/>
                <w:position w:val="0"/>
                <w:sz w:val="20"/>
                <w:szCs w:val="20"/>
              </w:rPr>
              <w:t>《中央企业资产投资责任追究暂行办法》第三十二、三十四条</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rPr>
              <w:t>国资委</w:t>
            </w:r>
          </w:p>
        </w:tc>
      </w:tr>
      <w:tr>
        <w:tblPrEx>
          <w:tblCellMar>
            <w:top w:w="0" w:type="dxa"/>
            <w:left w:w="10" w:type="dxa"/>
            <w:bottom w:w="0" w:type="dxa"/>
            <w:right w:w="10" w:type="dxa"/>
          </w:tblCellMar>
        </w:tblPrEx>
        <w:trPr>
          <w:trHeight w:val="2621"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322" w:lineRule="exact"/>
              <w:ind w:left="0" w:right="0" w:firstLine="0"/>
              <w:jc w:val="both"/>
              <w:rPr>
                <w:sz w:val="20"/>
                <w:szCs w:val="20"/>
              </w:rPr>
            </w:pPr>
            <w:r>
              <w:rPr>
                <w:rFonts w:hint="eastAsia"/>
                <w:color w:val="000000"/>
                <w:spacing w:val="0"/>
                <w:w w:val="100"/>
                <w:position w:val="0"/>
                <w:sz w:val="20"/>
                <w:szCs w:val="20"/>
                <w:lang w:val="en-US" w:eastAsia="zh-CN"/>
              </w:rPr>
              <w:t>27.</w:t>
            </w:r>
            <w:r>
              <w:rPr>
                <w:color w:val="000000"/>
                <w:spacing w:val="0"/>
                <w:w w:val="100"/>
                <w:position w:val="0"/>
                <w:sz w:val="20"/>
                <w:szCs w:val="20"/>
              </w:rPr>
              <w:t>取消惩戒对象参加评优评</w:t>
            </w:r>
            <w:r>
              <w:rPr>
                <w:rFonts w:hint="eastAsia"/>
                <w:color w:val="000000"/>
                <w:spacing w:val="0"/>
                <w:w w:val="100"/>
                <w:position w:val="0"/>
                <w:sz w:val="20"/>
                <w:szCs w:val="20"/>
                <w:lang w:eastAsia="zh-CN"/>
              </w:rPr>
              <w:t>先</w:t>
            </w:r>
            <w:r>
              <w:rPr>
                <w:color w:val="000000"/>
                <w:spacing w:val="0"/>
                <w:w w:val="100"/>
                <w:position w:val="0"/>
                <w:sz w:val="20"/>
                <w:szCs w:val="20"/>
              </w:rPr>
              <w:t>资格，不得向惩戒对象授予“文明单位”、</w:t>
            </w:r>
            <w:r>
              <w:rPr>
                <w:color w:val="000000"/>
                <w:spacing w:val="0"/>
                <w:w w:val="100"/>
                <w:position w:val="0"/>
                <w:sz w:val="20"/>
                <w:szCs w:val="20"/>
                <w:lang w:val="zh-CN" w:eastAsia="zh-CN" w:bidi="zh-CN"/>
              </w:rPr>
              <w:t>“道</w:t>
            </w:r>
            <w:r>
              <w:rPr>
                <w:color w:val="000000"/>
                <w:spacing w:val="0"/>
                <w:w w:val="100"/>
                <w:position w:val="0"/>
                <w:sz w:val="20"/>
                <w:szCs w:val="20"/>
              </w:rPr>
              <w:t>德模范”、</w:t>
            </w:r>
            <w:r>
              <w:rPr>
                <w:color w:val="000000"/>
                <w:spacing w:val="0"/>
                <w:w w:val="100"/>
                <w:position w:val="0"/>
                <w:sz w:val="20"/>
                <w:szCs w:val="20"/>
                <w:lang w:val="zh-CN" w:eastAsia="zh-CN" w:bidi="zh-CN"/>
              </w:rPr>
              <w:t>“五一</w:t>
            </w:r>
            <w:r>
              <w:rPr>
                <w:color w:val="000000"/>
                <w:spacing w:val="0"/>
                <w:w w:val="100"/>
                <w:position w:val="0"/>
                <w:sz w:val="20"/>
                <w:szCs w:val="20"/>
              </w:rPr>
              <w:t>劳动奖章等”等政府荣誉。在失信行为发生后获得荣誉称号的予以撤销。</w:t>
            </w:r>
          </w:p>
        </w:tc>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322" w:lineRule="exact"/>
              <w:ind w:left="0" w:right="0" w:firstLine="200"/>
              <w:jc w:val="both"/>
              <w:rPr>
                <w:sz w:val="20"/>
                <w:szCs w:val="20"/>
              </w:rPr>
            </w:pPr>
            <w:r>
              <w:rPr>
                <w:color w:val="000000"/>
                <w:spacing w:val="0"/>
                <w:w w:val="100"/>
                <w:position w:val="0"/>
                <w:sz w:val="20"/>
                <w:szCs w:val="20"/>
              </w:rPr>
              <w:t>《国务院关于建立完善守信联合激励和失信惩戒制度加快推进社会诚信建设的指导意见》笫十条</w:t>
            </w:r>
          </w:p>
          <w:p>
            <w:pPr>
              <w:pStyle w:val="21"/>
              <w:keepNext w:val="0"/>
              <w:keepLines w:val="0"/>
              <w:widowControl w:val="0"/>
              <w:shd w:val="clear" w:color="auto" w:fill="auto"/>
              <w:bidi w:val="0"/>
              <w:spacing w:before="0" w:after="0" w:line="322" w:lineRule="exact"/>
              <w:ind w:left="0" w:right="0" w:firstLine="200"/>
              <w:jc w:val="both"/>
              <w:rPr>
                <w:sz w:val="20"/>
                <w:szCs w:val="20"/>
              </w:rPr>
            </w:pPr>
            <w:r>
              <w:rPr>
                <w:color w:val="000000"/>
                <w:spacing w:val="0"/>
                <w:w w:val="100"/>
                <w:position w:val="0"/>
                <w:sz w:val="20"/>
                <w:szCs w:val="20"/>
              </w:rPr>
              <w:t>《国务院关于促进市场公平竞争维护市场正常秩序的若干意见》策十五条</w:t>
            </w:r>
          </w:p>
          <w:p>
            <w:pPr>
              <w:pStyle w:val="21"/>
              <w:keepNext w:val="0"/>
              <w:keepLines w:val="0"/>
              <w:widowControl w:val="0"/>
              <w:shd w:val="clear" w:color="auto" w:fill="auto"/>
              <w:bidi w:val="0"/>
              <w:spacing w:before="0" w:after="0" w:line="322" w:lineRule="exact"/>
              <w:ind w:left="0" w:right="0" w:firstLine="200"/>
              <w:jc w:val="both"/>
              <w:rPr>
                <w:sz w:val="20"/>
                <w:szCs w:val="20"/>
              </w:rPr>
            </w:pPr>
            <w:r>
              <w:rPr>
                <w:color w:val="000000"/>
                <w:spacing w:val="0"/>
                <w:w w:val="100"/>
                <w:position w:val="0"/>
                <w:sz w:val="20"/>
                <w:szCs w:val="20"/>
              </w:rPr>
              <w:t>《关于印发</w:t>
            </w:r>
            <w:r>
              <w:rPr>
                <w:color w:val="000000"/>
                <w:spacing w:val="0"/>
                <w:w w:val="100"/>
                <w:position w:val="0"/>
                <w:sz w:val="20"/>
                <w:szCs w:val="20"/>
                <w:lang w:val="zh-CN" w:eastAsia="zh-CN" w:bidi="zh-CN"/>
              </w:rPr>
              <w:t>〈全国</w:t>
            </w:r>
            <w:r>
              <w:rPr>
                <w:color w:val="000000"/>
                <w:spacing w:val="0"/>
                <w:w w:val="100"/>
                <w:position w:val="0"/>
                <w:sz w:val="20"/>
                <w:szCs w:val="20"/>
              </w:rPr>
              <w:t>道德模范荣誉称号管理暂行</w:t>
            </w:r>
            <w:r>
              <w:rPr>
                <w:color w:val="000000"/>
                <w:spacing w:val="0"/>
                <w:w w:val="100"/>
                <w:position w:val="0"/>
                <w:sz w:val="20"/>
                <w:szCs w:val="20"/>
                <w:lang w:val="zh-CN" w:eastAsia="zh-CN" w:bidi="zh-CN"/>
              </w:rPr>
              <w:t>办法〉</w:t>
            </w:r>
            <w:r>
              <w:rPr>
                <w:color w:val="000000"/>
                <w:spacing w:val="0"/>
                <w:w w:val="100"/>
                <w:position w:val="0"/>
                <w:sz w:val="20"/>
                <w:szCs w:val="20"/>
              </w:rPr>
              <w:t>的通知》第七条笫（三）、（四）项</w:t>
            </w:r>
          </w:p>
          <w:p>
            <w:pPr>
              <w:pStyle w:val="21"/>
              <w:keepNext w:val="0"/>
              <w:keepLines w:val="0"/>
              <w:widowControl w:val="0"/>
              <w:shd w:val="clear" w:color="auto" w:fill="auto"/>
              <w:bidi w:val="0"/>
              <w:spacing w:before="0" w:after="0" w:line="322" w:lineRule="exact"/>
              <w:ind w:left="0" w:right="0" w:firstLine="200"/>
              <w:jc w:val="both"/>
              <w:rPr>
                <w:sz w:val="20"/>
                <w:szCs w:val="20"/>
              </w:rPr>
            </w:pPr>
            <w:r>
              <w:rPr>
                <w:color w:val="000000"/>
                <w:spacing w:val="0"/>
                <w:w w:val="100"/>
                <w:position w:val="0"/>
                <w:sz w:val="20"/>
                <w:szCs w:val="20"/>
              </w:rPr>
              <w:t>《金国五一劳动奖状、全国五一劳动奖章、全国工人先锋号评选管理工作暂行办法》笫七条第（四）项</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326" w:lineRule="exact"/>
              <w:ind w:left="0" w:right="0" w:firstLine="0"/>
              <w:jc w:val="left"/>
              <w:rPr>
                <w:sz w:val="20"/>
                <w:szCs w:val="20"/>
              </w:rPr>
            </w:pPr>
            <w:r>
              <w:rPr>
                <w:color w:val="000000"/>
                <w:spacing w:val="0"/>
                <w:w w:val="100"/>
                <w:position w:val="0"/>
                <w:sz w:val="20"/>
                <w:szCs w:val="20"/>
              </w:rPr>
              <w:t>中央宣传部、中央文明办、全国总工会、共靑团中央、全国妇联</w:t>
            </w:r>
          </w:p>
        </w:tc>
      </w:tr>
    </w:tbl>
    <w:p>
      <w:pPr>
        <w:sectPr>
          <w:footerReference r:id="rId11" w:type="default"/>
          <w:footnotePr>
            <w:numFmt w:val="decimal"/>
          </w:footnotePr>
          <w:pgSz w:w="16840" w:h="11900" w:orient="landscape"/>
          <w:pgMar w:top="1703" w:right="1290" w:bottom="1655" w:left="1324" w:header="1275" w:footer="3" w:gutter="0"/>
          <w:pgNumType w:fmt="decimal"/>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2774"/>
        <w:gridCol w:w="9350"/>
        <w:gridCol w:w="2083"/>
      </w:tblGrid>
      <w:tr>
        <w:tblPrEx>
          <w:tblCellMar>
            <w:top w:w="0" w:type="dxa"/>
            <w:left w:w="10" w:type="dxa"/>
            <w:bottom w:w="0" w:type="dxa"/>
            <w:right w:w="10" w:type="dxa"/>
          </w:tblCellMar>
        </w:tblPrEx>
        <w:trPr>
          <w:trHeight w:val="2329"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446" w:lineRule="exact"/>
              <w:ind w:left="0" w:right="0" w:firstLine="0"/>
              <w:jc w:val="both"/>
              <w:rPr>
                <w:sz w:val="20"/>
                <w:szCs w:val="20"/>
              </w:rPr>
            </w:pPr>
            <w:r>
              <w:rPr>
                <w:rFonts w:hint="eastAsia"/>
                <w:color w:val="000000"/>
                <w:spacing w:val="0"/>
                <w:w w:val="100"/>
                <w:position w:val="0"/>
                <w:sz w:val="20"/>
                <w:szCs w:val="20"/>
                <w:lang w:val="en-US" w:eastAsia="zh-CN"/>
              </w:rPr>
              <w:t>28.</w:t>
            </w:r>
            <w:r>
              <w:rPr>
                <w:color w:val="000000"/>
                <w:spacing w:val="0"/>
                <w:w w:val="100"/>
                <w:position w:val="0"/>
                <w:sz w:val="20"/>
                <w:szCs w:val="20"/>
              </w:rPr>
              <w:t>在</w:t>
            </w:r>
            <w:r>
              <w:rPr>
                <w:color w:val="000000"/>
                <w:spacing w:val="0"/>
                <w:w w:val="100"/>
                <w:position w:val="0"/>
                <w:sz w:val="20"/>
                <w:szCs w:val="20"/>
                <w:lang w:val="zh-CN" w:eastAsia="zh-CN" w:bidi="zh-CN"/>
              </w:rPr>
              <w:t>“信用</w:t>
            </w:r>
            <w:r>
              <w:rPr>
                <w:color w:val="000000"/>
                <w:spacing w:val="0"/>
                <w:w w:val="100"/>
                <w:position w:val="0"/>
                <w:sz w:val="20"/>
                <w:szCs w:val="20"/>
              </w:rPr>
              <w:t>中国”网站上公示惩戒对象的失信行为。</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180" w:line="240" w:lineRule="auto"/>
              <w:ind w:left="0" w:right="0" w:firstLine="200"/>
              <w:jc w:val="left"/>
              <w:rPr>
                <w:sz w:val="20"/>
                <w:szCs w:val="20"/>
              </w:rPr>
            </w:pPr>
            <w:r>
              <w:rPr>
                <w:color w:val="000000"/>
                <w:spacing w:val="0"/>
                <w:w w:val="100"/>
                <w:position w:val="0"/>
                <w:sz w:val="20"/>
                <w:szCs w:val="20"/>
              </w:rPr>
              <w:t>《中华人民共和国企业信息公示暂行条例》第七条</w:t>
            </w:r>
          </w:p>
          <w:p>
            <w:pPr>
              <w:pStyle w:val="21"/>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《国务院办公厅关于运用大数据加强对市场主体服务和监管的若干意见》</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rFonts w:hint="eastAsia"/>
                <w:color w:val="000000"/>
                <w:spacing w:val="0"/>
                <w:w w:val="100"/>
                <w:position w:val="0"/>
                <w:sz w:val="20"/>
                <w:szCs w:val="20"/>
                <w:lang w:eastAsia="zh-CN"/>
              </w:rPr>
              <w:t>国家发展</w:t>
            </w:r>
            <w:r>
              <w:rPr>
                <w:color w:val="000000"/>
                <w:spacing w:val="0"/>
                <w:w w:val="100"/>
                <w:position w:val="0"/>
                <w:sz w:val="20"/>
                <w:szCs w:val="20"/>
              </w:rPr>
              <w:t>改革委</w:t>
            </w:r>
          </w:p>
        </w:tc>
      </w:tr>
      <w:tr>
        <w:tblPrEx>
          <w:tblCellMar>
            <w:top w:w="0" w:type="dxa"/>
            <w:left w:w="10" w:type="dxa"/>
            <w:bottom w:w="0" w:type="dxa"/>
            <w:right w:w="10" w:type="dxa"/>
          </w:tblCellMar>
        </w:tblPrEx>
        <w:trPr>
          <w:trHeight w:val="2709"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446" w:lineRule="exact"/>
              <w:ind w:left="0" w:right="0" w:firstLine="0"/>
              <w:jc w:val="both"/>
              <w:rPr>
                <w:sz w:val="20"/>
                <w:szCs w:val="20"/>
              </w:rPr>
            </w:pPr>
            <w:r>
              <w:rPr>
                <w:rFonts w:hint="eastAsia"/>
                <w:color w:val="000000"/>
                <w:spacing w:val="0"/>
                <w:w w:val="100"/>
                <w:position w:val="0"/>
                <w:sz w:val="20"/>
                <w:szCs w:val="20"/>
                <w:lang w:val="en-US" w:eastAsia="zh-CN"/>
              </w:rPr>
              <w:t>29.</w:t>
            </w:r>
            <w:r>
              <w:rPr>
                <w:color w:val="000000"/>
                <w:spacing w:val="0"/>
                <w:w w:val="100"/>
                <w:position w:val="0"/>
                <w:sz w:val="20"/>
                <w:szCs w:val="20"/>
              </w:rPr>
              <w:t>推动各保险机构将惩戒对象的失信记录作为厘定保险说率的参考。</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451" w:lineRule="exact"/>
              <w:ind w:left="0" w:right="0" w:firstLine="200"/>
              <w:jc w:val="left"/>
              <w:rPr>
                <w:sz w:val="20"/>
                <w:szCs w:val="20"/>
              </w:rPr>
            </w:pPr>
            <w:r>
              <w:rPr>
                <w:color w:val="000000"/>
                <w:spacing w:val="0"/>
                <w:w w:val="100"/>
                <w:position w:val="0"/>
                <w:sz w:val="20"/>
                <w:szCs w:val="20"/>
              </w:rPr>
              <w:t>《国务院关于建立完善守信联合激励和失信惩戒制度加快推进社会诚信建设的指导意见》第十一条</w:t>
            </w:r>
          </w:p>
          <w:p>
            <w:pPr>
              <w:pStyle w:val="21"/>
              <w:keepNext w:val="0"/>
              <w:keepLines w:val="0"/>
              <w:widowControl w:val="0"/>
              <w:shd w:val="clear" w:color="auto" w:fill="auto"/>
              <w:bidi w:val="0"/>
              <w:spacing w:before="0" w:after="0" w:line="451" w:lineRule="exact"/>
              <w:ind w:left="0" w:right="0" w:firstLine="200"/>
              <w:jc w:val="left"/>
              <w:rPr>
                <w:sz w:val="20"/>
                <w:szCs w:val="20"/>
              </w:rPr>
            </w:pPr>
            <w:r>
              <w:rPr>
                <w:color w:val="000000"/>
                <w:spacing w:val="0"/>
                <w:w w:val="100"/>
                <w:position w:val="0"/>
                <w:sz w:val="20"/>
                <w:szCs w:val="20"/>
              </w:rPr>
              <w:t>《国务院关于促进市场公平竞争维护市场正常秩序的若干意见》第（九）项</w:t>
            </w:r>
          </w:p>
          <w:p>
            <w:pPr>
              <w:pStyle w:val="21"/>
              <w:keepNext w:val="0"/>
              <w:keepLines w:val="0"/>
              <w:widowControl w:val="0"/>
              <w:shd w:val="clear" w:color="auto" w:fill="auto"/>
              <w:bidi w:val="0"/>
              <w:spacing w:before="0" w:after="0" w:line="451" w:lineRule="exact"/>
              <w:ind w:left="0" w:right="0" w:firstLine="200"/>
              <w:jc w:val="left"/>
              <w:rPr>
                <w:sz w:val="20"/>
                <w:szCs w:val="20"/>
              </w:rPr>
            </w:pPr>
            <w:r>
              <w:rPr>
                <w:color w:val="000000"/>
                <w:spacing w:val="0"/>
                <w:w w:val="100"/>
                <w:position w:val="0"/>
                <w:sz w:val="20"/>
                <w:szCs w:val="20"/>
              </w:rPr>
              <w:t>《国务院办公厅关于运用大数据加强对市场主体服务和监管的若干意见》</w:t>
            </w:r>
          </w:p>
        </w:tc>
        <w:tc>
          <w:tcPr>
            <w:tcBorders>
              <w:top w:val="single" w:color="auto" w:sz="4" w:space="0"/>
              <w:left w:val="single" w:color="auto" w:sz="4" w:space="0"/>
              <w:right w:val="single" w:color="auto" w:sz="4" w:space="0"/>
            </w:tcBorders>
            <w:shd w:val="clear" w:color="auto" w:fill="FFFFFF"/>
            <w:vAlign w:val="top"/>
          </w:tcPr>
          <w:p>
            <w:pPr>
              <w:pStyle w:val="21"/>
              <w:keepNext w:val="0"/>
              <w:keepLines w:val="0"/>
              <w:widowControl w:val="0"/>
              <w:shd w:val="clear" w:color="auto" w:fill="auto"/>
              <w:bidi w:val="0"/>
              <w:spacing w:before="260" w:after="0" w:line="413" w:lineRule="exact"/>
              <w:ind w:left="0" w:right="0" w:firstLine="0"/>
              <w:jc w:val="center"/>
              <w:rPr>
                <w:color w:val="000000"/>
                <w:spacing w:val="0"/>
                <w:w w:val="100"/>
                <w:position w:val="0"/>
                <w:sz w:val="20"/>
                <w:szCs w:val="20"/>
              </w:rPr>
            </w:pPr>
            <w:r>
              <w:rPr>
                <w:color w:val="000000"/>
                <w:spacing w:val="0"/>
                <w:w w:val="100"/>
                <w:position w:val="0"/>
                <w:sz w:val="20"/>
                <w:szCs w:val="20"/>
              </w:rPr>
              <w:t>保监会、</w:t>
            </w:r>
          </w:p>
          <w:p>
            <w:pPr>
              <w:pStyle w:val="21"/>
              <w:keepNext w:val="0"/>
              <w:keepLines w:val="0"/>
              <w:widowControl w:val="0"/>
              <w:shd w:val="clear" w:color="auto" w:fill="auto"/>
              <w:bidi w:val="0"/>
              <w:spacing w:before="260" w:after="0" w:line="413" w:lineRule="exact"/>
              <w:ind w:left="0" w:right="0" w:firstLine="0"/>
              <w:jc w:val="center"/>
              <w:rPr>
                <w:sz w:val="20"/>
                <w:szCs w:val="20"/>
              </w:rPr>
            </w:pPr>
            <w:r>
              <w:rPr>
                <w:color w:val="000000"/>
                <w:spacing w:val="0"/>
                <w:w w:val="100"/>
                <w:position w:val="0"/>
                <w:sz w:val="20"/>
                <w:szCs w:val="20"/>
              </w:rPr>
              <w:t>人力资源社会保障部</w:t>
            </w:r>
          </w:p>
        </w:tc>
      </w:tr>
      <w:tr>
        <w:tblPrEx>
          <w:tblCellMar>
            <w:top w:w="0" w:type="dxa"/>
            <w:left w:w="10" w:type="dxa"/>
            <w:bottom w:w="0" w:type="dxa"/>
            <w:right w:w="10" w:type="dxa"/>
          </w:tblCellMar>
        </w:tblPrEx>
        <w:trPr>
          <w:trHeight w:val="2861"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424" w:lineRule="exact"/>
              <w:ind w:left="0" w:right="0" w:firstLine="0"/>
              <w:jc w:val="both"/>
              <w:rPr>
                <w:sz w:val="20"/>
                <w:szCs w:val="20"/>
              </w:rPr>
            </w:pPr>
            <w:r>
              <w:rPr>
                <w:rFonts w:hint="eastAsia"/>
                <w:color w:val="000000"/>
                <w:spacing w:val="0"/>
                <w:w w:val="100"/>
                <w:position w:val="0"/>
                <w:sz w:val="20"/>
                <w:szCs w:val="20"/>
                <w:lang w:val="en-US" w:eastAsia="zh-CN"/>
              </w:rPr>
              <w:t>30.</w:t>
            </w:r>
            <w:r>
              <w:rPr>
                <w:color w:val="000000"/>
                <w:spacing w:val="0"/>
                <w:w w:val="100"/>
                <w:position w:val="0"/>
                <w:sz w:val="20"/>
                <w:szCs w:val="20"/>
              </w:rPr>
              <w:t>负有市场监管职能的各行业行政主管部门将惩戒</w:t>
            </w:r>
            <w:r>
              <w:rPr>
                <w:rFonts w:hint="eastAsia"/>
                <w:color w:val="000000"/>
                <w:spacing w:val="0"/>
                <w:w w:val="100"/>
                <w:position w:val="0"/>
                <w:sz w:val="20"/>
                <w:szCs w:val="20"/>
                <w:lang w:eastAsia="zh-CN"/>
              </w:rPr>
              <w:t>对象</w:t>
            </w:r>
            <w:r>
              <w:rPr>
                <w:color w:val="000000"/>
                <w:spacing w:val="0"/>
                <w:w w:val="100"/>
                <w:position w:val="0"/>
                <w:sz w:val="20"/>
                <w:szCs w:val="20"/>
              </w:rPr>
              <w:t>作为重点监管对象，加大日常监管力度，提高现场检查、抽查比例和频次。</w:t>
            </w:r>
          </w:p>
        </w:tc>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403" w:lineRule="exact"/>
              <w:ind w:left="0" w:right="0" w:firstLine="200"/>
              <w:jc w:val="left"/>
              <w:rPr>
                <w:sz w:val="20"/>
                <w:szCs w:val="20"/>
              </w:rPr>
            </w:pPr>
            <w:r>
              <w:rPr>
                <w:color w:val="000000"/>
                <w:spacing w:val="0"/>
                <w:w w:val="100"/>
                <w:position w:val="0"/>
                <w:sz w:val="20"/>
                <w:szCs w:val="20"/>
              </w:rPr>
              <w:t>《国务院关于建立完善守信联合激励和失信惩戒制度加快推进社会诚信建设的指导意见》第十条</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403" w:lineRule="exact"/>
              <w:ind w:left="0" w:right="0" w:firstLine="0"/>
              <w:jc w:val="center"/>
              <w:rPr>
                <w:rFonts w:hint="eastAsia" w:eastAsia="宋体"/>
                <w:sz w:val="48"/>
                <w:szCs w:val="48"/>
                <w:lang w:eastAsia="zh-CN"/>
              </w:rPr>
            </w:pPr>
            <w:r>
              <w:rPr>
                <w:color w:val="000000"/>
                <w:spacing w:val="0"/>
                <w:w w:val="100"/>
                <w:position w:val="0"/>
                <w:sz w:val="20"/>
                <w:szCs w:val="20"/>
              </w:rPr>
              <w:t>负有市场监管职能的行业主管部</w:t>
            </w:r>
            <w:r>
              <w:rPr>
                <w:rFonts w:hint="eastAsia"/>
                <w:color w:val="000000"/>
                <w:spacing w:val="0"/>
                <w:w w:val="100"/>
                <w:position w:val="0"/>
                <w:sz w:val="20"/>
                <w:szCs w:val="20"/>
                <w:lang w:eastAsia="zh-CN"/>
              </w:rPr>
              <w:t>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2765"/>
        <w:gridCol w:w="9341"/>
        <w:gridCol w:w="2102"/>
      </w:tblGrid>
      <w:tr>
        <w:tblPrEx>
          <w:tblCellMar>
            <w:top w:w="0" w:type="dxa"/>
            <w:left w:w="10" w:type="dxa"/>
            <w:bottom w:w="0" w:type="dxa"/>
            <w:right w:w="10" w:type="dxa"/>
          </w:tblCellMar>
        </w:tblPrEx>
        <w:trPr>
          <w:trHeight w:val="2827"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422" w:lineRule="exact"/>
              <w:ind w:left="0" w:right="0" w:firstLine="0"/>
              <w:jc w:val="both"/>
              <w:rPr>
                <w:sz w:val="20"/>
                <w:szCs w:val="20"/>
              </w:rPr>
            </w:pPr>
            <w:r>
              <w:rPr>
                <w:rFonts w:hint="eastAsia"/>
                <w:color w:val="000000"/>
                <w:spacing w:val="0"/>
                <w:w w:val="100"/>
                <w:position w:val="0"/>
                <w:sz w:val="20"/>
                <w:szCs w:val="20"/>
                <w:lang w:val="en-US" w:eastAsia="zh-CN"/>
              </w:rPr>
              <w:t>31.</w:t>
            </w:r>
            <w:r>
              <w:rPr>
                <w:color w:val="000000"/>
                <w:spacing w:val="0"/>
                <w:w w:val="100"/>
                <w:position w:val="0"/>
                <w:sz w:val="20"/>
                <w:szCs w:val="20"/>
              </w:rPr>
              <w:t>作为选择政府和社会资本合作项目合作伙伴的参考。</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《关于在公共服务领域推广政府和社会资本合作模式的指导意见》第十五条</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400" w:lineRule="exact"/>
              <w:ind w:left="0" w:right="0" w:firstLine="0"/>
              <w:jc w:val="center"/>
              <w:rPr>
                <w:color w:val="000000"/>
                <w:spacing w:val="0"/>
                <w:w w:val="100"/>
                <w:position w:val="0"/>
                <w:sz w:val="20"/>
                <w:szCs w:val="20"/>
              </w:rPr>
            </w:pPr>
            <w:r>
              <w:rPr>
                <w:color w:val="000000"/>
                <w:spacing w:val="0"/>
                <w:w w:val="100"/>
                <w:position w:val="0"/>
                <w:sz w:val="20"/>
                <w:szCs w:val="20"/>
              </w:rPr>
              <w:t>公共服务领域的政府和社会资本合作项目，由财政部牵头负责；传统 的基础设施领域的政府和社会资本合作项目，由国家发展改革委牵头负责</w:t>
            </w:r>
          </w:p>
          <w:p>
            <w:pPr>
              <w:pStyle w:val="21"/>
              <w:keepNext w:val="0"/>
              <w:keepLines w:val="0"/>
              <w:widowControl w:val="0"/>
              <w:shd w:val="clear" w:color="auto" w:fill="auto"/>
              <w:bidi w:val="0"/>
              <w:spacing w:before="0" w:after="0" w:line="400" w:lineRule="exact"/>
              <w:ind w:left="0" w:right="0" w:firstLine="0"/>
              <w:jc w:val="center"/>
              <w:rPr>
                <w:color w:val="000000"/>
                <w:spacing w:val="0"/>
                <w:w w:val="100"/>
                <w:position w:val="0"/>
                <w:sz w:val="20"/>
                <w:szCs w:val="20"/>
              </w:rPr>
            </w:pPr>
          </w:p>
        </w:tc>
      </w:tr>
      <w:tr>
        <w:tblPrEx>
          <w:tblCellMar>
            <w:top w:w="0" w:type="dxa"/>
            <w:left w:w="10" w:type="dxa"/>
            <w:bottom w:w="0" w:type="dxa"/>
            <w:right w:w="10" w:type="dxa"/>
          </w:tblCellMar>
        </w:tblPrEx>
        <w:trPr>
          <w:trHeight w:val="5579" w:hRule="exact"/>
          <w:jc w:val="center"/>
        </w:trPr>
        <w:tc>
          <w:tcPr>
            <w:tcBorders>
              <w:top w:val="single" w:color="auto" w:sz="4" w:space="0"/>
              <w:left w:val="single" w:color="auto" w:sz="4" w:space="0"/>
              <w:bottom w:val="single" w:color="auto" w:sz="4" w:space="0"/>
            </w:tcBorders>
            <w:shd w:val="clear" w:color="auto" w:fill="FFFFFF"/>
            <w:vAlign w:val="bottom"/>
          </w:tcPr>
          <w:p>
            <w:pPr>
              <w:pStyle w:val="21"/>
              <w:keepNext w:val="0"/>
              <w:keepLines w:val="0"/>
              <w:widowControl w:val="0"/>
              <w:numPr>
                <w:ilvl w:val="0"/>
                <w:numId w:val="0"/>
              </w:numPr>
              <w:shd w:val="clear" w:color="auto" w:fill="auto"/>
              <w:tabs>
                <w:tab w:val="left" w:pos="317"/>
              </w:tabs>
              <w:bidi w:val="0"/>
              <w:spacing w:before="0" w:after="0" w:line="320" w:lineRule="exact"/>
              <w:ind w:leftChars="0" w:right="0" w:rightChars="0"/>
              <w:jc w:val="both"/>
              <w:rPr>
                <w:color w:val="000000"/>
                <w:spacing w:val="0"/>
                <w:w w:val="100"/>
                <w:position w:val="0"/>
                <w:sz w:val="20"/>
                <w:szCs w:val="20"/>
              </w:rPr>
            </w:pPr>
            <w:r>
              <w:rPr>
                <w:rFonts w:hint="eastAsia"/>
                <w:color w:val="000000"/>
                <w:spacing w:val="0"/>
                <w:w w:val="100"/>
                <w:position w:val="0"/>
                <w:sz w:val="20"/>
                <w:szCs w:val="20"/>
                <w:lang w:val="en-US" w:eastAsia="zh-CN"/>
              </w:rPr>
              <w:t>32.</w:t>
            </w:r>
            <w:r>
              <w:rPr>
                <w:color w:val="000000"/>
                <w:spacing w:val="0"/>
                <w:w w:val="100"/>
                <w:position w:val="0"/>
                <w:sz w:val="20"/>
                <w:szCs w:val="20"/>
              </w:rPr>
              <w:t>加大现场执法检查频次；</w:t>
            </w:r>
          </w:p>
          <w:p>
            <w:pPr>
              <w:pStyle w:val="21"/>
              <w:keepNext w:val="0"/>
              <w:keepLines w:val="0"/>
              <w:widowControl w:val="0"/>
              <w:numPr>
                <w:ilvl w:val="0"/>
                <w:numId w:val="0"/>
              </w:numPr>
              <w:shd w:val="clear" w:color="auto" w:fill="auto"/>
              <w:tabs>
                <w:tab w:val="left" w:pos="317"/>
              </w:tabs>
              <w:bidi w:val="0"/>
              <w:spacing w:before="0" w:after="0" w:line="320" w:lineRule="exact"/>
              <w:ind w:leftChars="0" w:right="0" w:rightChars="0"/>
              <w:jc w:val="both"/>
              <w:rPr>
                <w:color w:val="000000"/>
                <w:spacing w:val="0"/>
                <w:w w:val="100"/>
                <w:position w:val="0"/>
                <w:sz w:val="20"/>
                <w:szCs w:val="20"/>
              </w:rPr>
            </w:pPr>
            <w:r>
              <w:rPr>
                <w:rFonts w:hint="eastAsia"/>
                <w:color w:val="000000"/>
                <w:spacing w:val="0"/>
                <w:w w:val="100"/>
                <w:position w:val="0"/>
                <w:sz w:val="20"/>
                <w:szCs w:val="20"/>
                <w:lang w:val="en-US" w:eastAsia="zh-CN"/>
              </w:rPr>
              <w:t>33.</w:t>
            </w:r>
            <w:r>
              <w:rPr>
                <w:color w:val="000000"/>
                <w:spacing w:val="0"/>
                <w:w w:val="100"/>
                <w:position w:val="0"/>
                <w:sz w:val="20"/>
                <w:szCs w:val="20"/>
              </w:rPr>
              <w:t>将其作为重点监管监察对象，建立常态化暗查暗访机制，不定期开展抽査；</w:t>
            </w:r>
          </w:p>
          <w:p>
            <w:pPr>
              <w:pStyle w:val="21"/>
              <w:keepNext w:val="0"/>
              <w:keepLines w:val="0"/>
              <w:widowControl w:val="0"/>
              <w:numPr>
                <w:ilvl w:val="0"/>
                <w:numId w:val="0"/>
              </w:numPr>
              <w:shd w:val="clear" w:color="auto" w:fill="auto"/>
              <w:tabs>
                <w:tab w:val="left" w:pos="317"/>
              </w:tabs>
              <w:bidi w:val="0"/>
              <w:spacing w:before="0" w:after="0" w:line="320" w:lineRule="exact"/>
              <w:ind w:leftChars="0" w:right="0" w:rightChars="0"/>
              <w:jc w:val="both"/>
              <w:rPr>
                <w:color w:val="000000"/>
                <w:spacing w:val="0"/>
                <w:w w:val="100"/>
                <w:position w:val="0"/>
                <w:sz w:val="20"/>
                <w:szCs w:val="20"/>
              </w:rPr>
            </w:pPr>
            <w:r>
              <w:rPr>
                <w:rFonts w:hint="eastAsia"/>
                <w:color w:val="000000"/>
                <w:spacing w:val="0"/>
                <w:w w:val="100"/>
                <w:position w:val="0"/>
                <w:sz w:val="20"/>
                <w:szCs w:val="20"/>
                <w:lang w:val="en-US" w:eastAsia="zh-CN"/>
              </w:rPr>
              <w:t>34.</w:t>
            </w:r>
            <w:r>
              <w:rPr>
                <w:color w:val="000000"/>
                <w:spacing w:val="0"/>
                <w:w w:val="100"/>
                <w:position w:val="0"/>
                <w:sz w:val="20"/>
                <w:szCs w:val="20"/>
              </w:rPr>
              <w:t>约谈其主要负责人， 对其主要负责人及相关</w:t>
            </w:r>
            <w:r>
              <w:rPr>
                <w:rFonts w:hint="eastAsia"/>
                <w:color w:val="000000"/>
                <w:spacing w:val="0"/>
                <w:w w:val="100"/>
                <w:position w:val="0"/>
                <w:sz w:val="20"/>
                <w:szCs w:val="20"/>
                <w:lang w:eastAsia="zh-CN"/>
              </w:rPr>
              <w:t>责任人</w:t>
            </w:r>
            <w:r>
              <w:rPr>
                <w:color w:val="000000"/>
                <w:spacing w:val="0"/>
                <w:w w:val="100"/>
                <w:position w:val="0"/>
                <w:sz w:val="20"/>
                <w:szCs w:val="20"/>
              </w:rPr>
              <w:t>强制进行相关业务培训；</w:t>
            </w:r>
          </w:p>
          <w:p>
            <w:pPr>
              <w:pStyle w:val="21"/>
              <w:keepNext w:val="0"/>
              <w:keepLines w:val="0"/>
              <w:widowControl w:val="0"/>
              <w:numPr>
                <w:ilvl w:val="0"/>
                <w:numId w:val="0"/>
              </w:numPr>
              <w:shd w:val="clear" w:color="auto" w:fill="auto"/>
              <w:tabs>
                <w:tab w:val="left" w:pos="317"/>
              </w:tabs>
              <w:bidi w:val="0"/>
              <w:spacing w:before="0" w:after="0" w:line="320" w:lineRule="exact"/>
              <w:ind w:leftChars="0" w:right="0" w:rightChars="0"/>
              <w:jc w:val="both"/>
              <w:rPr>
                <w:color w:val="000000"/>
                <w:spacing w:val="0"/>
                <w:w w:val="100"/>
                <w:position w:val="0"/>
                <w:sz w:val="20"/>
                <w:szCs w:val="20"/>
              </w:rPr>
            </w:pPr>
            <w:r>
              <w:rPr>
                <w:rFonts w:hint="eastAsia"/>
                <w:color w:val="000000"/>
                <w:spacing w:val="0"/>
                <w:w w:val="100"/>
                <w:position w:val="0"/>
                <w:sz w:val="20"/>
                <w:szCs w:val="20"/>
                <w:lang w:val="en-US" w:eastAsia="zh-CN"/>
              </w:rPr>
              <w:t>35.</w:t>
            </w:r>
            <w:r>
              <w:rPr>
                <w:color w:val="000000"/>
                <w:spacing w:val="0"/>
                <w:w w:val="100"/>
                <w:position w:val="0"/>
                <w:sz w:val="20"/>
                <w:szCs w:val="20"/>
              </w:rPr>
              <w:t>暂停其相关资质证书的评审，对已取得资质证书的，依法依规对其资质作撤销或是降级处理；</w:t>
            </w:r>
          </w:p>
          <w:p>
            <w:pPr>
              <w:pStyle w:val="21"/>
              <w:keepNext w:val="0"/>
              <w:keepLines w:val="0"/>
              <w:widowControl w:val="0"/>
              <w:numPr>
                <w:ilvl w:val="0"/>
                <w:numId w:val="0"/>
              </w:numPr>
              <w:shd w:val="clear" w:color="auto" w:fill="auto"/>
              <w:tabs>
                <w:tab w:val="left" w:pos="317"/>
              </w:tabs>
              <w:bidi w:val="0"/>
              <w:spacing w:before="0" w:after="0" w:line="320" w:lineRule="exact"/>
              <w:ind w:leftChars="0" w:right="0" w:rightChars="0"/>
              <w:jc w:val="both"/>
              <w:rPr>
                <w:rFonts w:hint="eastAsia" w:eastAsia="宋体"/>
                <w:color w:val="000000"/>
                <w:spacing w:val="0"/>
                <w:w w:val="100"/>
                <w:position w:val="0"/>
                <w:sz w:val="20"/>
                <w:szCs w:val="20"/>
                <w:lang w:eastAsia="zh-CN"/>
              </w:rPr>
            </w:pPr>
            <w:r>
              <w:rPr>
                <w:rFonts w:hint="eastAsia"/>
                <w:color w:val="000000"/>
                <w:spacing w:val="0"/>
                <w:w w:val="100"/>
                <w:position w:val="0"/>
                <w:sz w:val="20"/>
                <w:szCs w:val="20"/>
                <w:lang w:val="en-US" w:eastAsia="zh-CN"/>
              </w:rPr>
              <w:t>36.</w:t>
            </w:r>
            <w:r>
              <w:rPr>
                <w:color w:val="000000"/>
                <w:spacing w:val="0"/>
                <w:w w:val="100"/>
                <w:position w:val="0"/>
                <w:sz w:val="20"/>
                <w:szCs w:val="20"/>
              </w:rPr>
              <w:t>依法对惩戒对象实施市场和行业禁入</w:t>
            </w:r>
            <w:r>
              <w:rPr>
                <w:rFonts w:hint="eastAsia"/>
                <w:color w:val="000000"/>
                <w:spacing w:val="0"/>
                <w:w w:val="100"/>
                <w:position w:val="0"/>
                <w:sz w:val="20"/>
                <w:szCs w:val="20"/>
                <w:lang w:eastAsia="zh-CN"/>
              </w:rPr>
              <w:t>；</w:t>
            </w:r>
          </w:p>
          <w:p>
            <w:pPr>
              <w:pStyle w:val="21"/>
              <w:keepNext w:val="0"/>
              <w:keepLines w:val="0"/>
              <w:widowControl w:val="0"/>
              <w:numPr>
                <w:ilvl w:val="0"/>
                <w:numId w:val="0"/>
              </w:numPr>
              <w:shd w:val="clear" w:color="auto" w:fill="auto"/>
              <w:tabs>
                <w:tab w:val="left" w:pos="317"/>
              </w:tabs>
              <w:bidi w:val="0"/>
              <w:spacing w:before="0" w:after="0" w:line="320" w:lineRule="exact"/>
              <w:ind w:leftChars="0" w:right="0" w:rightChars="0"/>
              <w:jc w:val="both"/>
              <w:rPr>
                <w:color w:val="000000"/>
                <w:spacing w:val="0"/>
                <w:w w:val="100"/>
                <w:position w:val="0"/>
                <w:sz w:val="20"/>
                <w:szCs w:val="20"/>
              </w:rPr>
            </w:pPr>
            <w:r>
              <w:rPr>
                <w:rFonts w:hint="eastAsia"/>
                <w:color w:val="000000"/>
                <w:spacing w:val="0"/>
                <w:w w:val="100"/>
                <w:position w:val="0"/>
                <w:sz w:val="20"/>
                <w:szCs w:val="20"/>
                <w:lang w:val="en-US" w:eastAsia="zh-CN"/>
              </w:rPr>
              <w:t>37.</w:t>
            </w:r>
            <w:r>
              <w:rPr>
                <w:color w:val="000000"/>
                <w:spacing w:val="0"/>
                <w:w w:val="100"/>
                <w:position w:val="0"/>
                <w:sz w:val="20"/>
                <w:szCs w:val="20"/>
              </w:rPr>
              <w:t>发现有新的失信行为的，依法依现在自由裁最范围内从重处罚。</w:t>
            </w:r>
          </w:p>
          <w:p>
            <w:pPr>
              <w:pStyle w:val="23"/>
              <w:keepNext w:val="0"/>
              <w:keepLines w:val="0"/>
              <w:widowControl w:val="0"/>
              <w:numPr>
                <w:ilvl w:val="0"/>
                <w:numId w:val="0"/>
              </w:numPr>
              <w:shd w:val="clear" w:color="auto" w:fill="auto"/>
              <w:tabs>
                <w:tab w:val="left" w:pos="458"/>
              </w:tabs>
              <w:bidi w:val="0"/>
              <w:spacing w:before="0" w:after="0"/>
              <w:ind w:leftChars="0" w:right="0" w:rightChars="0"/>
              <w:jc w:val="left"/>
              <w:rPr>
                <w:rFonts w:hint="default" w:eastAsia="宋体"/>
                <w:lang w:val="en-US" w:eastAsia="zh-CN"/>
              </w:rPr>
            </w:pPr>
          </w:p>
          <w:p>
            <w:pPr>
              <w:pStyle w:val="21"/>
              <w:keepNext w:val="0"/>
              <w:keepLines w:val="0"/>
              <w:widowControl w:val="0"/>
              <w:numPr>
                <w:ilvl w:val="0"/>
                <w:numId w:val="0"/>
              </w:numPr>
              <w:shd w:val="clear" w:color="auto" w:fill="auto"/>
              <w:tabs>
                <w:tab w:val="left" w:pos="317"/>
              </w:tabs>
              <w:bidi w:val="0"/>
              <w:spacing w:before="0" w:after="0" w:line="320" w:lineRule="exact"/>
              <w:ind w:leftChars="0" w:right="0" w:rightChars="0"/>
              <w:jc w:val="both"/>
              <w:rPr>
                <w:rFonts w:hint="default" w:eastAsia="宋体"/>
                <w:sz w:val="20"/>
                <w:szCs w:val="20"/>
                <w:lang w:val="en-US" w:eastAsia="zh-CN"/>
              </w:rPr>
            </w:pPr>
          </w:p>
        </w:tc>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422" w:lineRule="exact"/>
              <w:ind w:left="0" w:right="0" w:firstLine="200"/>
              <w:jc w:val="left"/>
              <w:rPr>
                <w:sz w:val="20"/>
                <w:szCs w:val="20"/>
              </w:rPr>
            </w:pPr>
            <w:r>
              <w:rPr>
                <w:color w:val="000000"/>
                <w:spacing w:val="0"/>
                <w:w w:val="100"/>
                <w:position w:val="0"/>
                <w:sz w:val="20"/>
                <w:szCs w:val="20"/>
              </w:rPr>
              <w:t>《中华人民共和国建筑法》</w:t>
            </w:r>
          </w:p>
          <w:p>
            <w:pPr>
              <w:pStyle w:val="21"/>
              <w:keepNext w:val="0"/>
              <w:keepLines w:val="0"/>
              <w:widowControl w:val="0"/>
              <w:shd w:val="clear" w:color="auto" w:fill="auto"/>
              <w:bidi w:val="0"/>
              <w:spacing w:before="0" w:after="0" w:line="422" w:lineRule="exact"/>
              <w:ind w:left="0" w:right="0" w:firstLine="200"/>
              <w:jc w:val="left"/>
              <w:rPr>
                <w:sz w:val="20"/>
                <w:szCs w:val="20"/>
              </w:rPr>
            </w:pPr>
            <w:r>
              <w:rPr>
                <w:color w:val="000000"/>
                <w:spacing w:val="0"/>
                <w:w w:val="100"/>
                <w:position w:val="0"/>
                <w:sz w:val="20"/>
                <w:szCs w:val="20"/>
              </w:rPr>
              <w:t>《中华人民共和国城乡规划法》</w:t>
            </w:r>
          </w:p>
          <w:p>
            <w:pPr>
              <w:pStyle w:val="21"/>
              <w:keepNext w:val="0"/>
              <w:keepLines w:val="0"/>
              <w:widowControl w:val="0"/>
              <w:shd w:val="clear" w:color="auto" w:fill="auto"/>
              <w:bidi w:val="0"/>
              <w:spacing w:before="0" w:after="0" w:line="422" w:lineRule="exact"/>
              <w:ind w:left="0" w:right="0" w:firstLine="200"/>
              <w:jc w:val="left"/>
              <w:rPr>
                <w:sz w:val="20"/>
                <w:szCs w:val="20"/>
              </w:rPr>
            </w:pPr>
            <w:r>
              <w:rPr>
                <w:color w:val="000000"/>
                <w:spacing w:val="0"/>
                <w:w w:val="100"/>
                <w:position w:val="0"/>
                <w:sz w:val="20"/>
                <w:szCs w:val="20"/>
              </w:rPr>
              <w:t>《中华人民共和国城市房地产管理法》</w:t>
            </w:r>
          </w:p>
          <w:p>
            <w:pPr>
              <w:pStyle w:val="21"/>
              <w:keepNext w:val="0"/>
              <w:keepLines w:val="0"/>
              <w:widowControl w:val="0"/>
              <w:shd w:val="clear" w:color="auto" w:fill="auto"/>
              <w:bidi w:val="0"/>
              <w:spacing w:before="0" w:after="0" w:line="422" w:lineRule="exact"/>
              <w:ind w:left="0" w:right="0" w:firstLine="200"/>
              <w:jc w:val="left"/>
              <w:rPr>
                <w:sz w:val="20"/>
                <w:szCs w:val="20"/>
              </w:rPr>
            </w:pPr>
            <w:r>
              <w:rPr>
                <w:color w:val="000000"/>
                <w:spacing w:val="0"/>
                <w:w w:val="100"/>
                <w:position w:val="0"/>
                <w:sz w:val="20"/>
                <w:szCs w:val="20"/>
              </w:rPr>
              <w:t>《中华人民共和国城市房地产开发经营管理条例》</w:t>
            </w:r>
          </w:p>
          <w:p>
            <w:pPr>
              <w:pStyle w:val="21"/>
              <w:keepNext w:val="0"/>
              <w:keepLines w:val="0"/>
              <w:widowControl w:val="0"/>
              <w:shd w:val="clear" w:color="auto" w:fill="auto"/>
              <w:bidi w:val="0"/>
              <w:spacing w:before="0" w:after="0" w:line="422" w:lineRule="exact"/>
              <w:ind w:left="0" w:right="0" w:firstLine="200"/>
              <w:jc w:val="left"/>
              <w:rPr>
                <w:sz w:val="20"/>
                <w:szCs w:val="20"/>
              </w:rPr>
            </w:pPr>
            <w:r>
              <w:rPr>
                <w:color w:val="000000"/>
                <w:spacing w:val="0"/>
                <w:w w:val="100"/>
                <w:position w:val="0"/>
                <w:sz w:val="20"/>
                <w:szCs w:val="20"/>
              </w:rPr>
              <w:t>《国务院关于建立完善守信联合激励和失信惩戒制度加快推进社会诚信建设的指导意见》第十条</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408" w:lineRule="exact"/>
              <w:ind w:left="0" w:right="0" w:firstLine="0"/>
              <w:jc w:val="center"/>
              <w:rPr>
                <w:sz w:val="20"/>
                <w:szCs w:val="20"/>
              </w:rPr>
            </w:pPr>
            <w:r>
              <w:rPr>
                <w:color w:val="000000"/>
                <w:spacing w:val="0"/>
                <w:w w:val="100"/>
                <w:position w:val="0"/>
                <w:sz w:val="20"/>
                <w:szCs w:val="20"/>
              </w:rPr>
              <w:t>住房城乡建设系统各级行政管理部门</w:t>
            </w:r>
          </w:p>
        </w:tc>
      </w:tr>
    </w:tbl>
    <w:p>
      <w:pPr>
        <w:pStyle w:val="23"/>
        <w:keepNext w:val="0"/>
        <w:keepLines w:val="0"/>
        <w:widowControl w:val="0"/>
        <w:numPr>
          <w:ilvl w:val="0"/>
          <w:numId w:val="0"/>
        </w:numPr>
        <w:shd w:val="clear" w:color="auto" w:fill="auto"/>
        <w:tabs>
          <w:tab w:val="left" w:pos="458"/>
        </w:tabs>
        <w:bidi w:val="0"/>
        <w:spacing w:before="0" w:after="0"/>
        <w:ind w:leftChars="0" w:right="0" w:rightChars="0"/>
        <w:jc w:val="left"/>
      </w:pPr>
      <w:bookmarkStart w:id="44" w:name="bookmark52"/>
      <w:bookmarkEnd w:id="44"/>
      <w:bookmarkStart w:id="45" w:name="bookmark51"/>
      <w:bookmarkEnd w:id="45"/>
    </w:p>
    <w:sectPr>
      <w:footerReference r:id="rId12" w:type="default"/>
      <w:footnotePr>
        <w:numFmt w:val="decimal"/>
      </w:footnotePr>
      <w:pgSz w:w="16840" w:h="11900" w:orient="landscape"/>
      <w:pgMar w:top="1703" w:right="1290" w:bottom="1655" w:left="1324" w:header="1275" w:footer="3" w:gutter="0"/>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9965690</wp:posOffset>
              </wp:positionV>
              <wp:extent cx="250190" cy="109855"/>
              <wp:effectExtent l="0" t="0" r="0" b="0"/>
              <wp:wrapNone/>
              <wp:docPr id="28" name="Shape 28"/>
              <wp:cNvGraphicFramePr/>
              <a:graphic xmlns:a="http://schemas.openxmlformats.org/drawingml/2006/main">
                <a:graphicData uri="http://schemas.microsoft.com/office/word/2010/wordprocessingShape">
                  <wps:wsp>
                    <wps:cNvSpPr txBox="1"/>
                    <wps:spPr>
                      <a:xfrm>
                        <a:off x="0" y="0"/>
                        <a:ext cx="250190" cy="10985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lang w:val="en-US" w:eastAsia="en-US" w:bidi="en-US"/>
                            </w:rPr>
                            <w:t>#</w:t>
                          </w:r>
                          <w:r>
                            <w:rPr>
                              <w:rFonts w:ascii="Times New Roman" w:hAnsi="Times New Roman" w:eastAsia="Times New Roman" w:cs="Times New Roman"/>
                              <w:color w:val="000000"/>
                              <w:spacing w:val="0"/>
                              <w:w w:val="100"/>
                              <w:position w:val="0"/>
                              <w:sz w:val="26"/>
                              <w:szCs w:val="26"/>
                              <w:lang w:val="en-US" w:eastAsia="en-US" w:bidi="en-US"/>
                            </w:rPr>
                            <w:fldChar w:fldCharType="end"/>
                          </w:r>
                          <w:r>
                            <w:rPr>
                              <w:rFonts w:ascii="Times New Roman" w:hAnsi="Times New Roman" w:eastAsia="Times New Roman" w:cs="Times New Roman"/>
                              <w:color w:val="000000"/>
                              <w:spacing w:val="0"/>
                              <w:w w:val="100"/>
                              <w:position w:val="0"/>
                              <w:sz w:val="26"/>
                              <w:szCs w:val="26"/>
                              <w:lang w:val="en-US" w:eastAsia="en-US" w:bidi="en-US"/>
                            </w:rPr>
                            <w:t>-</w:t>
                          </w:r>
                        </w:p>
                      </w:txbxContent>
                    </wps:txbx>
                    <wps:bodyPr wrap="none" lIns="0" tIns="0" rIns="0" bIns="0">
                      <a:spAutoFit/>
                    </wps:bodyPr>
                  </wps:wsp>
                </a:graphicData>
              </a:graphic>
            </wp:anchor>
          </w:drawing>
        </mc:Choice>
        <mc:Fallback>
          <w:pict>
            <v:shape id="Shape 28" o:spid="_x0000_s1026" o:spt="202" type="#_x0000_t202" style="position:absolute;left:0pt;margin-top:784.7pt;height:8.65pt;width:19.7pt;mso-position-horizontal:center;mso-position-horizontal-relative:margin;mso-position-vertical-relative:page;mso-wrap-style:none;z-index:62915584;mso-width-relative:page;mso-height-relative:page;" filled="f" stroked="f" coordsize="21600,21600" o:gfxdata="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Iu5GGDVAAAACQEAAA8AAAAAAAAAAQAgAAAAIgAAAGRycy9kb3ducmV2&#10;LnhtbFBLAQIUABQAAAAIAIdO4kDshqBLjQEAACMDAAAOAAAAAAAAAAEAIAAAACQBAABkcnMvZTJv&#10;RG9jLnhtbFBLBQYAAAAABgAGAFkBAAAj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lang w:val="en-US" w:eastAsia="en-US" w:bidi="en-US"/>
                      </w:rPr>
                      <w:t>#</w:t>
                    </w:r>
                    <w:r>
                      <w:rPr>
                        <w:rFonts w:ascii="Times New Roman" w:hAnsi="Times New Roman" w:eastAsia="Times New Roman" w:cs="Times New Roman"/>
                        <w:color w:val="000000"/>
                        <w:spacing w:val="0"/>
                        <w:w w:val="100"/>
                        <w:position w:val="0"/>
                        <w:sz w:val="26"/>
                        <w:szCs w:val="26"/>
                        <w:lang w:val="en-US" w:eastAsia="en-US" w:bidi="en-US"/>
                      </w:rPr>
                      <w:fldChar w:fldCharType="end"/>
                    </w:r>
                    <w:r>
                      <w:rPr>
                        <w:rFonts w:ascii="Times New Roman" w:hAnsi="Times New Roman" w:eastAsia="Times New Roman" w:cs="Times New Roman"/>
                        <w:color w:val="000000"/>
                        <w:spacing w:val="0"/>
                        <w:w w:val="100"/>
                        <w:position w:val="0"/>
                        <w:sz w:val="26"/>
                        <w:szCs w:val="26"/>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9911080</wp:posOffset>
              </wp:positionV>
              <wp:extent cx="285115" cy="276860"/>
              <wp:effectExtent l="0" t="0" r="0" b="0"/>
              <wp:wrapNone/>
              <wp:docPr id="30" name="Shape 30"/>
              <wp:cNvGraphicFramePr/>
              <a:graphic xmlns:a="http://schemas.openxmlformats.org/drawingml/2006/main">
                <a:graphicData uri="http://schemas.microsoft.com/office/word/2010/wordprocessingShape">
                  <wps:wsp>
                    <wps:cNvSpPr txBox="1"/>
                    <wps:spPr>
                      <a:xfrm>
                        <a:off x="0" y="0"/>
                        <a:ext cx="285115" cy="27686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square" lIns="0" tIns="0" rIns="0" bIns="0">
                      <a:noAutofit/>
                    </wps:bodyPr>
                  </wps:wsp>
                </a:graphicData>
              </a:graphic>
            </wp:anchor>
          </w:drawing>
        </mc:Choice>
        <mc:Fallback>
          <w:pict>
            <v:shape id="Shape 30" o:spid="_x0000_s1026" o:spt="202" type="#_x0000_t202" style="position:absolute;left:0pt;margin-top:780.4pt;height:21.8pt;width:22.45pt;mso-position-horizontal:center;mso-position-horizontal-relative:margin;mso-position-vertical-relative:page;z-index:62915584;mso-width-relative:page;mso-height-relative:page;" filled="f" stroked="f" coordsize="21600,21600" o:gfxdata="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FgC0itcAAAAJAQAADwAAAAAAAAABACAAAAAiAAAAZHJz&#10;L2Rvd25yZXYueG1sUEsBAhQAFAAAAAgAh07iQB7X9I2TAQAAJQMAAA4AAAAAAAAAAQAgAAAAJgEA&#10;AGRycy9lMm9Eb2MueG1sUEsFBgAAAAAGAAYAWQEAACsFA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9973945</wp:posOffset>
              </wp:positionV>
              <wp:extent cx="342265" cy="276860"/>
              <wp:effectExtent l="0" t="0" r="0" b="0"/>
              <wp:wrapNone/>
              <wp:docPr id="34" name="Shape 34"/>
              <wp:cNvGraphicFramePr/>
              <a:graphic xmlns:a="http://schemas.openxmlformats.org/drawingml/2006/main">
                <a:graphicData uri="http://schemas.microsoft.com/office/word/2010/wordprocessingShape">
                  <wps:wsp>
                    <wps:cNvSpPr txBox="1"/>
                    <wps:spPr>
                      <a:xfrm>
                        <a:off x="0" y="0"/>
                        <a:ext cx="342265" cy="27686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rPr>
                              <w:sz w:val="28"/>
                              <w:szCs w:val="28"/>
                            </w:rPr>
                            <w:fldChar w:fldCharType="begin"/>
                          </w:r>
                          <w:r>
                            <w:rPr>
                              <w:sz w:val="28"/>
                              <w:szCs w:val="28"/>
                            </w:rPr>
                            <w:instrText xml:space="preserve"> PAGE \* MERGEFORMAT </w:instrText>
                          </w:r>
                          <w:r>
                            <w:rPr>
                              <w:sz w:val="28"/>
                              <w:szCs w:val="28"/>
                            </w:rPr>
                            <w:fldChar w:fldCharType="separate"/>
                          </w: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en-US" w:eastAsia="en-US" w:bidi="en-US"/>
                            </w:rPr>
                            <w:fldChar w:fldCharType="end"/>
                          </w:r>
                          <w:r>
                            <w:rPr>
                              <w:rFonts w:ascii="Times New Roman" w:hAnsi="Times New Roman" w:eastAsia="Times New Roman" w:cs="Times New Roman"/>
                              <w:color w:val="000000"/>
                              <w:spacing w:val="0"/>
                              <w:w w:val="100"/>
                              <w:position w:val="0"/>
                              <w:sz w:val="28"/>
                              <w:szCs w:val="28"/>
                              <w:lang w:val="zh-TW" w:eastAsia="zh-TW" w:bidi="zh-TW"/>
                            </w:rPr>
                            <w:t>-</w:t>
                          </w:r>
                        </w:p>
                        <w:p/>
                      </w:txbxContent>
                    </wps:txbx>
                    <wps:bodyPr wrap="square" lIns="0" tIns="0" rIns="0" bIns="0">
                      <a:noAutofit/>
                    </wps:bodyPr>
                  </wps:wsp>
                </a:graphicData>
              </a:graphic>
            </wp:anchor>
          </w:drawing>
        </mc:Choice>
        <mc:Fallback>
          <w:pict>
            <v:shape id="Shape 34" o:spid="_x0000_s1026" o:spt="202" type="#_x0000_t202" style="position:absolute;left:0pt;margin-top:785.35pt;height:21.8pt;width:26.95pt;mso-position-horizontal:center;mso-position-horizontal-relative:margin;mso-position-vertical-relative:page;z-index:62915584;mso-width-relative:page;mso-height-relative:page;" filled="f" stroked="f" coordsize="21600,21600" o:gfxdata="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IoaIQtgAAAAJAQAADwAAAAAAAAABACAAAAAiAAAA&#10;ZHJzL2Rvd25yZXYueG1sUEsBAhQAFAAAAAgAh07iQLSLIjyVAQAAJQMAAA4AAAAAAAAAAQAgAAAA&#10;JwEAAGRycy9lMm9Eb2MueG1sUEsFBgAAAAAGAAYAWQEAAC4FAAAAAA==&#10;">
              <v:fill on="f" focussize="0,0"/>
              <v:stroke on="f"/>
              <v:imagedata o:title=""/>
              <o:lock v:ext="edit" aspectratio="f"/>
              <v:textbox inset="0mm,0mm,0mm,0mm">
                <w:txbxContent>
                  <w:p>
                    <w:pPr>
                      <w:pStyle w:val="1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rPr>
                        <w:sz w:val="28"/>
                        <w:szCs w:val="28"/>
                      </w:rPr>
                      <w:fldChar w:fldCharType="begin"/>
                    </w:r>
                    <w:r>
                      <w:rPr>
                        <w:sz w:val="28"/>
                        <w:szCs w:val="28"/>
                      </w:rPr>
                      <w:instrText xml:space="preserve"> PAGE \* MERGEFORMAT </w:instrText>
                    </w:r>
                    <w:r>
                      <w:rPr>
                        <w:sz w:val="28"/>
                        <w:szCs w:val="28"/>
                      </w:rPr>
                      <w:fldChar w:fldCharType="separate"/>
                    </w: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en-US" w:eastAsia="en-US" w:bidi="en-US"/>
                      </w:rPr>
                      <w:fldChar w:fldCharType="end"/>
                    </w:r>
                    <w:r>
                      <w:rPr>
                        <w:rFonts w:ascii="Times New Roman" w:hAnsi="Times New Roman" w:eastAsia="Times New Roman" w:cs="Times New Roman"/>
                        <w:color w:val="000000"/>
                        <w:spacing w:val="0"/>
                        <w:w w:val="100"/>
                        <w:position w:val="0"/>
                        <w:sz w:val="28"/>
                        <w:szCs w:val="28"/>
                        <w:lang w:val="zh-TW" w:eastAsia="zh-TW" w:bidi="zh-TW"/>
                      </w:rPr>
                      <w:t>-</w:t>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6835775</wp:posOffset>
              </wp:positionV>
              <wp:extent cx="323215" cy="115570"/>
              <wp:effectExtent l="0" t="0" r="0" b="0"/>
              <wp:wrapNone/>
              <wp:docPr id="36" name="Shape 36"/>
              <wp:cNvGraphicFramePr/>
              <a:graphic xmlns:a="http://schemas.openxmlformats.org/drawingml/2006/main">
                <a:graphicData uri="http://schemas.microsoft.com/office/word/2010/wordprocessingShape">
                  <wps:wsp>
                    <wps:cNvSpPr txBox="1"/>
                    <wps:spPr>
                      <a:xfrm>
                        <a:off x="0" y="0"/>
                        <a:ext cx="323215" cy="11557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6" o:spid="_x0000_s1026" o:spt="202" type="#_x0000_t202" style="position:absolute;left:0pt;margin-top:538.25pt;height:9.1pt;width:25.45pt;mso-position-horizontal:center;mso-position-horizontal-relative:margin;mso-position-vertical-relative:page;mso-wrap-style:none;z-index:62915584;mso-width-relative:page;mso-height-relative:page;" filled="f" stroked="f" coordsize="21600,21600" o:gfxdata="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dYDz1tUAAAAJAQAADwAAAAAAAAABACAAAAAiAAAAZHJzL2Rvd25y&#10;ZXYueG1sUEsBAhQAFAAAAAgAh07iQKWqqXiPAQAAIwMAAA4AAAAAAAAAAQAgAAAAJAEAAGRycy9l&#10;Mm9Eb2MueG1sUEsFBgAAAAAGAAYAWQEAACU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6964045</wp:posOffset>
              </wp:positionV>
              <wp:extent cx="316865" cy="109855"/>
              <wp:effectExtent l="0" t="0" r="0" b="0"/>
              <wp:wrapNone/>
              <wp:docPr id="38" name="Shape 38"/>
              <wp:cNvGraphicFramePr/>
              <a:graphic xmlns:a="http://schemas.openxmlformats.org/drawingml/2006/main">
                <a:graphicData uri="http://schemas.microsoft.com/office/word/2010/wordprocessingShape">
                  <wps:wsp>
                    <wps:cNvSpPr txBox="1"/>
                    <wps:spPr>
                      <a:xfrm>
                        <a:off x="0" y="0"/>
                        <a:ext cx="316865" cy="10985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8" o:spid="_x0000_s1026" o:spt="202" type="#_x0000_t202" style="position:absolute;left:0pt;margin-top:548.35pt;height:8.65pt;width:24.95pt;mso-position-horizontal:center;mso-position-horizontal-relative:margin;mso-position-vertical-relative:page;mso-wrap-style:none;z-index:62915584;mso-width-relative:page;mso-height-relative:page;" filled="f" stroked="f" coordsize="21600,21600" o:gfxdata="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EzPrG9UAAAAJAQAADwAAAAAAAAABACAAAAAiAAAAZHJzL2Rvd25y&#10;ZXYueG1sUEsBAhQAFAAAAAgAh07iQNAE5nCPAQAAIwMAAA4AAAAAAAAAAQAgAAAAJAEAAGRycy9l&#10;Mm9Eb2MueG1sUEsFBgAAAAAGAAYAWQEAACU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6829425</wp:posOffset>
              </wp:positionV>
              <wp:extent cx="316865" cy="109855"/>
              <wp:effectExtent l="0" t="0" r="0" b="0"/>
              <wp:wrapNone/>
              <wp:docPr id="40" name="Shape 40"/>
              <wp:cNvGraphicFramePr/>
              <a:graphic xmlns:a="http://schemas.openxmlformats.org/drawingml/2006/main">
                <a:graphicData uri="http://schemas.microsoft.com/office/word/2010/wordprocessingShape">
                  <wps:wsp>
                    <wps:cNvSpPr txBox="1"/>
                    <wps:spPr>
                      <a:xfrm>
                        <a:off x="0" y="0"/>
                        <a:ext cx="316865" cy="10985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zh-TW" w:eastAsia="zh-TW" w:bidi="zh-TW"/>
                            </w:rPr>
                            <w:t xml:space="preserve"> -</w:t>
                          </w:r>
                        </w:p>
                      </w:txbxContent>
                    </wps:txbx>
                    <wps:bodyPr wrap="none" lIns="0" tIns="0" rIns="0" bIns="0">
                      <a:spAutoFit/>
                    </wps:bodyPr>
                  </wps:wsp>
                </a:graphicData>
              </a:graphic>
            </wp:anchor>
          </w:drawing>
        </mc:Choice>
        <mc:Fallback>
          <w:pict>
            <v:shape id="Shape 40" o:spid="_x0000_s1026" o:spt="202" type="#_x0000_t202" style="position:absolute;left:0pt;margin-top:537.75pt;height:8.65pt;width:24.95pt;mso-position-horizontal:center;mso-position-horizontal-relative:margin;mso-position-vertical-relative:page;mso-wrap-style:none;z-index:62915584;mso-width-relative:page;mso-height-relative:page;" filled="f" stroked="f" coordsize="21600,21600" o:gfxdata="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Z5WVtUAAAAJAQAADwAAAAAAAAABACAAAAAiAAAAZHJzL2Rv&#10;d25yZXYueG1sUEsBAhQAFAAAAAgAh07iQPCmVjKSAQAAIwMAAA4AAAAAAAAAAQAgAAAAJAEAAGRy&#10;cy9lMm9Eb2MueG1sUEsFBgAAAAAGAAYAWQEAACg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zh-TW" w:eastAsia="zh-TW" w:bidi="zh-TW"/>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6976110</wp:posOffset>
              </wp:positionV>
              <wp:extent cx="316865" cy="109855"/>
              <wp:effectExtent l="0" t="0" r="0" b="0"/>
              <wp:wrapNone/>
              <wp:docPr id="42" name="Shape 42"/>
              <wp:cNvGraphicFramePr/>
              <a:graphic xmlns:a="http://schemas.openxmlformats.org/drawingml/2006/main">
                <a:graphicData uri="http://schemas.microsoft.com/office/word/2010/wordprocessingShape">
                  <wps:wsp>
                    <wps:cNvSpPr txBox="1"/>
                    <wps:spPr>
                      <a:xfrm>
                        <a:off x="0" y="0"/>
                        <a:ext cx="316865" cy="10985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42" o:spid="_x0000_s1026" o:spt="202" type="#_x0000_t202" style="position:absolute;left:0pt;margin-top:549.3pt;height:8.65pt;width:24.95pt;mso-position-horizontal:center;mso-position-horizontal-relative:margin;mso-position-vertical-relative:page;mso-wrap-style:none;z-index:62915584;mso-width-relative:page;mso-height-relative:page;" filled="f" stroked="f" coordsize="21600,21600" o:gfxdata="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z3iODNUAAAAJAQAADwAAAAAAAAABACAAAAAiAAAAZHJzL2Rv&#10;d25yZXYueG1sUEsBAhQAFAAAAAgAh07iQPAnkoKSAQAAIwMAAA4AAAAAAAAAAQAgAAAAJAEAAGRy&#10;cy9lMm9Eb2MueG1sUEsFBgAAAAAGAAYAWQEAACg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6964045</wp:posOffset>
              </wp:positionV>
              <wp:extent cx="316865" cy="109855"/>
              <wp:effectExtent l="0" t="0" r="0" b="0"/>
              <wp:wrapNone/>
              <wp:docPr id="44" name="Shape 44"/>
              <wp:cNvGraphicFramePr/>
              <a:graphic xmlns:a="http://schemas.openxmlformats.org/drawingml/2006/main">
                <a:graphicData uri="http://schemas.microsoft.com/office/word/2010/wordprocessingShape">
                  <wps:wsp>
                    <wps:cNvSpPr txBox="1"/>
                    <wps:spPr>
                      <a:xfrm>
                        <a:off x="0" y="0"/>
                        <a:ext cx="316865" cy="10985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44" o:spid="_x0000_s1026" o:spt="202" type="#_x0000_t202" style="position:absolute;left:0pt;margin-top:548.35pt;height:8.65pt;width:24.95pt;mso-position-horizontal:center;mso-position-horizontal-relative:margin;mso-position-vertical-relative:page;mso-wrap-style:none;z-index:62915584;mso-width-relative:page;mso-height-relative:page;" filled="f" stroked="f" coordsize="21600,21600" o:gfxdata="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TM+sb1QAAAAkBAAAPAAAAAAAAAAEAIAAAACIAAABkcnMvZG93&#10;bnJldi54bWxQSwECFAAUAAAACACHTuJAsaKuiJEBAAAjAwAADgAAAAAAAAABACAAAAAkAQAAZHJz&#10;L2Uyb0RvYy54bWxQSwUGAAAAAAYABgBZAQAAJw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BE437F"/>
    <w:multiLevelType w:val="singleLevel"/>
    <w:tmpl w:val="CEBE437F"/>
    <w:lvl w:ilvl="0" w:tentative="0">
      <w:start w:val="2"/>
      <w:numFmt w:val="chineseCounting"/>
      <w:suff w:val="nothing"/>
      <w:lvlText w:val="%1、"/>
      <w:lvlJc w:val="left"/>
      <w:rPr>
        <w:rFonts w:hint="eastAsia"/>
      </w:rPr>
    </w:lvl>
  </w:abstractNum>
  <w:abstractNum w:abstractNumId="1">
    <w:nsid w:val="EBC54878"/>
    <w:multiLevelType w:val="singleLevel"/>
    <w:tmpl w:val="EBC54878"/>
    <w:lvl w:ilvl="0" w:tentative="0">
      <w:start w:val="6"/>
      <w:numFmt w:val="decimal"/>
      <w:suff w:val="nothing"/>
      <w:lvlText w:val="%1、"/>
      <w:lvlJc w:val="left"/>
    </w:lvl>
  </w:abstractNum>
  <w:abstractNum w:abstractNumId="2">
    <w:nsid w:val="F90DD60F"/>
    <w:multiLevelType w:val="singleLevel"/>
    <w:tmpl w:val="F90DD60F"/>
    <w:lvl w:ilvl="0" w:tentative="0">
      <w:start w:val="14"/>
      <w:numFmt w:val="decimal"/>
      <w:suff w:val="nothing"/>
      <w:lvlText w:val="%1、"/>
      <w:lvlJc w:val="left"/>
    </w:lvl>
  </w:abstractNum>
  <w:abstractNum w:abstractNumId="3">
    <w:nsid w:val="48EFCF53"/>
    <w:multiLevelType w:val="singleLevel"/>
    <w:tmpl w:val="48EFCF53"/>
    <w:lvl w:ilvl="0" w:tentative="0">
      <w:start w:val="1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67B36C5"/>
    <w:rsid w:val="0C3D1484"/>
    <w:rsid w:val="12460B7A"/>
    <w:rsid w:val="15840709"/>
    <w:rsid w:val="1DA1089F"/>
    <w:rsid w:val="2FF2497E"/>
    <w:rsid w:val="3205513D"/>
    <w:rsid w:val="39FC1D11"/>
    <w:rsid w:val="3FEA46E6"/>
    <w:rsid w:val="49390FDC"/>
    <w:rsid w:val="4F1C2584"/>
    <w:rsid w:val="59E15CCC"/>
    <w:rsid w:val="68251683"/>
    <w:rsid w:val="76BC1FFE"/>
    <w:rsid w:val="7C3B31F7"/>
    <w:rsid w:val="7CA36693"/>
    <w:rsid w:val="7F4802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Arial Unicode MS" w:hAnsi="Arial Unicode MS" w:eastAsia="Arial Unicode MS" w:cs="Arial Unicode MS"/>
      <w:sz w:val="30"/>
      <w:szCs w:val="3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2_"/>
    <w:basedOn w:val="5"/>
    <w:link w:val="7"/>
    <w:qFormat/>
    <w:uiPriority w:val="0"/>
    <w:rPr>
      <w:rFonts w:ascii="宋体" w:hAnsi="宋体" w:eastAsia="宋体" w:cs="宋体"/>
      <w:color w:val="B9244A"/>
      <w:sz w:val="20"/>
      <w:szCs w:val="20"/>
      <w:u w:val="none"/>
      <w:shd w:val="clear" w:color="auto" w:fill="auto"/>
      <w:lang w:val="zh-TW" w:eastAsia="zh-TW" w:bidi="zh-TW"/>
    </w:rPr>
  </w:style>
  <w:style w:type="paragraph" w:customStyle="1" w:styleId="7">
    <w:name w:val="Body text|2"/>
    <w:basedOn w:val="1"/>
    <w:link w:val="6"/>
    <w:qFormat/>
    <w:uiPriority w:val="0"/>
    <w:pPr>
      <w:widowControl w:val="0"/>
      <w:shd w:val="clear" w:color="auto" w:fill="auto"/>
      <w:spacing w:line="371" w:lineRule="exact"/>
      <w:ind w:firstLine="240"/>
    </w:pPr>
    <w:rPr>
      <w:rFonts w:ascii="宋体" w:hAnsi="宋体" w:eastAsia="宋体" w:cs="宋体"/>
      <w:color w:val="B9244A"/>
      <w:sz w:val="20"/>
      <w:szCs w:val="20"/>
      <w:u w:val="none"/>
      <w:shd w:val="clear" w:color="auto" w:fill="auto"/>
      <w:lang w:val="zh-TW" w:eastAsia="zh-TW" w:bidi="zh-TW"/>
    </w:rPr>
  </w:style>
  <w:style w:type="character" w:customStyle="1" w:styleId="8">
    <w:name w:val="Body text|4_"/>
    <w:basedOn w:val="5"/>
    <w:link w:val="9"/>
    <w:qFormat/>
    <w:uiPriority w:val="0"/>
    <w:rPr>
      <w:rFonts w:ascii="宋体" w:hAnsi="宋体" w:eastAsia="宋体" w:cs="宋体"/>
      <w:b/>
      <w:bCs/>
      <w:color w:val="B9244A"/>
      <w:u w:val="none"/>
      <w:shd w:val="clear" w:color="auto" w:fill="auto"/>
    </w:rPr>
  </w:style>
  <w:style w:type="paragraph" w:customStyle="1" w:styleId="9">
    <w:name w:val="Body text|4"/>
    <w:basedOn w:val="1"/>
    <w:link w:val="8"/>
    <w:qFormat/>
    <w:uiPriority w:val="0"/>
    <w:pPr>
      <w:widowControl w:val="0"/>
      <w:shd w:val="clear" w:color="auto" w:fill="auto"/>
      <w:spacing w:line="274" w:lineRule="exact"/>
    </w:pPr>
    <w:rPr>
      <w:rFonts w:ascii="宋体" w:hAnsi="宋体" w:eastAsia="宋体" w:cs="宋体"/>
      <w:b/>
      <w:bCs/>
      <w:color w:val="B9244A"/>
      <w:u w:val="none"/>
      <w:shd w:val="clear" w:color="auto" w:fill="auto"/>
    </w:rPr>
  </w:style>
  <w:style w:type="character" w:customStyle="1" w:styleId="10">
    <w:name w:val="Header or footer|2_"/>
    <w:basedOn w:val="5"/>
    <w:link w:val="11"/>
    <w:qFormat/>
    <w:uiPriority w:val="0"/>
    <w:rPr>
      <w:sz w:val="20"/>
      <w:szCs w:val="20"/>
      <w:u w:val="none"/>
      <w:shd w:val="clear" w:color="auto" w:fill="auto"/>
      <w:lang w:val="zh-TW" w:eastAsia="zh-TW" w:bidi="zh-TW"/>
    </w:rPr>
  </w:style>
  <w:style w:type="paragraph" w:customStyle="1" w:styleId="11">
    <w:name w:val="Header or footer|2"/>
    <w:basedOn w:val="1"/>
    <w:link w:val="10"/>
    <w:qFormat/>
    <w:uiPriority w:val="0"/>
    <w:pPr>
      <w:widowControl w:val="0"/>
      <w:shd w:val="clear" w:color="auto" w:fill="auto"/>
    </w:pPr>
    <w:rPr>
      <w:sz w:val="20"/>
      <w:szCs w:val="20"/>
      <w:u w:val="none"/>
      <w:shd w:val="clear" w:color="auto" w:fill="auto"/>
      <w:lang w:val="zh-TW" w:eastAsia="zh-TW" w:bidi="zh-TW"/>
    </w:rPr>
  </w:style>
  <w:style w:type="character" w:customStyle="1" w:styleId="12">
    <w:name w:val="Body text|1_"/>
    <w:basedOn w:val="5"/>
    <w:link w:val="13"/>
    <w:qFormat/>
    <w:uiPriority w:val="0"/>
    <w:rPr>
      <w:rFonts w:ascii="宋体" w:hAnsi="宋体" w:eastAsia="宋体" w:cs="宋体"/>
      <w:sz w:val="28"/>
      <w:szCs w:val="28"/>
      <w:u w:val="none"/>
      <w:shd w:val="clear" w:color="auto" w:fill="auto"/>
      <w:lang w:val="zh-TW" w:eastAsia="zh-TW" w:bidi="zh-TW"/>
    </w:rPr>
  </w:style>
  <w:style w:type="paragraph" w:customStyle="1" w:styleId="13">
    <w:name w:val="Body text|1"/>
    <w:basedOn w:val="1"/>
    <w:link w:val="12"/>
    <w:qFormat/>
    <w:uiPriority w:val="0"/>
    <w:pPr>
      <w:widowControl w:val="0"/>
      <w:shd w:val="clear" w:color="auto" w:fill="auto"/>
      <w:spacing w:line="437" w:lineRule="auto"/>
      <w:ind w:firstLine="400"/>
    </w:pPr>
    <w:rPr>
      <w:rFonts w:ascii="宋体" w:hAnsi="宋体" w:eastAsia="宋体" w:cs="宋体"/>
      <w:sz w:val="28"/>
      <w:szCs w:val="28"/>
      <w:u w:val="none"/>
      <w:shd w:val="clear" w:color="auto" w:fill="auto"/>
      <w:lang w:val="zh-TW" w:eastAsia="zh-TW" w:bidi="zh-TW"/>
    </w:rPr>
  </w:style>
  <w:style w:type="character" w:customStyle="1" w:styleId="14">
    <w:name w:val="Heading #1|1_"/>
    <w:basedOn w:val="5"/>
    <w:link w:val="15"/>
    <w:qFormat/>
    <w:uiPriority w:val="0"/>
    <w:rPr>
      <w:rFonts w:ascii="宋体" w:hAnsi="宋体" w:eastAsia="宋体" w:cs="宋体"/>
      <w:sz w:val="40"/>
      <w:szCs w:val="40"/>
      <w:u w:val="none"/>
      <w:shd w:val="clear" w:color="auto" w:fill="auto"/>
      <w:lang w:val="zh-TW" w:eastAsia="zh-TW" w:bidi="zh-TW"/>
    </w:rPr>
  </w:style>
  <w:style w:type="paragraph" w:customStyle="1" w:styleId="15">
    <w:name w:val="Heading #1|1"/>
    <w:basedOn w:val="1"/>
    <w:link w:val="14"/>
    <w:qFormat/>
    <w:uiPriority w:val="0"/>
    <w:pPr>
      <w:widowControl w:val="0"/>
      <w:shd w:val="clear" w:color="auto" w:fill="auto"/>
      <w:spacing w:after="500" w:line="634"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16">
    <w:name w:val="Picture caption|1_"/>
    <w:basedOn w:val="5"/>
    <w:link w:val="17"/>
    <w:qFormat/>
    <w:uiPriority w:val="0"/>
    <w:rPr>
      <w:rFonts w:ascii="宋体" w:hAnsi="宋体" w:eastAsia="宋体" w:cs="宋体"/>
      <w:color w:val="B9244A"/>
      <w:sz w:val="48"/>
      <w:szCs w:val="48"/>
      <w:u w:val="none"/>
      <w:shd w:val="clear" w:color="auto" w:fill="auto"/>
      <w:lang w:val="zh-TW" w:eastAsia="zh-TW" w:bidi="zh-TW"/>
    </w:rPr>
  </w:style>
  <w:style w:type="paragraph" w:customStyle="1" w:styleId="17">
    <w:name w:val="Picture caption|1"/>
    <w:basedOn w:val="1"/>
    <w:link w:val="16"/>
    <w:qFormat/>
    <w:uiPriority w:val="0"/>
    <w:pPr>
      <w:widowControl w:val="0"/>
      <w:shd w:val="clear" w:color="auto" w:fill="auto"/>
    </w:pPr>
    <w:rPr>
      <w:rFonts w:ascii="宋体" w:hAnsi="宋体" w:eastAsia="宋体" w:cs="宋体"/>
      <w:color w:val="B9244A"/>
      <w:sz w:val="48"/>
      <w:szCs w:val="48"/>
      <w:u w:val="none"/>
      <w:shd w:val="clear" w:color="auto" w:fill="auto"/>
      <w:lang w:val="zh-TW" w:eastAsia="zh-TW" w:bidi="zh-TW"/>
    </w:rPr>
  </w:style>
  <w:style w:type="character" w:customStyle="1" w:styleId="18">
    <w:name w:val="Header or footer|1_"/>
    <w:basedOn w:val="5"/>
    <w:link w:val="19"/>
    <w:qFormat/>
    <w:uiPriority w:val="0"/>
    <w:rPr>
      <w:sz w:val="26"/>
      <w:szCs w:val="26"/>
      <w:u w:val="none"/>
      <w:shd w:val="clear" w:color="auto" w:fill="auto"/>
    </w:rPr>
  </w:style>
  <w:style w:type="paragraph" w:customStyle="1" w:styleId="19">
    <w:name w:val="Header or footer|1"/>
    <w:basedOn w:val="1"/>
    <w:link w:val="18"/>
    <w:qFormat/>
    <w:uiPriority w:val="0"/>
    <w:pPr>
      <w:widowControl w:val="0"/>
      <w:shd w:val="clear" w:color="auto" w:fill="auto"/>
    </w:pPr>
    <w:rPr>
      <w:sz w:val="26"/>
      <w:szCs w:val="26"/>
      <w:u w:val="none"/>
      <w:shd w:val="clear" w:color="auto" w:fill="auto"/>
    </w:rPr>
  </w:style>
  <w:style w:type="character" w:customStyle="1" w:styleId="20">
    <w:name w:val="Other|1_"/>
    <w:basedOn w:val="5"/>
    <w:link w:val="21"/>
    <w:qFormat/>
    <w:uiPriority w:val="0"/>
    <w:rPr>
      <w:rFonts w:ascii="宋体" w:hAnsi="宋体" w:eastAsia="宋体" w:cs="宋体"/>
      <w:sz w:val="28"/>
      <w:szCs w:val="28"/>
      <w:u w:val="none"/>
      <w:shd w:val="clear" w:color="auto" w:fill="auto"/>
      <w:lang w:val="zh-TW" w:eastAsia="zh-TW" w:bidi="zh-TW"/>
    </w:rPr>
  </w:style>
  <w:style w:type="paragraph" w:customStyle="1" w:styleId="21">
    <w:name w:val="Other|1"/>
    <w:basedOn w:val="1"/>
    <w:link w:val="20"/>
    <w:qFormat/>
    <w:uiPriority w:val="0"/>
    <w:pPr>
      <w:widowControl w:val="0"/>
      <w:shd w:val="clear" w:color="auto" w:fill="auto"/>
      <w:spacing w:line="437" w:lineRule="auto"/>
      <w:ind w:firstLine="400"/>
    </w:pPr>
    <w:rPr>
      <w:rFonts w:ascii="宋体" w:hAnsi="宋体" w:eastAsia="宋体" w:cs="宋体"/>
      <w:sz w:val="28"/>
      <w:szCs w:val="28"/>
      <w:u w:val="none"/>
      <w:shd w:val="clear" w:color="auto" w:fill="auto"/>
      <w:lang w:val="zh-TW" w:eastAsia="zh-TW" w:bidi="zh-TW"/>
    </w:rPr>
  </w:style>
  <w:style w:type="character" w:customStyle="1" w:styleId="22">
    <w:name w:val="Body text|3_"/>
    <w:basedOn w:val="5"/>
    <w:link w:val="23"/>
    <w:qFormat/>
    <w:uiPriority w:val="0"/>
    <w:rPr>
      <w:rFonts w:ascii="宋体" w:hAnsi="宋体" w:eastAsia="宋体" w:cs="宋体"/>
      <w:sz w:val="20"/>
      <w:szCs w:val="20"/>
      <w:u w:val="none"/>
      <w:shd w:val="clear" w:color="auto" w:fill="auto"/>
      <w:lang w:val="zh-TW" w:eastAsia="zh-TW" w:bidi="zh-TW"/>
    </w:rPr>
  </w:style>
  <w:style w:type="paragraph" w:customStyle="1" w:styleId="23">
    <w:name w:val="Body text|3"/>
    <w:basedOn w:val="1"/>
    <w:link w:val="22"/>
    <w:qFormat/>
    <w:uiPriority w:val="0"/>
    <w:pPr>
      <w:widowControl w:val="0"/>
      <w:shd w:val="clear" w:color="auto" w:fill="auto"/>
      <w:spacing w:line="323" w:lineRule="exact"/>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2020-06-04T00:57:00Z</dcterms:created>
  <dc:creator>Administrator</dc:creator>
  <cp:lastModifiedBy>Administrator</cp:lastModifiedBy>
  <dcterms:modified xsi:type="dcterms:W3CDTF">2020-06-04T06:53:14Z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