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theme="minorBidi"/>
          <w:kern w:val="2"/>
          <w:sz w:val="44"/>
          <w:szCs w:val="44"/>
          <w:lang w:val="en-US" w:eastAsia="zh-CN" w:bidi="ar-SA"/>
        </w:rPr>
      </w:pPr>
      <w:r>
        <w:rPr>
          <w:rFonts w:hint="eastAsia" w:ascii="方正小标宋简体" w:hAnsi="宋体" w:eastAsia="方正小标宋简体" w:cstheme="minorBidi"/>
          <w:kern w:val="2"/>
          <w:sz w:val="44"/>
          <w:szCs w:val="44"/>
          <w:lang w:val="en-US" w:eastAsia="zh-CN" w:bidi="ar-SA"/>
        </w:rPr>
        <w:t>关于对统计领域严重失信企业及其有关</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theme="minorBidi"/>
          <w:kern w:val="2"/>
          <w:sz w:val="44"/>
          <w:szCs w:val="44"/>
          <w:lang w:val="en-US" w:eastAsia="zh-CN" w:bidi="ar-SA"/>
        </w:rPr>
      </w:pPr>
      <w:r>
        <w:rPr>
          <w:rFonts w:hint="eastAsia" w:ascii="方正小标宋简体" w:hAnsi="宋体" w:eastAsia="方正小标宋简体" w:cstheme="minorBidi"/>
          <w:kern w:val="2"/>
          <w:sz w:val="44"/>
          <w:szCs w:val="44"/>
          <w:lang w:val="en-US" w:eastAsia="zh-CN" w:bidi="ar-SA"/>
        </w:rPr>
        <w:t>人员开展联合惩戒的合作备忘录</w:t>
      </w:r>
    </w:p>
    <w:p>
      <w:pPr>
        <w:pStyle w:val="2"/>
        <w:spacing w:before="10"/>
        <w:rPr>
          <w:rFonts w:hint="eastAsia" w:ascii="仿宋_GB2312" w:hAnsi="仿宋_GB2312" w:eastAsia="仿宋_GB2312" w:cs="仿宋_GB2312"/>
          <w:sz w:val="32"/>
          <w:szCs w:val="32"/>
        </w:rPr>
      </w:pPr>
    </w:p>
    <w:p>
      <w:pPr>
        <w:pStyle w:val="13"/>
        <w:keepNext w:val="0"/>
        <w:keepLines w:val="0"/>
        <w:pageBreakBefore w:val="0"/>
        <w:widowControl w:val="0"/>
        <w:kinsoku/>
        <w:wordWrap/>
        <w:overflowPunct/>
        <w:topLinePunct w:val="0"/>
        <w:autoSpaceDE/>
        <w:autoSpaceDN/>
        <w:bidi w:val="0"/>
        <w:adjustRightInd/>
        <w:snapToGrid/>
        <w:spacing w:line="540" w:lineRule="exact"/>
        <w:ind w:firstLine="649" w:firstLineChars="20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为全面贯彻落实党的十八大和十八届三中、四中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中全会精神，落实《统计法》和《中共中央办公厅国务院办公厅关于深化统计管理体制改革提高统计数据真实性的意见》（中办发〔2016〕76号）、《国务院关于建立完善守信联合激励和失信联合惩戒制度加快推进社会诚信建设的指导意见》（国发〔2016〕33号）、《国务院关于印发社会信用体系建设规划纲要（</w:t>
      </w:r>
      <w:r>
        <w:rPr>
          <w:rFonts w:hint="eastAsia" w:ascii="仿宋_GB2312" w:hAnsi="仿宋_GB2312" w:eastAsia="仿宋_GB2312" w:cs="仿宋_GB2312"/>
          <w:sz w:val="32"/>
          <w:szCs w:val="32"/>
          <w:lang w:val="en-US" w:eastAsia="zh-CN"/>
        </w:rPr>
        <w:t>2014-2020</w:t>
      </w:r>
      <w:r>
        <w:rPr>
          <w:rFonts w:hint="eastAsia" w:ascii="仿宋_GB2312" w:hAnsi="仿宋_GB2312" w:eastAsia="仿宋_GB2312" w:cs="仿宋_GB2312"/>
          <w:sz w:val="32"/>
          <w:szCs w:val="32"/>
        </w:rPr>
        <w:t>年）的通知》（国发〔2014〕 21号）、《国务院关于促进市场公平竞争维护市场正常秩序的若干意见》（国发〔2014〕20号）等有关要求，加快推进统计领域信用建设，建立健全失信联合惩戒机制，促进广大企业依法独立真实报送统计资料，国家发展改革委、人民银行、统计局、中央组织部、中央宣传部、中央编办、中央文明办、科技部、工信部、财政部、人力资源和社会保障部、国土资源部、环境保护部、商务部、国资委、海关总署、税务总局、工商总局、质检总局、银监会、证监会、保监会、公务员局、外汇管理局、全国总工会、共青团中央、全国妇联等部门就针对统计领域严重失信企业及其有关人员开展联合惩戒达成如下一致意见：</w:t>
      </w:r>
    </w:p>
    <w:p>
      <w:pPr>
        <w:pStyle w:val="13"/>
        <w:keepNext w:val="0"/>
        <w:keepLines w:val="0"/>
        <w:pageBreakBefore w:val="0"/>
        <w:widowControl w:val="0"/>
        <w:tabs>
          <w:tab w:val="left" w:pos="1290"/>
        </w:tabs>
        <w:kinsoku/>
        <w:wordWrap/>
        <w:overflowPunct/>
        <w:topLinePunct w:val="0"/>
        <w:autoSpaceDE/>
        <w:autoSpaceDN/>
        <w:bidi w:val="0"/>
        <w:adjustRightInd/>
        <w:snapToGrid/>
        <w:spacing w:line="540" w:lineRule="exact"/>
        <w:ind w:firstLine="660"/>
        <w:jc w:val="both"/>
        <w:textAlignment w:val="auto"/>
        <w:rPr>
          <w:rFonts w:hint="eastAsia" w:ascii="黑体" w:hAnsi="黑体" w:eastAsia="黑体" w:cs="黑体"/>
          <w:sz w:val="32"/>
          <w:szCs w:val="32"/>
        </w:rPr>
      </w:pPr>
      <w:r>
        <w:rPr>
          <w:rFonts w:hint="eastAsia" w:ascii="黑体" w:hAnsi="黑体" w:eastAsia="黑体" w:cs="黑体"/>
          <w:sz w:val="32"/>
          <w:szCs w:val="32"/>
        </w:rPr>
        <w:t>一、联合惩戒对象</w:t>
      </w:r>
    </w:p>
    <w:p>
      <w:pPr>
        <w:pStyle w:val="13"/>
        <w:keepNext w:val="0"/>
        <w:keepLines w:val="0"/>
        <w:pageBreakBefore w:val="0"/>
        <w:widowControl w:val="0"/>
        <w:kinsoku/>
        <w:wordWrap/>
        <w:overflowPunct/>
        <w:topLinePunct w:val="0"/>
        <w:autoSpaceDE/>
        <w:autoSpaceDN/>
        <w:bidi w:val="0"/>
        <w:adjustRightInd/>
        <w:snapToGrid/>
        <w:spacing w:line="540" w:lineRule="exact"/>
        <w:ind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联合惩戒的对象为在依法开展的政府统计调查中，编造虚假统计数据、虚报（瞒报）统计数据数额较大或者虚报率 （瞒报率）较高，经统计部门根据《统计上严重失信企业信息公示暂行办法》（国家统计局公告2014年第3号）等有关法规规定，依法认定并通过国家统计局网站公示的统计上严重失信企业（以下简称失信企业）及其法定代表人、主要负责人和其他负有直接责任人员（以下简称失信人员</w:t>
      </w:r>
      <w:r>
        <w:rPr>
          <w:rFonts w:hint="eastAsia" w:ascii="仿宋_GB2312" w:hAnsi="仿宋_GB2312" w:eastAsia="仿宋_GB2312" w:cs="仿宋_GB2312"/>
          <w:sz w:val="32"/>
          <w:szCs w:val="32"/>
          <w:lang w:val="en-US" w:eastAsia="zh-CN" w:bidi="en-US"/>
        </w:rPr>
        <w:t>）。</w:t>
      </w:r>
    </w:p>
    <w:p>
      <w:pPr>
        <w:pStyle w:val="13"/>
        <w:keepNext w:val="0"/>
        <w:keepLines w:val="0"/>
        <w:pageBreakBefore w:val="0"/>
        <w:widowControl w:val="0"/>
        <w:numPr>
          <w:ilvl w:val="0"/>
          <w:numId w:val="1"/>
        </w:numPr>
        <w:tabs>
          <w:tab w:val="left" w:pos="1290"/>
        </w:tabs>
        <w:kinsoku/>
        <w:wordWrap/>
        <w:overflowPunct/>
        <w:topLinePunct w:val="0"/>
        <w:autoSpaceDE/>
        <w:autoSpaceDN/>
        <w:bidi w:val="0"/>
        <w:adjustRightInd/>
        <w:snapToGrid/>
        <w:spacing w:line="540" w:lineRule="exact"/>
        <w:ind w:firstLine="660"/>
        <w:jc w:val="both"/>
        <w:textAlignment w:val="auto"/>
        <w:rPr>
          <w:rFonts w:hint="eastAsia" w:ascii="黑体" w:hAnsi="黑体" w:eastAsia="黑体" w:cs="黑体"/>
          <w:sz w:val="32"/>
          <w:szCs w:val="32"/>
        </w:rPr>
      </w:pPr>
      <w:r>
        <w:rPr>
          <w:rFonts w:hint="eastAsia" w:ascii="黑体" w:hAnsi="黑体" w:eastAsia="黑体" w:cs="黑体"/>
          <w:sz w:val="32"/>
          <w:szCs w:val="32"/>
        </w:rPr>
        <w:t>联合惩戒措施</w:t>
      </w:r>
    </w:p>
    <w:p>
      <w:pPr>
        <w:pStyle w:val="13"/>
        <w:keepNext w:val="0"/>
        <w:keepLines w:val="0"/>
        <w:pageBreakBefore w:val="0"/>
        <w:widowControl w:val="0"/>
        <w:numPr>
          <w:ilvl w:val="0"/>
          <w:numId w:val="0"/>
        </w:numPr>
        <w:tabs>
          <w:tab w:val="left" w:pos="1290"/>
        </w:tabs>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（一）依据统计法对失信企业及失信人员采取以下惩戒措施：</w:t>
      </w:r>
    </w:p>
    <w:p>
      <w:pPr>
        <w:pStyle w:val="13"/>
        <w:keepNext w:val="0"/>
        <w:keepLines w:val="0"/>
        <w:pageBreakBefore w:val="0"/>
        <w:widowControl w:val="0"/>
        <w:numPr>
          <w:ilvl w:val="0"/>
          <w:numId w:val="0"/>
        </w:numPr>
        <w:tabs>
          <w:tab w:val="left" w:pos="1046"/>
        </w:tabs>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对失信企业依法作出行政处罚；</w:t>
      </w:r>
    </w:p>
    <w:p>
      <w:pPr>
        <w:pStyle w:val="13"/>
        <w:keepNext w:val="0"/>
        <w:keepLines w:val="0"/>
        <w:pageBreakBefore w:val="0"/>
        <w:widowControl w:val="0"/>
        <w:numPr>
          <w:ilvl w:val="0"/>
          <w:numId w:val="0"/>
        </w:numPr>
        <w:tabs>
          <w:tab w:val="left" w:pos="1064"/>
        </w:tabs>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zh-CN"/>
        </w:rPr>
        <w:t>2.</w:t>
      </w:r>
      <w:r>
        <w:rPr>
          <w:rFonts w:hint="eastAsia" w:ascii="仿宋_GB2312" w:hAnsi="仿宋_GB2312" w:eastAsia="仿宋_GB2312" w:cs="仿宋_GB2312"/>
          <w:sz w:val="32"/>
          <w:szCs w:val="32"/>
          <w:lang w:val="zh-CN" w:eastAsia="zh-CN" w:bidi="zh-CN"/>
        </w:rPr>
        <w:t>通</w:t>
      </w:r>
      <w:r>
        <w:rPr>
          <w:rFonts w:hint="eastAsia" w:ascii="仿宋_GB2312" w:hAnsi="仿宋_GB2312" w:eastAsia="仿宋_GB2312" w:cs="仿宋_GB2312"/>
          <w:sz w:val="32"/>
          <w:szCs w:val="32"/>
        </w:rPr>
        <w:t>过国家统计局网站、“信用中国”网站和国家企业信用信息公示系统向社会公示失信企业和失信人员信息；</w:t>
      </w:r>
    </w:p>
    <w:p>
      <w:pPr>
        <w:pStyle w:val="13"/>
        <w:keepNext w:val="0"/>
        <w:keepLines w:val="0"/>
        <w:pageBreakBefore w:val="0"/>
        <w:widowControl w:val="0"/>
        <w:numPr>
          <w:ilvl w:val="0"/>
          <w:numId w:val="0"/>
        </w:numPr>
        <w:tabs>
          <w:tab w:val="left" w:pos="1058"/>
        </w:tabs>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zh-CN"/>
        </w:rPr>
        <w:t>3.</w:t>
      </w:r>
      <w:r>
        <w:rPr>
          <w:rFonts w:hint="eastAsia" w:ascii="仿宋_GB2312" w:hAnsi="仿宋_GB2312" w:eastAsia="仿宋_GB2312" w:cs="仿宋_GB2312"/>
          <w:sz w:val="32"/>
          <w:szCs w:val="32"/>
          <w:lang w:val="zh-CN" w:eastAsia="zh-CN" w:bidi="zh-CN"/>
        </w:rPr>
        <w:t>将</w:t>
      </w:r>
      <w:r>
        <w:rPr>
          <w:rFonts w:hint="eastAsia" w:ascii="仿宋_GB2312" w:hAnsi="仿宋_GB2312" w:eastAsia="仿宋_GB2312" w:cs="仿宋_GB2312"/>
          <w:sz w:val="32"/>
          <w:szCs w:val="32"/>
        </w:rPr>
        <w:t>失信企业列为重点监督检查对象，再次发现有统计违法行为的，延长公示期限；</w:t>
      </w:r>
    </w:p>
    <w:p>
      <w:pPr>
        <w:pStyle w:val="13"/>
        <w:keepNext w:val="0"/>
        <w:keepLines w:val="0"/>
        <w:pageBreakBefore w:val="0"/>
        <w:widowControl w:val="0"/>
        <w:tabs>
          <w:tab w:val="left" w:pos="1646"/>
        </w:tabs>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zh-CN"/>
        </w:rPr>
        <w:t>4.</w:t>
      </w:r>
      <w:r>
        <w:rPr>
          <w:rFonts w:hint="eastAsia" w:ascii="仿宋_GB2312" w:hAnsi="仿宋_GB2312" w:eastAsia="仿宋_GB2312" w:cs="仿宋_GB2312"/>
          <w:sz w:val="32"/>
          <w:szCs w:val="32"/>
          <w:lang w:val="zh-CN" w:eastAsia="zh-CN" w:bidi="zh-CN"/>
        </w:rPr>
        <w:t>对</w:t>
      </w:r>
      <w:r>
        <w:rPr>
          <w:rFonts w:hint="eastAsia" w:ascii="仿宋_GB2312" w:hAnsi="仿宋_GB2312" w:eastAsia="仿宋_GB2312" w:cs="仿宋_GB2312"/>
          <w:sz w:val="32"/>
          <w:szCs w:val="32"/>
        </w:rPr>
        <w:t>负有责任的属于国家工作人员的领导人员和直接责任人员，按照有关规定由任免机关、监察机关依纪依法给予组织处理或者处分。</w:t>
      </w:r>
    </w:p>
    <w:p>
      <w:pPr>
        <w:pStyle w:val="13"/>
        <w:keepNext w:val="0"/>
        <w:keepLines w:val="0"/>
        <w:pageBreakBefore w:val="0"/>
        <w:widowControl w:val="0"/>
        <w:tabs>
          <w:tab w:val="left" w:pos="1646"/>
        </w:tabs>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（二）依法依规限制取得政府性资金支持。</w:t>
      </w:r>
    </w:p>
    <w:p>
      <w:pPr>
        <w:pStyle w:val="13"/>
        <w:keepNext w:val="0"/>
        <w:keepLines w:val="0"/>
        <w:pageBreakBefore w:val="0"/>
        <w:widowControl w:val="0"/>
        <w:tabs>
          <w:tab w:val="left" w:pos="1646"/>
        </w:tabs>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（三）依法限制参与建设工程招投标。</w:t>
      </w:r>
    </w:p>
    <w:p>
      <w:pPr>
        <w:pStyle w:val="13"/>
        <w:keepNext w:val="0"/>
        <w:keepLines w:val="0"/>
        <w:pageBreakBefore w:val="0"/>
        <w:widowControl w:val="0"/>
        <w:tabs>
          <w:tab w:val="left" w:pos="1646"/>
        </w:tabs>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rPr>
        <w:t>四）将失信企业及其相关人员有关信息作为公司债券和股票发行审核的参考，从严审核企业债券发行。</w:t>
      </w:r>
    </w:p>
    <w:p>
      <w:pPr>
        <w:pStyle w:val="13"/>
        <w:keepNext w:val="0"/>
        <w:keepLines w:val="0"/>
        <w:pageBreakBefore w:val="0"/>
        <w:widowControl w:val="0"/>
        <w:tabs>
          <w:tab w:val="left" w:pos="1646"/>
        </w:tabs>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（五）暂停审批科技项目。</w:t>
      </w:r>
    </w:p>
    <w:p>
      <w:pPr>
        <w:pStyle w:val="13"/>
        <w:keepNext w:val="0"/>
        <w:keepLines w:val="0"/>
        <w:pageBreakBefore w:val="0"/>
        <w:widowControl w:val="0"/>
        <w:tabs>
          <w:tab w:val="left" w:pos="1646"/>
        </w:tabs>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（六）依法限制参与政府采购活动。</w:t>
      </w:r>
    </w:p>
    <w:p>
      <w:pPr>
        <w:pStyle w:val="13"/>
        <w:keepNext w:val="0"/>
        <w:keepLines w:val="0"/>
        <w:pageBreakBefore w:val="0"/>
        <w:widowControl w:val="0"/>
        <w:tabs>
          <w:tab w:val="left" w:pos="1634"/>
        </w:tabs>
        <w:kinsoku/>
        <w:wordWrap/>
        <w:overflowPunct/>
        <w:topLinePunct w:val="0"/>
        <w:autoSpaceDE/>
        <w:autoSpaceDN/>
        <w:bidi w:val="0"/>
        <w:adjustRightInd/>
        <w:snapToGrid/>
        <w:spacing w:after="60"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（七）依法限制取得政府供应土地。</w:t>
      </w:r>
    </w:p>
    <w:p>
      <w:pPr>
        <w:pStyle w:val="13"/>
        <w:keepNext w:val="0"/>
        <w:keepLines w:val="0"/>
        <w:pageBreakBefore w:val="0"/>
        <w:widowControl w:val="0"/>
        <w:tabs>
          <w:tab w:val="left" w:pos="1654"/>
        </w:tabs>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（八）严格、审慎审批新改扩建项目的环评事项。</w:t>
      </w:r>
    </w:p>
    <w:p>
      <w:pPr>
        <w:pStyle w:val="13"/>
        <w:keepNext w:val="0"/>
        <w:keepLines w:val="0"/>
        <w:pageBreakBefore w:val="0"/>
        <w:widowControl w:val="0"/>
        <w:tabs>
          <w:tab w:val="left" w:pos="1654"/>
        </w:tabs>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（九）从严审核在银行间市场发行债券。</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（十）依法限制境内上市公司实行股权激励计划或者限制成为股权激励对象。</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（十一）对其进出口货物加大监管力度，加强单证审核和布控查验。</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（十二）申请适用海关认证企业管理的，不予通过认证; 已经成为认证企业的，按照规定下调企业信用等级。</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（十三）将失信企业有关信息纳入检验检疫进出口企业信用管理系统，依据《出入境检验检疫企业信用管理办法》 对其进行信用评级和监督。</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（十四）认证机构暂停或者撤销相关认证证书。</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（十五）在审批保险公司设立时，将统计领域严重失信企业及其有关人员的失信状况作为重要参考依据。</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（十六）在核准与管理相关外汇额度时作审慎性参考。</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（十七）依法限制招录（聘）为公务员或事业单位工作人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（十八）对企业和个人给予表彰奖励、授予荣誉称号时, 应当参考其统计信用状况，对失信企业和失信人员，不予颁发政府荣誉；及时撤销失信企业和失信人员获得的荣誉称号。</w:t>
      </w:r>
    </w:p>
    <w:p>
      <w:pPr>
        <w:pStyle w:val="13"/>
        <w:keepNext w:val="0"/>
        <w:keepLines w:val="0"/>
        <w:pageBreakBefore w:val="0"/>
        <w:widowControl w:val="0"/>
        <w:kinsoku/>
        <w:wordWrap/>
        <w:overflowPunct/>
        <w:topLinePunct w:val="0"/>
        <w:autoSpaceDE/>
        <w:autoSpaceDN/>
        <w:bidi w:val="0"/>
        <w:adjustRightInd/>
        <w:snapToGrid/>
        <w:spacing w:line="540" w:lineRule="exact"/>
        <w:ind w:left="319" w:leftChars="133"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（十九）依法限制登记为事业单位法定代表人。</w:t>
      </w:r>
    </w:p>
    <w:p>
      <w:pPr>
        <w:pStyle w:val="13"/>
        <w:keepNext w:val="0"/>
        <w:keepLines w:val="0"/>
        <w:pageBreakBefore w:val="0"/>
        <w:widowControl w:val="0"/>
        <w:kinsoku/>
        <w:wordWrap/>
        <w:overflowPunct/>
        <w:topLinePunct w:val="0"/>
        <w:autoSpaceDE/>
        <w:autoSpaceDN/>
        <w:bidi w:val="0"/>
        <w:adjustRightInd/>
        <w:snapToGrid/>
        <w:spacing w:after="180" w:line="540" w:lineRule="exact"/>
        <w:ind w:left="638" w:leftChars="266"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（二十）依法限制担任国有企业法定代表人、董事、监事。</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（二十一）将失信人员有关信息记入个人信用记录和统计从业人员诚信档案，在一定期限内不得从事与会计、统计等有关的工作，不能取得会计、统计等有关专业职称。</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（二十二）依法限制设立融资性担保公司；在审批融资性担保公司或金融机构董事、监事及高级管理人员任职资格时，将统计领域严重失信企业及其有关人员失信状况作为重要参考依据。</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rPr>
        <w:t>（二十三）将统计上严重失信行为作为投资等优惠性政策认定，金融机构评级授信、信贷融资、管理和退出，审批证券、证券投资基金及期货公司设立、变更，私募基金管理 人登记、重大事项变更以及基金备案，相关责任人考核、干部选任等</w:t>
      </w:r>
      <w:r>
        <w:rPr>
          <w:rFonts w:hint="eastAsia" w:ascii="仿宋_GB2312" w:hAnsi="仿宋_GB2312" w:eastAsia="仿宋_GB2312" w:cs="仿宋_GB2312"/>
          <w:spacing w:val="-20"/>
          <w:sz w:val="32"/>
          <w:szCs w:val="32"/>
        </w:rPr>
        <w:t>的重要参考。</w:t>
      </w:r>
    </w:p>
    <w:p>
      <w:pPr>
        <w:pStyle w:val="13"/>
        <w:keepNext w:val="0"/>
        <w:keepLines w:val="0"/>
        <w:pageBreakBefore w:val="0"/>
        <w:widowControl w:val="0"/>
        <w:kinsoku/>
        <w:wordWrap/>
        <w:overflowPunct/>
        <w:topLinePunct w:val="0"/>
        <w:autoSpaceDE/>
        <w:autoSpaceDN/>
        <w:bidi w:val="0"/>
        <w:adjustRightInd/>
        <w:snapToGrid/>
        <w:spacing w:line="540" w:lineRule="exact"/>
        <w:ind w:firstLine="68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三、联合惩戒的实施方式</w:t>
      </w:r>
    </w:p>
    <w:p>
      <w:pPr>
        <w:pStyle w:val="13"/>
        <w:keepNext w:val="0"/>
        <w:keepLines w:val="0"/>
        <w:pageBreakBefore w:val="0"/>
        <w:widowControl w:val="0"/>
        <w:kinsoku/>
        <w:wordWrap/>
        <w:overflowPunct/>
        <w:topLinePunct w:val="0"/>
        <w:autoSpaceDE/>
        <w:autoSpaceDN/>
        <w:bidi w:val="0"/>
        <w:adjustRightInd/>
        <w:snapToGrid/>
        <w:spacing w:line="540" w:lineRule="exact"/>
        <w:ind w:firstLine="6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国家统计局通过全国信用信息共享平台、地方信用信息共享平台等信息技术手段定期向签署本备忘录的各有关部门和单位提供统计领域存在严重失信行为的企业及其有关人员相关信息，在国家统计局网站、</w:t>
      </w:r>
      <w:r>
        <w:rPr>
          <w:rFonts w:hint="eastAsia" w:ascii="仿宋_GB2312" w:hAnsi="仿宋_GB2312" w:eastAsia="仿宋_GB2312" w:cs="仿宋_GB2312"/>
          <w:sz w:val="32"/>
          <w:szCs w:val="32"/>
          <w:lang w:val="zh-CN" w:eastAsia="zh-CN" w:bidi="zh-CN"/>
        </w:rPr>
        <w:t>“信用</w:t>
      </w:r>
      <w:r>
        <w:rPr>
          <w:rFonts w:hint="eastAsia" w:ascii="仿宋_GB2312" w:hAnsi="仿宋_GB2312" w:eastAsia="仿宋_GB2312" w:cs="仿宋_GB2312"/>
          <w:sz w:val="32"/>
          <w:szCs w:val="32"/>
        </w:rPr>
        <w:t>中国”网站和国家企业信用信息公示系统向社会公布。各有关部门和单位按照本备忘录约定内容，依法依规对失信企业和失信人员实施联合惩戒。同时，建立惩戒效果定期通报机制，各有关部门和单位定期将联合惩戒实施情况通过全国信用信息共享平台联合惩戒子系统反馈至国家发展改革委和国家统计局。</w:t>
      </w:r>
    </w:p>
    <w:p>
      <w:pPr>
        <w:pStyle w:val="13"/>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四、其他事宜</w:t>
      </w:r>
    </w:p>
    <w:p>
      <w:pPr>
        <w:pStyle w:val="13"/>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sz w:val="32"/>
          <w:szCs w:val="32"/>
        </w:rPr>
        <w:sectPr>
          <w:footerReference r:id="rId5" w:type="default"/>
          <w:footerReference r:id="rId6" w:type="even"/>
          <w:pgSz w:w="11900" w:h="16840"/>
          <w:pgMar w:top="1871" w:right="1361" w:bottom="1871" w:left="1417" w:header="1087" w:footer="3" w:gutter="0"/>
          <w:pgNumType w:start="2"/>
          <w:cols w:space="720" w:num="1"/>
          <w:docGrid w:linePitch="360" w:charSpace="0"/>
        </w:sectPr>
      </w:pPr>
      <w:r>
        <w:rPr>
          <w:rFonts w:hint="eastAsia" w:ascii="仿宋_GB2312" w:hAnsi="仿宋_GB2312" w:eastAsia="仿宋_GB2312" w:cs="仿宋_GB2312"/>
          <w:sz w:val="32"/>
          <w:szCs w:val="32"/>
        </w:rPr>
        <w:t>各部门应积极落实本备忘录，积极推动修改相关领域法律法规，制订修改部门规章和规范性文件，指导和要求相关领域内部各层级单位依法依规实施具体、严格、有效的惩戒措施。本备忘录签署后，各领域内相关法律法规修改或调整的，以法律法规为准。</w:t>
      </w:r>
    </w:p>
    <w:p>
      <w:pPr>
        <w:pStyle w:val="13"/>
        <w:spacing w:after="140" w:line="240" w:lineRule="auto"/>
        <w:ind w:firstLine="440"/>
        <w:jc w:val="both"/>
        <w:rPr>
          <w:rFonts w:hint="default" w:eastAsia="宋体"/>
          <w:sz w:val="28"/>
          <w:szCs w:val="28"/>
          <w:lang w:val="en-US" w:eastAsia="zh-CN"/>
        </w:rPr>
      </w:pPr>
      <w:r>
        <w:rPr>
          <w:sz w:val="28"/>
          <w:szCs w:val="28"/>
        </w:rPr>
        <w:t>附</w:t>
      </w:r>
      <w:r>
        <w:rPr>
          <w:rFonts w:hint="eastAsia"/>
          <w:sz w:val="28"/>
          <w:szCs w:val="28"/>
          <w:lang w:eastAsia="zh-CN"/>
        </w:rPr>
        <w:t>件</w:t>
      </w:r>
      <w:r>
        <w:rPr>
          <w:rFonts w:hint="eastAsia"/>
          <w:sz w:val="28"/>
          <w:szCs w:val="28"/>
          <w:lang w:val="en-US" w:eastAsia="zh-CN"/>
        </w:rPr>
        <w:t xml:space="preserve">2                               </w:t>
      </w:r>
      <w:r>
        <w:rPr>
          <w:rFonts w:hint="eastAsia" w:ascii="方正小标宋简体" w:hAnsi="方正小标宋简体" w:eastAsia="方正小标宋简体" w:cs="方正小标宋简体"/>
          <w:sz w:val="36"/>
          <w:szCs w:val="36"/>
          <w:lang w:val="en-US" w:eastAsia="zh-CN"/>
        </w:rPr>
        <w:t>联合惩戒措施相关依据和实施部门</w:t>
      </w:r>
    </w:p>
    <w:tbl>
      <w:tblPr>
        <w:tblStyle w:val="6"/>
        <w:tblW w:w="0" w:type="auto"/>
        <w:jc w:val="center"/>
        <w:tblLayout w:type="fixed"/>
        <w:tblCellMar>
          <w:top w:w="0" w:type="dxa"/>
          <w:left w:w="10" w:type="dxa"/>
          <w:bottom w:w="0" w:type="dxa"/>
          <w:right w:w="10" w:type="dxa"/>
        </w:tblCellMar>
      </w:tblPr>
      <w:tblGrid>
        <w:gridCol w:w="2100"/>
        <w:gridCol w:w="11082"/>
        <w:gridCol w:w="1968"/>
      </w:tblGrid>
      <w:tr>
        <w:tblPrEx>
          <w:tblCellMar>
            <w:top w:w="0" w:type="dxa"/>
            <w:left w:w="10" w:type="dxa"/>
            <w:bottom w:w="0" w:type="dxa"/>
            <w:right w:w="10" w:type="dxa"/>
          </w:tblCellMar>
        </w:tblPrEx>
        <w:trPr>
          <w:trHeight w:val="402" w:hRule="exact"/>
          <w:jc w:val="center"/>
        </w:trPr>
        <w:tc>
          <w:tcPr>
            <w:tcW w:w="2100" w:type="dxa"/>
            <w:tcBorders>
              <w:top w:val="single" w:color="auto" w:sz="4" w:space="0"/>
              <w:left w:val="single" w:color="auto" w:sz="4" w:space="0"/>
            </w:tcBorders>
            <w:shd w:val="clear" w:color="auto" w:fill="FFFFFF"/>
            <w:vAlign w:val="bottom"/>
          </w:tcPr>
          <w:p>
            <w:pPr>
              <w:pStyle w:val="23"/>
              <w:spacing w:line="240" w:lineRule="auto"/>
              <w:ind w:firstLine="0"/>
              <w:jc w:val="center"/>
            </w:pPr>
            <w:r>
              <w:t>惩戒措施</w:t>
            </w:r>
          </w:p>
        </w:tc>
        <w:tc>
          <w:tcPr>
            <w:tcW w:w="11082" w:type="dxa"/>
            <w:tcBorders>
              <w:top w:val="single" w:color="auto" w:sz="4" w:space="0"/>
              <w:left w:val="single" w:color="auto" w:sz="4" w:space="0"/>
            </w:tcBorders>
            <w:shd w:val="clear" w:color="auto" w:fill="FFFFFF"/>
            <w:vAlign w:val="bottom"/>
          </w:tcPr>
          <w:p>
            <w:pPr>
              <w:pStyle w:val="23"/>
              <w:spacing w:line="240" w:lineRule="auto"/>
              <w:ind w:firstLine="0"/>
              <w:jc w:val="center"/>
            </w:pPr>
            <w:r>
              <w:t>法律及政策依据</w:t>
            </w:r>
          </w:p>
        </w:tc>
        <w:tc>
          <w:tcPr>
            <w:tcW w:w="1968" w:type="dxa"/>
            <w:tcBorders>
              <w:top w:val="single" w:color="auto" w:sz="4" w:space="0"/>
              <w:left w:val="single" w:color="auto" w:sz="4" w:space="0"/>
              <w:right w:val="single" w:color="auto" w:sz="4" w:space="0"/>
            </w:tcBorders>
            <w:shd w:val="clear" w:color="auto" w:fill="FFFFFF"/>
            <w:vAlign w:val="bottom"/>
          </w:tcPr>
          <w:p>
            <w:pPr>
              <w:pStyle w:val="23"/>
              <w:spacing w:line="240" w:lineRule="auto"/>
              <w:ind w:firstLine="0"/>
              <w:jc w:val="center"/>
            </w:pPr>
            <w:r>
              <w:t>实施单位</w:t>
            </w:r>
          </w:p>
        </w:tc>
      </w:tr>
      <w:tr>
        <w:tblPrEx>
          <w:tblCellMar>
            <w:top w:w="0" w:type="dxa"/>
            <w:left w:w="10" w:type="dxa"/>
            <w:bottom w:w="0" w:type="dxa"/>
            <w:right w:w="10" w:type="dxa"/>
          </w:tblCellMar>
        </w:tblPrEx>
        <w:trPr>
          <w:trHeight w:val="7327" w:hRule="exact"/>
          <w:jc w:val="center"/>
        </w:trPr>
        <w:tc>
          <w:tcPr>
            <w:tcW w:w="2100" w:type="dxa"/>
            <w:tcBorders>
              <w:top w:val="single" w:color="auto" w:sz="4" w:space="0"/>
              <w:left w:val="single" w:color="auto" w:sz="4" w:space="0"/>
              <w:bottom w:val="single" w:color="auto" w:sz="4" w:space="0"/>
            </w:tcBorders>
            <w:shd w:val="clear" w:color="auto" w:fill="FFFFFF"/>
          </w:tcPr>
          <w:p>
            <w:pPr>
              <w:pStyle w:val="23"/>
              <w:spacing w:line="312" w:lineRule="exact"/>
              <w:ind w:firstLine="220"/>
              <w:jc w:val="both"/>
            </w:pPr>
            <w:r>
              <w:t>（一）依据统计法对 失信企业及失信人员釆取以下惩戒措施：</w:t>
            </w:r>
          </w:p>
          <w:p>
            <w:pPr>
              <w:pStyle w:val="23"/>
              <w:numPr>
                <w:ilvl w:val="0"/>
                <w:numId w:val="2"/>
              </w:numPr>
              <w:tabs>
                <w:tab w:val="left" w:pos="666"/>
              </w:tabs>
              <w:spacing w:line="312" w:lineRule="exact"/>
              <w:ind w:firstLine="540"/>
              <w:jc w:val="both"/>
            </w:pPr>
            <w:r>
              <w:t>对失信企业 依法作岀行政处罚；</w:t>
            </w:r>
          </w:p>
          <w:p>
            <w:pPr>
              <w:pStyle w:val="23"/>
              <w:numPr>
                <w:ilvl w:val="0"/>
                <w:numId w:val="2"/>
              </w:numPr>
              <w:tabs>
                <w:tab w:val="left" w:pos="678"/>
              </w:tabs>
              <w:spacing w:line="312" w:lineRule="exact"/>
              <w:ind w:firstLine="540"/>
              <w:jc w:val="both"/>
            </w:pPr>
            <w:r>
              <w:t>通过国家统 计局网站、</w:t>
            </w:r>
            <w:r>
              <w:rPr>
                <w:lang w:val="zh-CN" w:eastAsia="zh-CN" w:bidi="zh-CN"/>
              </w:rPr>
              <w:t>“信</w:t>
            </w:r>
            <w:r>
              <w:t>用中国”网站和国家企业信用信息公示系统 向社会公示失信企业和失信人员信息；</w:t>
            </w:r>
          </w:p>
          <w:p>
            <w:pPr>
              <w:pStyle w:val="23"/>
              <w:numPr>
                <w:ilvl w:val="0"/>
                <w:numId w:val="2"/>
              </w:numPr>
              <w:tabs>
                <w:tab w:val="left" w:pos="666"/>
              </w:tabs>
              <w:spacing w:line="312" w:lineRule="exact"/>
              <w:ind w:firstLine="540"/>
              <w:jc w:val="both"/>
            </w:pPr>
            <w:r>
              <w:t>将失信企业 列为重点监督检査对象，再次发现有统计违法行为的，延长公示期限；</w:t>
            </w:r>
          </w:p>
          <w:p>
            <w:pPr>
              <w:pStyle w:val="23"/>
              <w:numPr>
                <w:ilvl w:val="0"/>
                <w:numId w:val="2"/>
              </w:numPr>
              <w:tabs>
                <w:tab w:val="left" w:pos="672"/>
              </w:tabs>
              <w:spacing w:line="312" w:lineRule="exact"/>
              <w:ind w:firstLine="540"/>
              <w:jc w:val="both"/>
            </w:pPr>
            <w:r>
              <w:t>对负有责任 的属于国家工作人员的领导人员和直接责任人员，按照有关规定由任免机关、 监察机关依纪依法给予组织处理或者 处分。</w:t>
            </w:r>
          </w:p>
        </w:tc>
        <w:tc>
          <w:tcPr>
            <w:tcW w:w="11082" w:type="dxa"/>
            <w:tcBorders>
              <w:top w:val="single" w:color="auto" w:sz="4" w:space="0"/>
              <w:left w:val="single" w:color="auto" w:sz="4" w:space="0"/>
              <w:bottom w:val="single" w:color="auto" w:sz="4" w:space="0"/>
            </w:tcBorders>
            <w:shd w:val="clear" w:color="auto" w:fill="FFFFFF"/>
          </w:tcPr>
          <w:p>
            <w:pPr>
              <w:pStyle w:val="23"/>
              <w:spacing w:line="316" w:lineRule="exact"/>
              <w:ind w:firstLine="620"/>
              <w:jc w:val="both"/>
            </w:pPr>
            <w:r>
              <w:t>《中华人民共和国统计法》</w:t>
            </w:r>
          </w:p>
          <w:p>
            <w:pPr>
              <w:pStyle w:val="23"/>
              <w:spacing w:line="316" w:lineRule="exact"/>
              <w:ind w:left="101" w:leftChars="42" w:firstLine="400" w:firstLineChars="200"/>
              <w:jc w:val="both"/>
              <w:rPr>
                <w:rFonts w:hint="eastAsia" w:eastAsiaTheme="minorEastAsia"/>
                <w:lang w:eastAsia="zh-CN"/>
              </w:rPr>
            </w:pPr>
            <w:r>
              <w:t>第三十二条</w:t>
            </w:r>
            <w:r>
              <w:rPr>
                <w:rFonts w:hint="eastAsia" w:eastAsiaTheme="minorEastAsia"/>
                <w:lang w:eastAsia="zh-CN"/>
              </w:rPr>
              <w:t xml:space="preserve"> </w:t>
            </w:r>
            <w:r>
              <w:t>县级以上人民政府及其监察机关对下级人民政府、本级人民政府统计机构和有关部门执行本法的情况，实施监督。</w:t>
            </w:r>
          </w:p>
          <w:p>
            <w:pPr>
              <w:pStyle w:val="23"/>
              <w:spacing w:line="316" w:lineRule="exact"/>
            </w:pPr>
            <w:r>
              <w:t>第三十三条</w:t>
            </w:r>
            <w:r>
              <w:rPr>
                <w:rFonts w:hint="eastAsia" w:eastAsiaTheme="minorEastAsia"/>
                <w:lang w:eastAsia="zh-CN"/>
              </w:rPr>
              <w:t xml:space="preserve"> </w:t>
            </w:r>
            <w:r>
              <w:t>国家统计局组织管理全国统计工作的监督检查，查处重大统计违法行为。</w:t>
            </w:r>
          </w:p>
          <w:p>
            <w:pPr>
              <w:pStyle w:val="23"/>
              <w:spacing w:line="316" w:lineRule="exact"/>
              <w:ind w:left="101" w:leftChars="42" w:firstLine="400" w:firstLineChars="200"/>
              <w:jc w:val="both"/>
            </w:pPr>
            <w:r>
              <w:t>县级以上地方人民政府统计机构依法査处本行政区域内发生的统计违法行为。但是，国家统计局派出的调查机构组织实施的统计调查活动中发生的统计违法行为，由组织实施该项统计调查的调査机构负责查处。</w:t>
            </w:r>
          </w:p>
          <w:p>
            <w:pPr>
              <w:pStyle w:val="23"/>
              <w:spacing w:line="316" w:lineRule="exact"/>
              <w:jc w:val="both"/>
            </w:pPr>
            <w:r>
              <w:t>法律、行政法规对有关部门查处统计违法行为另有规定的，从其规定。</w:t>
            </w:r>
          </w:p>
          <w:p>
            <w:pPr>
              <w:pStyle w:val="23"/>
              <w:spacing w:line="316" w:lineRule="exact"/>
              <w:ind w:left="101" w:leftChars="42" w:firstLine="400" w:firstLineChars="200"/>
              <w:jc w:val="both"/>
            </w:pPr>
            <w:r>
              <w:t>第三十四条</w:t>
            </w:r>
            <w:r>
              <w:rPr>
                <w:rFonts w:hint="eastAsia" w:eastAsiaTheme="minorEastAsia"/>
                <w:lang w:eastAsia="zh-CN"/>
              </w:rPr>
              <w:t xml:space="preserve"> </w:t>
            </w:r>
            <w:r>
              <w:t>县级以上人民政府有关部门应当积极协助本级人民政府统计机构查处统计违法行为，及时向本级人民政府统计机构移送有关统计违法案件材料。</w:t>
            </w:r>
          </w:p>
          <w:p>
            <w:pPr>
              <w:pStyle w:val="23"/>
              <w:spacing w:line="316" w:lineRule="exact"/>
              <w:ind w:left="101" w:leftChars="42" w:firstLine="400" w:firstLineChars="200"/>
              <w:jc w:val="both"/>
            </w:pPr>
            <w:r>
              <w:t>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pPr>
              <w:pStyle w:val="23"/>
              <w:tabs>
                <w:tab w:val="left" w:pos="1130"/>
              </w:tabs>
              <w:spacing w:line="316" w:lineRule="exact"/>
              <w:ind w:firstLine="620"/>
              <w:jc w:val="both"/>
            </w:pPr>
            <w:r>
              <w:t>（一）</w:t>
            </w:r>
            <w:r>
              <w:tab/>
            </w:r>
            <w:r>
              <w:t>拒绝提供统计资料或者经催报后仍未按时提供统计资料的；</w:t>
            </w:r>
          </w:p>
          <w:p>
            <w:pPr>
              <w:pStyle w:val="23"/>
              <w:tabs>
                <w:tab w:val="left" w:pos="1130"/>
              </w:tabs>
              <w:spacing w:line="316" w:lineRule="exact"/>
              <w:ind w:firstLine="620"/>
              <w:jc w:val="both"/>
            </w:pPr>
            <w:r>
              <w:t>（二）</w:t>
            </w:r>
            <w:r>
              <w:tab/>
            </w:r>
            <w:r>
              <w:t>提供不真实或者不完整的统计资料的；</w:t>
            </w:r>
          </w:p>
          <w:p>
            <w:pPr>
              <w:pStyle w:val="23"/>
              <w:tabs>
                <w:tab w:val="left" w:pos="1130"/>
              </w:tabs>
              <w:spacing w:line="316" w:lineRule="exact"/>
              <w:ind w:firstLine="620"/>
              <w:jc w:val="both"/>
            </w:pPr>
            <w:r>
              <w:t>（三）</w:t>
            </w:r>
            <w:r>
              <w:tab/>
            </w:r>
            <w:r>
              <w:t>拒绝答复或者不如实答复统计检查査询书的；</w:t>
            </w:r>
          </w:p>
          <w:p>
            <w:pPr>
              <w:pStyle w:val="23"/>
              <w:tabs>
                <w:tab w:val="left" w:pos="1136"/>
              </w:tabs>
              <w:spacing w:line="316" w:lineRule="exact"/>
              <w:ind w:firstLine="620"/>
              <w:jc w:val="both"/>
            </w:pPr>
            <w:r>
              <w:t>（四）</w:t>
            </w:r>
            <w:r>
              <w:tab/>
            </w:r>
            <w:r>
              <w:t>拒绝、阻碍统计调查、统计检査的；</w:t>
            </w:r>
          </w:p>
          <w:p>
            <w:pPr>
              <w:pStyle w:val="23"/>
              <w:tabs>
                <w:tab w:val="left" w:pos="1094"/>
              </w:tabs>
              <w:spacing w:line="316" w:lineRule="exact"/>
              <w:ind w:left="500" w:firstLine="120"/>
              <w:jc w:val="both"/>
            </w:pPr>
            <w:r>
              <w:t>（五）</w:t>
            </w:r>
            <w:r>
              <w:tab/>
            </w:r>
            <w:r>
              <w:t>转移、隐匿、篡改、毁弃或者拒绝提供原始记录和凭证、统计台账、统计调査表及其他相关证明和资料的。 企业事业单位或者其他组织有前款所列行为之一的，可以并处五万元以下的罚款；情节严重的，并处五万元以上二十万元以下的罚款。</w:t>
            </w:r>
          </w:p>
          <w:p>
            <w:pPr>
              <w:pStyle w:val="23"/>
              <w:spacing w:line="316" w:lineRule="exact"/>
              <w:ind w:left="101" w:leftChars="42" w:firstLine="400" w:firstLineChars="200"/>
              <w:jc w:val="both"/>
            </w:pPr>
            <w:r>
              <w:t>个体工商户有本条第一款所列行为之一的，由县级以上人民政府统计机构责令改正，给予警告，可以并处一万元以下的罚款。</w:t>
            </w:r>
          </w:p>
          <w:p>
            <w:pPr>
              <w:pStyle w:val="23"/>
              <w:spacing w:line="316" w:lineRule="exact"/>
              <w:ind w:left="101" w:leftChars="42" w:firstLine="400" w:firstLineChars="200"/>
              <w:jc w:val="both"/>
            </w:pPr>
            <w:r>
              <w:t>第四十二条 作为统计调查对象的国家机关、企业事业单位或者其他组织迟报统计资料，或者未按照国家有关规定设置原始记录、统计台账的，由县级以上人民政府统计机构责令改正，给予警告。</w:t>
            </w:r>
          </w:p>
        </w:tc>
        <w:tc>
          <w:tcPr>
            <w:tcW w:w="19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312" w:lineRule="exact"/>
              <w:ind w:firstLine="0"/>
              <w:jc w:val="center"/>
              <w:rPr>
                <w:rFonts w:hint="eastAsia" w:eastAsiaTheme="minorEastAsia"/>
                <w:lang w:eastAsia="zh-CN"/>
              </w:rPr>
            </w:pPr>
            <w:r>
              <w:t>各级统计机构、</w:t>
            </w:r>
          </w:p>
          <w:p>
            <w:pPr>
              <w:pStyle w:val="23"/>
              <w:spacing w:line="312" w:lineRule="exact"/>
              <w:ind w:firstLine="0"/>
              <w:jc w:val="center"/>
              <w:rPr>
                <w:rFonts w:hint="eastAsia" w:eastAsiaTheme="minorEastAsia"/>
                <w:lang w:eastAsia="zh-CN"/>
              </w:rPr>
            </w:pPr>
            <w:r>
              <w:t xml:space="preserve"> 国家发展改革委、</w:t>
            </w:r>
          </w:p>
          <w:p>
            <w:pPr>
              <w:pStyle w:val="23"/>
              <w:spacing w:line="312" w:lineRule="exact"/>
              <w:ind w:firstLine="0"/>
              <w:jc w:val="center"/>
            </w:pPr>
            <w:r>
              <w:t>工商总局</w:t>
            </w:r>
          </w:p>
        </w:tc>
      </w:tr>
    </w:tbl>
    <w:p>
      <w:pPr>
        <w:spacing w:line="1" w:lineRule="exact"/>
        <w:rPr>
          <w:sz w:val="2"/>
          <w:szCs w:val="2"/>
          <w:lang w:eastAsia="zh-CN"/>
        </w:rPr>
      </w:pPr>
      <w:r>
        <w:rPr>
          <w:lang w:eastAsia="zh-CN"/>
        </w:rPr>
        <w:br w:type="page"/>
      </w:r>
    </w:p>
    <w:tbl>
      <w:tblPr>
        <w:tblStyle w:val="6"/>
        <w:tblW w:w="0" w:type="auto"/>
        <w:jc w:val="center"/>
        <w:tblLayout w:type="fixed"/>
        <w:tblCellMar>
          <w:top w:w="0" w:type="dxa"/>
          <w:left w:w="10" w:type="dxa"/>
          <w:bottom w:w="0" w:type="dxa"/>
          <w:right w:w="10" w:type="dxa"/>
        </w:tblCellMar>
      </w:tblPr>
      <w:tblGrid>
        <w:gridCol w:w="2082"/>
        <w:gridCol w:w="11058"/>
        <w:gridCol w:w="1932"/>
      </w:tblGrid>
      <w:tr>
        <w:tblPrEx>
          <w:tblCellMar>
            <w:top w:w="0" w:type="dxa"/>
            <w:left w:w="10" w:type="dxa"/>
            <w:bottom w:w="0" w:type="dxa"/>
            <w:right w:w="10" w:type="dxa"/>
          </w:tblCellMar>
        </w:tblPrEx>
        <w:trPr>
          <w:trHeight w:val="396" w:hRule="exact"/>
          <w:jc w:val="center"/>
        </w:trPr>
        <w:tc>
          <w:tcPr>
            <w:tcW w:w="2082" w:type="dxa"/>
            <w:tcBorders>
              <w:top w:val="single" w:color="auto" w:sz="4" w:space="0"/>
              <w:left w:val="single" w:color="auto" w:sz="4" w:space="0"/>
            </w:tcBorders>
            <w:shd w:val="clear" w:color="auto" w:fill="FFFFFF"/>
            <w:vAlign w:val="bottom"/>
          </w:tcPr>
          <w:p>
            <w:pPr>
              <w:pStyle w:val="23"/>
              <w:spacing w:line="240" w:lineRule="auto"/>
              <w:ind w:firstLine="0"/>
              <w:jc w:val="center"/>
            </w:pPr>
            <w:r>
              <w:t>惩戒措施</w:t>
            </w:r>
          </w:p>
        </w:tc>
        <w:tc>
          <w:tcPr>
            <w:tcW w:w="11058" w:type="dxa"/>
            <w:tcBorders>
              <w:top w:val="single" w:color="auto" w:sz="4" w:space="0"/>
              <w:left w:val="single" w:color="auto" w:sz="4" w:space="0"/>
            </w:tcBorders>
            <w:shd w:val="clear" w:color="auto" w:fill="FFFFFF"/>
            <w:vAlign w:val="bottom"/>
          </w:tcPr>
          <w:p>
            <w:pPr>
              <w:pStyle w:val="23"/>
              <w:spacing w:line="240" w:lineRule="auto"/>
              <w:ind w:firstLine="0"/>
              <w:jc w:val="center"/>
            </w:pPr>
            <w:r>
              <w:t>法律及政策依据</w:t>
            </w:r>
          </w:p>
        </w:tc>
        <w:tc>
          <w:tcPr>
            <w:tcW w:w="1932" w:type="dxa"/>
            <w:tcBorders>
              <w:top w:val="single" w:color="auto" w:sz="4" w:space="0"/>
              <w:left w:val="single" w:color="auto" w:sz="4" w:space="0"/>
              <w:right w:val="single" w:color="auto" w:sz="4" w:space="0"/>
            </w:tcBorders>
            <w:shd w:val="clear" w:color="auto" w:fill="FFFFFF"/>
            <w:vAlign w:val="bottom"/>
          </w:tcPr>
          <w:p>
            <w:pPr>
              <w:pStyle w:val="23"/>
              <w:spacing w:line="240" w:lineRule="auto"/>
              <w:ind w:firstLine="0"/>
              <w:jc w:val="center"/>
            </w:pPr>
            <w:r>
              <w:t>实施单位</w:t>
            </w:r>
          </w:p>
        </w:tc>
      </w:tr>
      <w:tr>
        <w:tblPrEx>
          <w:tblCellMar>
            <w:top w:w="0" w:type="dxa"/>
            <w:left w:w="10" w:type="dxa"/>
            <w:bottom w:w="0" w:type="dxa"/>
            <w:right w:w="10" w:type="dxa"/>
          </w:tblCellMar>
        </w:tblPrEx>
        <w:trPr>
          <w:trHeight w:val="7972" w:hRule="exact"/>
          <w:jc w:val="center"/>
        </w:trPr>
        <w:tc>
          <w:tcPr>
            <w:tcW w:w="2082" w:type="dxa"/>
            <w:tcBorders>
              <w:top w:val="single" w:color="auto" w:sz="4" w:space="0"/>
              <w:left w:val="single" w:color="auto" w:sz="4" w:space="0"/>
              <w:bottom w:val="single" w:color="auto" w:sz="4" w:space="0"/>
            </w:tcBorders>
            <w:shd w:val="clear" w:color="auto" w:fill="FFFFFF"/>
          </w:tcPr>
          <w:p>
            <w:pPr>
              <w:pStyle w:val="23"/>
              <w:spacing w:line="318" w:lineRule="exact"/>
              <w:ind w:firstLine="0"/>
            </w:pPr>
          </w:p>
        </w:tc>
        <w:tc>
          <w:tcPr>
            <w:tcW w:w="11058" w:type="dxa"/>
            <w:tcBorders>
              <w:top w:val="single" w:color="auto" w:sz="4" w:space="0"/>
              <w:left w:val="single" w:color="auto" w:sz="4" w:space="0"/>
              <w:bottom w:val="single" w:color="auto" w:sz="4" w:space="0"/>
            </w:tcBorders>
            <w:shd w:val="clear" w:color="auto" w:fill="FFFFFF"/>
          </w:tcPr>
          <w:p>
            <w:pPr>
              <w:pStyle w:val="23"/>
              <w:spacing w:line="316" w:lineRule="exact"/>
              <w:jc w:val="both"/>
            </w:pPr>
            <w:r>
              <w:t>企业事业单位或者其他组织有前款所列行为之一的，可以并处一万元以下的罚款。</w:t>
            </w:r>
          </w:p>
          <w:p>
            <w:pPr>
              <w:pStyle w:val="23"/>
              <w:spacing w:line="308" w:lineRule="exact"/>
              <w:ind w:left="101" w:leftChars="42" w:firstLine="400" w:firstLineChars="200"/>
              <w:jc w:val="both"/>
              <w:rPr>
                <w:rFonts w:hint="eastAsia" w:eastAsiaTheme="minorEastAsia"/>
                <w:lang w:eastAsia="zh-CN"/>
              </w:rPr>
            </w:pPr>
            <w:r>
              <w:t>个体工商户迟报统计资料的，由县级以上人民政府统计机构责令改正，给予警告，可以并处一千元以下的罚款。</w:t>
            </w:r>
          </w:p>
          <w:p>
            <w:pPr>
              <w:pStyle w:val="23"/>
              <w:spacing w:line="308" w:lineRule="exact"/>
              <w:ind w:left="101" w:leftChars="42" w:firstLine="400" w:firstLineChars="200"/>
              <w:jc w:val="both"/>
            </w:pPr>
            <w:r>
              <w:t xml:space="preserve"> 第四十三条</w:t>
            </w:r>
            <w:r>
              <w:rPr>
                <w:rFonts w:hint="eastAsia" w:eastAsiaTheme="minorEastAsia"/>
                <w:lang w:eastAsia="zh-CN"/>
              </w:rPr>
              <w:t xml:space="preserve">  </w:t>
            </w:r>
            <w:r>
              <w:t>县级以上人民政府统计机构査处统计违法行为时，认为对有关国家工作人员依法应当给予处分的</w:t>
            </w:r>
            <w:r>
              <w:rPr>
                <w:rFonts w:hint="eastAsia"/>
                <w:lang w:eastAsia="zh-CN"/>
              </w:rPr>
              <w:t>，</w:t>
            </w:r>
            <w:bookmarkStart w:id="0" w:name="_GoBack"/>
            <w:bookmarkEnd w:id="0"/>
            <w:r>
              <w:t>应当提出给予处分的建议；该国家工作人员的任免机关或者监察机关应当依法及时作出决定，并将结果书面通知县级以上人民政府统计机构。</w:t>
            </w:r>
          </w:p>
          <w:p>
            <w:pPr>
              <w:pStyle w:val="23"/>
              <w:spacing w:line="308" w:lineRule="exact"/>
              <w:ind w:firstLine="620"/>
              <w:jc w:val="both"/>
            </w:pPr>
            <w:r>
              <w:t>《中华人民共和国公务员法》</w:t>
            </w:r>
          </w:p>
          <w:p>
            <w:pPr>
              <w:pStyle w:val="23"/>
              <w:spacing w:line="308" w:lineRule="exact"/>
              <w:jc w:val="both"/>
            </w:pPr>
            <w:r>
              <w:t>第五十三条</w:t>
            </w:r>
            <w:r>
              <w:rPr>
                <w:rFonts w:hint="eastAsia" w:eastAsiaTheme="minorEastAsia"/>
                <w:lang w:eastAsia="zh-CN"/>
              </w:rPr>
              <w:t xml:space="preserve">  </w:t>
            </w:r>
            <w:r>
              <w:t>公务员必须遵守纪律，不得有下列行为：</w:t>
            </w:r>
          </w:p>
          <w:p>
            <w:pPr>
              <w:pStyle w:val="23"/>
              <w:tabs>
                <w:tab w:val="left" w:pos="1154"/>
              </w:tabs>
              <w:spacing w:line="308" w:lineRule="exact"/>
              <w:ind w:firstLine="620"/>
              <w:jc w:val="both"/>
            </w:pPr>
            <w:r>
              <w:t>（一）</w:t>
            </w:r>
            <w:r>
              <w:tab/>
            </w:r>
            <w:r>
              <w:t>散布有损国家声誉的言论，组织或者参加旨在反对国家的集会、游行、示威等活动；</w:t>
            </w:r>
          </w:p>
          <w:p>
            <w:pPr>
              <w:pStyle w:val="23"/>
              <w:tabs>
                <w:tab w:val="left" w:pos="1148"/>
              </w:tabs>
              <w:spacing w:line="308" w:lineRule="exact"/>
              <w:ind w:firstLine="620"/>
              <w:jc w:val="both"/>
            </w:pPr>
            <w:r>
              <w:t>（二）</w:t>
            </w:r>
            <w:r>
              <w:tab/>
            </w:r>
            <w:r>
              <w:t>组织或者参加非法组织，组织或者参加罢工；</w:t>
            </w:r>
          </w:p>
          <w:p>
            <w:pPr>
              <w:pStyle w:val="23"/>
              <w:tabs>
                <w:tab w:val="left" w:pos="1142"/>
              </w:tabs>
              <w:spacing w:line="316" w:lineRule="exact"/>
              <w:ind w:firstLine="620"/>
              <w:jc w:val="both"/>
            </w:pPr>
            <w:r>
              <w:t>（三）</w:t>
            </w:r>
            <w:r>
              <w:tab/>
            </w:r>
            <w:r>
              <w:t>玩忽职守，贻误工作；</w:t>
            </w:r>
          </w:p>
          <w:p>
            <w:pPr>
              <w:pStyle w:val="23"/>
              <w:tabs>
                <w:tab w:val="left" w:pos="1142"/>
              </w:tabs>
              <w:spacing w:line="316" w:lineRule="exact"/>
              <w:ind w:firstLine="620"/>
              <w:jc w:val="both"/>
              <w:rPr>
                <w:rFonts w:hint="eastAsia" w:eastAsiaTheme="minorEastAsia"/>
              </w:rPr>
            </w:pPr>
            <w:r>
              <w:t>（四）</w:t>
            </w:r>
            <w:r>
              <w:tab/>
            </w:r>
            <w:r>
              <w:t>拒绝执行上级依法作出的决定和命令；</w:t>
            </w:r>
            <w:r>
              <w:rPr>
                <w:rFonts w:hint="eastAsia" w:eastAsiaTheme="minorEastAsia"/>
              </w:rPr>
              <w:t xml:space="preserve"> </w:t>
            </w:r>
          </w:p>
          <w:p>
            <w:pPr>
              <w:pStyle w:val="23"/>
              <w:tabs>
                <w:tab w:val="left" w:pos="1142"/>
              </w:tabs>
              <w:spacing w:line="316" w:lineRule="exact"/>
              <w:ind w:firstLine="620"/>
              <w:jc w:val="both"/>
            </w:pPr>
            <w:r>
              <w:t>（五）</w:t>
            </w:r>
            <w:r>
              <w:tab/>
            </w:r>
            <w:r>
              <w:t>压制批评，打击报复；</w:t>
            </w:r>
          </w:p>
          <w:p>
            <w:pPr>
              <w:pStyle w:val="23"/>
              <w:tabs>
                <w:tab w:val="left" w:pos="1148"/>
              </w:tabs>
              <w:spacing w:line="316" w:lineRule="exact"/>
              <w:ind w:firstLine="620"/>
              <w:jc w:val="both"/>
            </w:pPr>
            <w:r>
              <w:t>（六）</w:t>
            </w:r>
            <w:r>
              <w:tab/>
            </w:r>
            <w:r>
              <w:t>弄虚作假，误导、欺骗领导和公众；</w:t>
            </w:r>
          </w:p>
          <w:p>
            <w:pPr>
              <w:pStyle w:val="23"/>
              <w:tabs>
                <w:tab w:val="left" w:pos="1142"/>
              </w:tabs>
              <w:spacing w:line="316" w:lineRule="exact"/>
              <w:ind w:firstLine="620"/>
              <w:jc w:val="both"/>
            </w:pPr>
            <w:r>
              <w:t>（七）</w:t>
            </w:r>
            <w:r>
              <w:tab/>
            </w:r>
            <w:r>
              <w:t>贪污、行贿、受贿，利用职务之便为自己或者他人谋取私利；</w:t>
            </w:r>
          </w:p>
          <w:p>
            <w:pPr>
              <w:pStyle w:val="23"/>
              <w:tabs>
                <w:tab w:val="left" w:pos="1148"/>
              </w:tabs>
              <w:spacing w:line="316" w:lineRule="exact"/>
              <w:ind w:firstLine="620"/>
              <w:jc w:val="both"/>
            </w:pPr>
            <w:r>
              <w:t>（八）</w:t>
            </w:r>
            <w:r>
              <w:tab/>
            </w:r>
            <w:r>
              <w:t>违反财经纪律，浪费国家资财；</w:t>
            </w:r>
          </w:p>
          <w:p>
            <w:pPr>
              <w:pStyle w:val="23"/>
              <w:tabs>
                <w:tab w:val="left" w:pos="1142"/>
              </w:tabs>
              <w:spacing w:line="316" w:lineRule="exact"/>
              <w:ind w:firstLine="620"/>
              <w:jc w:val="both"/>
            </w:pPr>
            <w:r>
              <w:t>（九）</w:t>
            </w:r>
            <w:r>
              <w:tab/>
            </w:r>
            <w:r>
              <w:t>滥用职权，侵害公民、法人或者其他组织的合法权益；</w:t>
            </w:r>
          </w:p>
          <w:p>
            <w:pPr>
              <w:pStyle w:val="23"/>
              <w:spacing w:line="316" w:lineRule="exact"/>
              <w:ind w:firstLine="620"/>
              <w:jc w:val="both"/>
            </w:pPr>
            <w:r>
              <w:t>（十）泄露国家秘密或者工作秘密；</w:t>
            </w:r>
          </w:p>
          <w:p>
            <w:pPr>
              <w:pStyle w:val="23"/>
              <w:spacing w:line="316" w:lineRule="exact"/>
              <w:ind w:firstLine="620"/>
              <w:jc w:val="both"/>
            </w:pPr>
            <w:r>
              <w:t>（十一）在对外交往中损害国家荣誉和利益；</w:t>
            </w:r>
          </w:p>
          <w:p>
            <w:pPr>
              <w:pStyle w:val="23"/>
              <w:spacing w:line="324" w:lineRule="exact"/>
              <w:ind w:firstLine="620"/>
              <w:jc w:val="both"/>
            </w:pPr>
            <w:r>
              <w:t>（十二）参与或者支持色情、吸毒、赌博、迷信等活动；</w:t>
            </w:r>
          </w:p>
          <w:p>
            <w:pPr>
              <w:pStyle w:val="23"/>
              <w:spacing w:line="324" w:lineRule="exact"/>
              <w:ind w:firstLine="620"/>
              <w:jc w:val="both"/>
            </w:pPr>
            <w:r>
              <w:t>（十三）违反职业道德、社会公德；</w:t>
            </w:r>
          </w:p>
          <w:p>
            <w:pPr>
              <w:pStyle w:val="23"/>
              <w:spacing w:line="324" w:lineRule="exact"/>
              <w:ind w:firstLine="620"/>
              <w:jc w:val="both"/>
            </w:pPr>
            <w:r>
              <w:t>（十四）从事或者参与营利性活动，在企业或者其他营利性组织中兼任职务；</w:t>
            </w:r>
          </w:p>
          <w:p>
            <w:pPr>
              <w:pStyle w:val="23"/>
              <w:spacing w:line="324" w:lineRule="exact"/>
              <w:ind w:firstLine="620"/>
              <w:jc w:val="both"/>
            </w:pPr>
            <w:r>
              <w:t>（十五）旷工或者因公外出、请假期满无正当理由逾期不归；</w:t>
            </w:r>
          </w:p>
          <w:p>
            <w:pPr>
              <w:pStyle w:val="23"/>
              <w:spacing w:line="324" w:lineRule="exact"/>
              <w:ind w:firstLine="620"/>
              <w:jc w:val="both"/>
            </w:pPr>
            <w:r>
              <w:t>（十六）违反纪律的其他行为。</w:t>
            </w:r>
          </w:p>
          <w:p>
            <w:pPr>
              <w:pStyle w:val="23"/>
              <w:spacing w:line="324" w:lineRule="exact"/>
              <w:jc w:val="both"/>
            </w:pPr>
            <w:r>
              <w:t>第五十五条 公务员因违法违纪应当承担纪律责任的，依照本法给予处分；违纪行为情节轻微，经批评教育后改正的，可以免予处分。</w:t>
            </w:r>
          </w:p>
        </w:tc>
        <w:tc>
          <w:tcPr>
            <w:tcW w:w="1932"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lang w:eastAsia="zh-CN"/>
              </w:rPr>
            </w:pPr>
          </w:p>
        </w:tc>
      </w:tr>
    </w:tbl>
    <w:p>
      <w:pPr>
        <w:spacing w:line="1" w:lineRule="exact"/>
        <w:rPr>
          <w:sz w:val="2"/>
          <w:szCs w:val="2"/>
          <w:lang w:eastAsia="zh-CN"/>
        </w:rPr>
      </w:pPr>
      <w:r>
        <w:rPr>
          <w:lang w:eastAsia="zh-CN"/>
        </w:rPr>
        <w:br w:type="page"/>
      </w:r>
    </w:p>
    <w:tbl>
      <w:tblPr>
        <w:tblStyle w:val="6"/>
        <w:tblW w:w="0" w:type="auto"/>
        <w:jc w:val="center"/>
        <w:tblLayout w:type="fixed"/>
        <w:tblCellMar>
          <w:top w:w="0" w:type="dxa"/>
          <w:left w:w="10" w:type="dxa"/>
          <w:bottom w:w="0" w:type="dxa"/>
          <w:right w:w="10" w:type="dxa"/>
        </w:tblCellMar>
      </w:tblPr>
      <w:tblGrid>
        <w:gridCol w:w="2088"/>
        <w:gridCol w:w="11076"/>
        <w:gridCol w:w="1956"/>
      </w:tblGrid>
      <w:tr>
        <w:tblPrEx>
          <w:tblCellMar>
            <w:top w:w="0" w:type="dxa"/>
            <w:left w:w="10" w:type="dxa"/>
            <w:bottom w:w="0" w:type="dxa"/>
            <w:right w:w="10" w:type="dxa"/>
          </w:tblCellMar>
        </w:tblPrEx>
        <w:trPr>
          <w:trHeight w:val="402" w:hRule="exact"/>
          <w:jc w:val="center"/>
        </w:trPr>
        <w:tc>
          <w:tcPr>
            <w:tcW w:w="2088" w:type="dxa"/>
            <w:tcBorders>
              <w:top w:val="single" w:color="auto" w:sz="4" w:space="0"/>
              <w:left w:val="single" w:color="auto" w:sz="4" w:space="0"/>
            </w:tcBorders>
            <w:shd w:val="clear" w:color="auto" w:fill="FFFFFF"/>
            <w:vAlign w:val="bottom"/>
          </w:tcPr>
          <w:p>
            <w:pPr>
              <w:pStyle w:val="23"/>
              <w:spacing w:line="240" w:lineRule="auto"/>
              <w:ind w:firstLine="0"/>
              <w:jc w:val="center"/>
            </w:pPr>
            <w:r>
              <w:t>惩戒措施</w:t>
            </w:r>
          </w:p>
        </w:tc>
        <w:tc>
          <w:tcPr>
            <w:tcW w:w="11076" w:type="dxa"/>
            <w:tcBorders>
              <w:top w:val="single" w:color="auto" w:sz="4" w:space="0"/>
              <w:left w:val="single" w:color="auto" w:sz="4" w:space="0"/>
            </w:tcBorders>
            <w:shd w:val="clear" w:color="auto" w:fill="FFFFFF"/>
            <w:vAlign w:val="bottom"/>
          </w:tcPr>
          <w:p>
            <w:pPr>
              <w:pStyle w:val="23"/>
              <w:spacing w:line="240" w:lineRule="auto"/>
              <w:ind w:left="4700" w:firstLine="0"/>
            </w:pPr>
            <w:r>
              <w:t>法律及政策依据</w:t>
            </w:r>
          </w:p>
        </w:tc>
        <w:tc>
          <w:tcPr>
            <w:tcW w:w="1956" w:type="dxa"/>
            <w:tcBorders>
              <w:top w:val="single" w:color="auto" w:sz="4" w:space="0"/>
              <w:left w:val="single" w:color="auto" w:sz="4" w:space="0"/>
              <w:right w:val="single" w:color="auto" w:sz="4" w:space="0"/>
            </w:tcBorders>
            <w:shd w:val="clear" w:color="auto" w:fill="FFFFFF"/>
            <w:vAlign w:val="bottom"/>
          </w:tcPr>
          <w:p>
            <w:pPr>
              <w:pStyle w:val="23"/>
              <w:spacing w:line="240" w:lineRule="auto"/>
              <w:ind w:firstLine="0"/>
              <w:jc w:val="center"/>
            </w:pPr>
            <w:r>
              <w:t>实施单位</w:t>
            </w:r>
          </w:p>
        </w:tc>
      </w:tr>
      <w:tr>
        <w:tblPrEx>
          <w:tblCellMar>
            <w:top w:w="0" w:type="dxa"/>
            <w:left w:w="10" w:type="dxa"/>
            <w:bottom w:w="0" w:type="dxa"/>
            <w:right w:w="10" w:type="dxa"/>
          </w:tblCellMar>
        </w:tblPrEx>
        <w:trPr>
          <w:trHeight w:val="7830" w:hRule="exact"/>
          <w:jc w:val="center"/>
        </w:trPr>
        <w:tc>
          <w:tcPr>
            <w:tcW w:w="2088" w:type="dxa"/>
            <w:tcBorders>
              <w:top w:val="single" w:color="auto" w:sz="4" w:space="0"/>
              <w:left w:val="single" w:color="auto" w:sz="4" w:space="0"/>
              <w:bottom w:val="single" w:color="auto" w:sz="4" w:space="0"/>
            </w:tcBorders>
            <w:shd w:val="clear" w:color="auto" w:fill="FFFFFF"/>
          </w:tcPr>
          <w:p>
            <w:pPr>
              <w:rPr>
                <w:sz w:val="10"/>
                <w:szCs w:val="10"/>
              </w:rPr>
            </w:pPr>
          </w:p>
        </w:tc>
        <w:tc>
          <w:tcPr>
            <w:tcW w:w="11076" w:type="dxa"/>
            <w:tcBorders>
              <w:top w:val="single" w:color="auto" w:sz="4" w:space="0"/>
              <w:left w:val="single" w:color="auto" w:sz="4" w:space="0"/>
              <w:bottom w:val="single" w:color="auto" w:sz="4" w:space="0"/>
            </w:tcBorders>
            <w:shd w:val="clear" w:color="auto" w:fill="FFFFFF"/>
          </w:tcPr>
          <w:p>
            <w:pPr>
              <w:pStyle w:val="23"/>
              <w:spacing w:line="318" w:lineRule="exact"/>
              <w:ind w:firstLine="620"/>
              <w:jc w:val="both"/>
            </w:pPr>
            <w:r>
              <w:t>《行政机关公务员处分条例》</w:t>
            </w:r>
          </w:p>
          <w:p>
            <w:pPr>
              <w:pStyle w:val="23"/>
              <w:spacing w:line="321" w:lineRule="exact"/>
              <w:jc w:val="both"/>
            </w:pPr>
            <w:r>
              <w:t>第二十二条</w:t>
            </w:r>
            <w:r>
              <w:rPr>
                <w:rFonts w:hint="eastAsia" w:eastAsiaTheme="minorEastAsia"/>
                <w:lang w:eastAsia="zh-CN"/>
              </w:rPr>
              <w:t xml:space="preserve"> </w:t>
            </w:r>
            <w:r>
              <w:t xml:space="preserve"> 弄虚作假，误导、欺骗领导和公众，造成不良后果的，给予警告、记过或者记大过处分；情节较重的，给予降级或者撤职处分；情节严重的，给予开除处分。</w:t>
            </w:r>
          </w:p>
          <w:p>
            <w:pPr>
              <w:pStyle w:val="23"/>
              <w:spacing w:after="60" w:line="321" w:lineRule="exact"/>
              <w:jc w:val="both"/>
            </w:pPr>
            <w:r>
              <w:t>第二十五条 有下列行为之一的，给予记过或者记大过处分；情节较重的，给予降级或者撤职处分；情节严重的，给予开除处分：</w:t>
            </w:r>
          </w:p>
          <w:p>
            <w:pPr>
              <w:pStyle w:val="23"/>
              <w:spacing w:line="305" w:lineRule="auto"/>
              <w:ind w:firstLine="620"/>
              <w:jc w:val="both"/>
            </w:pPr>
            <w:r>
              <w:rPr>
                <w:rFonts w:ascii="Times New Roman" w:hAnsi="Times New Roman" w:eastAsia="Times New Roman" w:cs="Times New Roman"/>
                <w:b/>
                <w:bCs/>
                <w:sz w:val="22"/>
                <w:szCs w:val="22"/>
                <w:lang w:val="en-US" w:eastAsia="zh-CN" w:bidi="en-US"/>
              </w:rPr>
              <w:t>（</w:t>
            </w:r>
            <w:r>
              <w:rPr>
                <w:rFonts w:hint="eastAsia" w:ascii="Times New Roman" w:hAnsi="Times New Roman" w:cs="Times New Roman" w:eastAsiaTheme="minorEastAsia"/>
                <w:b/>
                <w:bCs/>
                <w:sz w:val="22"/>
                <w:szCs w:val="22"/>
                <w:lang w:val="en-US" w:eastAsia="zh-CN" w:bidi="en-US"/>
              </w:rPr>
              <w:t>一</w:t>
            </w:r>
            <w:r>
              <w:rPr>
                <w:rFonts w:ascii="Times New Roman" w:hAnsi="Times New Roman" w:eastAsia="Times New Roman" w:cs="Times New Roman"/>
                <w:b/>
                <w:bCs/>
                <w:sz w:val="22"/>
                <w:szCs w:val="22"/>
                <w:lang w:val="en-US" w:eastAsia="zh-CN" w:bidi="en-US"/>
              </w:rPr>
              <w:t>）</w:t>
            </w:r>
            <w:r>
              <w:t>以殴打、体罚、非法拘禁等方式侵犯公民人身权利的；</w:t>
            </w:r>
          </w:p>
          <w:p>
            <w:pPr>
              <w:pStyle w:val="23"/>
              <w:tabs>
                <w:tab w:val="left" w:pos="1130"/>
              </w:tabs>
              <w:spacing w:line="318" w:lineRule="exact"/>
              <w:ind w:firstLine="620"/>
              <w:jc w:val="both"/>
            </w:pPr>
            <w:r>
              <w:t>（二）</w:t>
            </w:r>
            <w:r>
              <w:tab/>
            </w:r>
            <w:r>
              <w:t>压制批评，打击报复，扣压、销毁举报信件，或者向被举报人透露举报情况的；</w:t>
            </w:r>
          </w:p>
          <w:p>
            <w:pPr>
              <w:pStyle w:val="23"/>
              <w:tabs>
                <w:tab w:val="left" w:pos="1130"/>
              </w:tabs>
              <w:spacing w:line="318" w:lineRule="exact"/>
              <w:ind w:firstLine="620"/>
              <w:jc w:val="both"/>
            </w:pPr>
            <w:r>
              <w:t>（三）</w:t>
            </w:r>
            <w:r>
              <w:tab/>
            </w:r>
            <w:r>
              <w:t>违反规定向公民、法人或者其他组织摊派或者收取财物的；</w:t>
            </w:r>
          </w:p>
          <w:p>
            <w:pPr>
              <w:pStyle w:val="23"/>
              <w:tabs>
                <w:tab w:val="left" w:pos="1130"/>
              </w:tabs>
              <w:spacing w:line="318" w:lineRule="exact"/>
              <w:ind w:firstLine="620"/>
              <w:jc w:val="both"/>
            </w:pPr>
            <w:r>
              <w:t>（四）</w:t>
            </w:r>
            <w:r>
              <w:tab/>
            </w:r>
            <w:r>
              <w:t>妨碍执行公务或者违反规定干预执行公务的；</w:t>
            </w:r>
          </w:p>
          <w:p>
            <w:pPr>
              <w:pStyle w:val="23"/>
              <w:tabs>
                <w:tab w:val="left" w:pos="1136"/>
              </w:tabs>
              <w:spacing w:line="318" w:lineRule="exact"/>
              <w:ind w:firstLine="620"/>
              <w:jc w:val="both"/>
            </w:pPr>
            <w:r>
              <w:t>（五）</w:t>
            </w:r>
            <w:r>
              <w:tab/>
            </w:r>
            <w:r>
              <w:t>其他滥用职权，侵害公民、法人或者其他组织合法权益的行为。</w:t>
            </w:r>
          </w:p>
          <w:p>
            <w:pPr>
              <w:pStyle w:val="23"/>
              <w:spacing w:line="330" w:lineRule="exact"/>
              <w:jc w:val="both"/>
            </w:pPr>
            <w:r>
              <w:t>第二十八条</w:t>
            </w:r>
            <w:r>
              <w:rPr>
                <w:rFonts w:hint="eastAsia" w:eastAsiaTheme="minorEastAsia"/>
                <w:lang w:eastAsia="zh-CN"/>
              </w:rPr>
              <w:t xml:space="preserve"> </w:t>
            </w:r>
            <w:r>
              <w:t xml:space="preserve"> 严重违反公务员职业道德，工作作风懈怠、工作态度恶劣，造成不良影响的，给予警告、记过或者记大过处分。</w:t>
            </w:r>
          </w:p>
          <w:p>
            <w:pPr>
              <w:pStyle w:val="23"/>
              <w:spacing w:line="324" w:lineRule="exact"/>
              <w:jc w:val="both"/>
            </w:pPr>
            <w:r>
              <w:t>第三十四条</w:t>
            </w:r>
            <w:r>
              <w:rPr>
                <w:rFonts w:hint="eastAsia" w:eastAsiaTheme="minorEastAsia"/>
                <w:lang w:eastAsia="zh-CN"/>
              </w:rPr>
              <w:t xml:space="preserve"> </w:t>
            </w:r>
            <w:r>
              <w:t xml:space="preserve"> 对行政机关公务员给予处分，由任免机关或者监察机关（以下统称处分决定机关）按照管理权限决 定。</w:t>
            </w:r>
          </w:p>
          <w:p>
            <w:pPr>
              <w:pStyle w:val="23"/>
              <w:spacing w:line="318" w:lineRule="exact"/>
              <w:ind w:firstLine="620"/>
              <w:jc w:val="both"/>
            </w:pPr>
            <w:r>
              <w:t>《全国经济普査条例》</w:t>
            </w:r>
          </w:p>
          <w:p>
            <w:pPr>
              <w:pStyle w:val="23"/>
              <w:spacing w:line="318" w:lineRule="exact"/>
              <w:jc w:val="both"/>
            </w:pPr>
            <w:r>
              <w:t>第三十六条</w:t>
            </w:r>
            <w:r>
              <w:rPr>
                <w:rFonts w:hint="eastAsia" w:eastAsiaTheme="minorEastAsia"/>
                <w:lang w:eastAsia="zh-CN"/>
              </w:rPr>
              <w:t xml:space="preserve">  </w:t>
            </w:r>
            <w:r>
              <w:t xml:space="preserve"> 经济普查对象有下列违法行为之一的，由县级以上人民政府统计机构责令改正，给予通报批评；情节较重的，可以建议有关部门、单位对负有直接责任的主管人员和其他直接责任人员依法给予行政处分或者纪律处分：</w:t>
            </w:r>
          </w:p>
          <w:p>
            <w:pPr>
              <w:pStyle w:val="23"/>
              <w:tabs>
                <w:tab w:val="left" w:pos="1136"/>
              </w:tabs>
              <w:spacing w:line="318" w:lineRule="exact"/>
              <w:ind w:firstLine="620"/>
              <w:jc w:val="both"/>
            </w:pPr>
            <w:r>
              <w:t>（一）</w:t>
            </w:r>
            <w:r>
              <w:tab/>
            </w:r>
            <w:r>
              <w:t>拒绝或者妨碍接受经济普査机构、经济普查人员依法进行的调查的；</w:t>
            </w:r>
          </w:p>
          <w:p>
            <w:pPr>
              <w:pStyle w:val="23"/>
              <w:tabs>
                <w:tab w:val="left" w:pos="1136"/>
              </w:tabs>
              <w:spacing w:line="318" w:lineRule="exact"/>
              <w:ind w:firstLine="620"/>
              <w:jc w:val="both"/>
            </w:pPr>
            <w:r>
              <w:t>（二）</w:t>
            </w:r>
            <w:r>
              <w:tab/>
            </w:r>
            <w:r>
              <w:t>提供虚假或者不完整的经济普査资料的；</w:t>
            </w:r>
          </w:p>
          <w:p>
            <w:pPr>
              <w:pStyle w:val="23"/>
              <w:tabs>
                <w:tab w:val="left" w:pos="1136"/>
              </w:tabs>
              <w:spacing w:line="318" w:lineRule="exact"/>
              <w:ind w:firstLine="620"/>
              <w:jc w:val="both"/>
            </w:pPr>
            <w:r>
              <w:t>（三）</w:t>
            </w:r>
            <w:r>
              <w:tab/>
            </w:r>
            <w:r>
              <w:t>未按时提供与经济普査有关的资料，经催报后仍未提供的。</w:t>
            </w:r>
          </w:p>
          <w:p>
            <w:pPr>
              <w:pStyle w:val="23"/>
              <w:spacing w:line="318" w:lineRule="exact"/>
              <w:jc w:val="both"/>
            </w:pPr>
            <w:r>
              <w:t>企业事业组织有前款所列违法行为之一的，由县级以上人民政府统计机构给予警告，并可以处</w:t>
            </w:r>
            <w:r>
              <w:rPr>
                <w:rFonts w:ascii="Times New Roman" w:hAnsi="Times New Roman" w:eastAsia="Times New Roman" w:cs="Times New Roman"/>
                <w:b/>
                <w:bCs/>
                <w:sz w:val="22"/>
                <w:szCs w:val="22"/>
              </w:rPr>
              <w:t>5</w:t>
            </w:r>
            <w:r>
              <w:t>万元以下罚款；个体经营户有前款所列违法行为之一的，由县级以上人民政府统计机构给予警告，并可以处</w:t>
            </w:r>
            <w:r>
              <w:rPr>
                <w:rFonts w:ascii="Times New Roman" w:hAnsi="Times New Roman" w:eastAsia="Times New Roman" w:cs="Times New Roman"/>
                <w:b/>
                <w:bCs/>
                <w:sz w:val="22"/>
                <w:szCs w:val="22"/>
              </w:rPr>
              <w:t>1</w:t>
            </w:r>
            <w:r>
              <w:t>万元以下罚款。</w:t>
            </w:r>
          </w:p>
          <w:p>
            <w:pPr>
              <w:pStyle w:val="23"/>
              <w:spacing w:line="318" w:lineRule="exact"/>
              <w:ind w:firstLine="620"/>
              <w:jc w:val="both"/>
            </w:pPr>
            <w:r>
              <w:t>《全国农业普査条例》</w:t>
            </w:r>
          </w:p>
          <w:p>
            <w:pPr>
              <w:pStyle w:val="23"/>
              <w:spacing w:after="40" w:line="318" w:lineRule="exact"/>
              <w:ind w:firstLine="600" w:firstLineChars="300"/>
              <w:jc w:val="both"/>
            </w:pPr>
            <w:r>
              <w:t>第三十九条</w:t>
            </w:r>
            <w:r>
              <w:rPr>
                <w:rFonts w:hint="eastAsia" w:eastAsiaTheme="minorEastAsia"/>
                <w:lang w:eastAsia="zh-CN"/>
              </w:rPr>
              <w:t xml:space="preserve">  </w:t>
            </w:r>
            <w:r>
              <w:t>农业普查对象有下列违法行为之一的，由县级以上人民政府统计机构或者国家统计局派出的调查队责令改正，给予通报批评；情节严重的，对负有直接责任的主管人员和其他直接责任人员依法给予行政处分或者纪律</w:t>
            </w:r>
          </w:p>
        </w:tc>
        <w:tc>
          <w:tcPr>
            <w:tcW w:w="1956"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lang w:eastAsia="zh-CN"/>
              </w:rPr>
            </w:pPr>
          </w:p>
        </w:tc>
      </w:tr>
    </w:tbl>
    <w:p>
      <w:pPr>
        <w:rPr>
          <w:lang w:eastAsia="zh-CN"/>
        </w:rPr>
        <w:sectPr>
          <w:footerReference r:id="rId7" w:type="default"/>
          <w:footerReference r:id="rId8" w:type="even"/>
          <w:pgSz w:w="16840" w:h="11900" w:orient="landscape"/>
          <w:pgMar w:top="1814" w:right="539" w:bottom="1546" w:left="536" w:header="0" w:footer="3" w:gutter="0"/>
          <w:cols w:space="720" w:num="1"/>
          <w:docGrid w:linePitch="360" w:charSpace="0"/>
        </w:sectPr>
      </w:pPr>
    </w:p>
    <w:tbl>
      <w:tblPr>
        <w:tblStyle w:val="6"/>
        <w:tblW w:w="0" w:type="auto"/>
        <w:jc w:val="center"/>
        <w:tblLayout w:type="fixed"/>
        <w:tblCellMar>
          <w:top w:w="0" w:type="dxa"/>
          <w:left w:w="10" w:type="dxa"/>
          <w:bottom w:w="0" w:type="dxa"/>
          <w:right w:w="10" w:type="dxa"/>
        </w:tblCellMar>
      </w:tblPr>
      <w:tblGrid>
        <w:gridCol w:w="2094"/>
        <w:gridCol w:w="11058"/>
        <w:gridCol w:w="1926"/>
      </w:tblGrid>
      <w:tr>
        <w:tblPrEx>
          <w:tblCellMar>
            <w:top w:w="0" w:type="dxa"/>
            <w:left w:w="10" w:type="dxa"/>
            <w:bottom w:w="0" w:type="dxa"/>
            <w:right w:w="10" w:type="dxa"/>
          </w:tblCellMar>
        </w:tblPrEx>
        <w:trPr>
          <w:trHeight w:val="408" w:hRule="exact"/>
          <w:jc w:val="center"/>
        </w:trPr>
        <w:tc>
          <w:tcPr>
            <w:tcW w:w="2094" w:type="dxa"/>
            <w:tcBorders>
              <w:top w:val="single" w:color="auto" w:sz="4" w:space="0"/>
              <w:left w:val="single" w:color="auto" w:sz="4" w:space="0"/>
            </w:tcBorders>
            <w:shd w:val="clear" w:color="auto" w:fill="FFFFFF"/>
            <w:vAlign w:val="bottom"/>
          </w:tcPr>
          <w:p>
            <w:pPr>
              <w:pStyle w:val="23"/>
              <w:spacing w:line="240" w:lineRule="auto"/>
              <w:ind w:firstLine="0"/>
              <w:jc w:val="center"/>
            </w:pPr>
            <w:r>
              <w:t>惩戒措施</w:t>
            </w:r>
          </w:p>
        </w:tc>
        <w:tc>
          <w:tcPr>
            <w:tcW w:w="11058" w:type="dxa"/>
            <w:tcBorders>
              <w:top w:val="single" w:color="auto" w:sz="4" w:space="0"/>
              <w:left w:val="single" w:color="auto" w:sz="4" w:space="0"/>
            </w:tcBorders>
            <w:shd w:val="clear" w:color="auto" w:fill="FFFFFF"/>
            <w:vAlign w:val="bottom"/>
          </w:tcPr>
          <w:p>
            <w:pPr>
              <w:pStyle w:val="23"/>
              <w:spacing w:line="240" w:lineRule="auto"/>
              <w:ind w:firstLine="0"/>
              <w:jc w:val="center"/>
            </w:pPr>
            <w:r>
              <w:t>法律及政策依据</w:t>
            </w:r>
          </w:p>
        </w:tc>
        <w:tc>
          <w:tcPr>
            <w:tcW w:w="1926" w:type="dxa"/>
            <w:tcBorders>
              <w:top w:val="single" w:color="auto" w:sz="4" w:space="0"/>
              <w:left w:val="single" w:color="auto" w:sz="4" w:space="0"/>
              <w:right w:val="single" w:color="auto" w:sz="4" w:space="0"/>
            </w:tcBorders>
            <w:shd w:val="clear" w:color="auto" w:fill="FFFFFF"/>
            <w:vAlign w:val="bottom"/>
          </w:tcPr>
          <w:p>
            <w:pPr>
              <w:pStyle w:val="23"/>
              <w:spacing w:line="240" w:lineRule="auto"/>
              <w:ind w:firstLine="0"/>
              <w:jc w:val="center"/>
            </w:pPr>
            <w:r>
              <w:t>实施单位</w:t>
            </w:r>
          </w:p>
        </w:tc>
      </w:tr>
      <w:tr>
        <w:tblPrEx>
          <w:tblCellMar>
            <w:top w:w="0" w:type="dxa"/>
            <w:left w:w="10" w:type="dxa"/>
            <w:bottom w:w="0" w:type="dxa"/>
            <w:right w:w="10" w:type="dxa"/>
          </w:tblCellMar>
        </w:tblPrEx>
        <w:trPr>
          <w:trHeight w:val="7830" w:hRule="exact"/>
          <w:jc w:val="center"/>
        </w:trPr>
        <w:tc>
          <w:tcPr>
            <w:tcW w:w="2094" w:type="dxa"/>
            <w:tcBorders>
              <w:top w:val="single" w:color="auto" w:sz="4" w:space="0"/>
              <w:left w:val="single" w:color="auto" w:sz="4" w:space="0"/>
              <w:bottom w:val="single" w:color="auto" w:sz="4" w:space="0"/>
            </w:tcBorders>
            <w:shd w:val="clear" w:color="auto" w:fill="FFFFFF"/>
          </w:tcPr>
          <w:p>
            <w:pPr>
              <w:rPr>
                <w:sz w:val="10"/>
                <w:szCs w:val="10"/>
              </w:rPr>
            </w:pPr>
          </w:p>
        </w:tc>
        <w:tc>
          <w:tcPr>
            <w:tcW w:w="11058" w:type="dxa"/>
            <w:tcBorders>
              <w:top w:val="single" w:color="auto" w:sz="4" w:space="0"/>
              <w:left w:val="single" w:color="auto" w:sz="4" w:space="0"/>
              <w:bottom w:val="single" w:color="auto" w:sz="4" w:space="0"/>
            </w:tcBorders>
            <w:shd w:val="clear" w:color="auto" w:fill="FFFFFF"/>
          </w:tcPr>
          <w:p>
            <w:pPr>
              <w:pStyle w:val="23"/>
              <w:ind w:firstLine="0"/>
              <w:jc w:val="both"/>
            </w:pPr>
            <w:r>
              <w:t>处分：</w:t>
            </w:r>
          </w:p>
          <w:p>
            <w:pPr>
              <w:pStyle w:val="23"/>
              <w:tabs>
                <w:tab w:val="left" w:pos="1128"/>
              </w:tabs>
              <w:jc w:val="both"/>
            </w:pPr>
            <w:r>
              <w:t>（一）</w:t>
            </w:r>
            <w:r>
              <w:tab/>
            </w:r>
            <w:r>
              <w:t>拒绝或者妨碍普査办公室、普查人员依法进行调查的；</w:t>
            </w:r>
          </w:p>
          <w:p>
            <w:pPr>
              <w:pStyle w:val="23"/>
              <w:tabs>
                <w:tab w:val="left" w:pos="1128"/>
              </w:tabs>
              <w:jc w:val="both"/>
            </w:pPr>
            <w:r>
              <w:t>（二）</w:t>
            </w:r>
            <w:r>
              <w:tab/>
            </w:r>
            <w:r>
              <w:t>提供虚假或者不完整的农业普查资料的；</w:t>
            </w:r>
          </w:p>
          <w:p>
            <w:pPr>
              <w:pStyle w:val="23"/>
              <w:tabs>
                <w:tab w:val="left" w:pos="1134"/>
              </w:tabs>
              <w:jc w:val="both"/>
            </w:pPr>
            <w:r>
              <w:t>（三）</w:t>
            </w:r>
            <w:r>
              <w:tab/>
            </w:r>
            <w:r>
              <w:t>未按时提供与农业普查有关的资料，经催报后仍未提供的；</w:t>
            </w:r>
          </w:p>
          <w:p>
            <w:pPr>
              <w:pStyle w:val="23"/>
              <w:tabs>
                <w:tab w:val="left" w:pos="1122"/>
              </w:tabs>
              <w:jc w:val="both"/>
            </w:pPr>
            <w:r>
              <w:t>（四）</w:t>
            </w:r>
            <w:r>
              <w:tab/>
            </w:r>
            <w:r>
              <w:t>拒绝、推诿和阻挠依法进行的农业普査执法检査的；</w:t>
            </w:r>
          </w:p>
          <w:p>
            <w:pPr>
              <w:pStyle w:val="23"/>
              <w:tabs>
                <w:tab w:val="left" w:pos="1050"/>
              </w:tabs>
              <w:jc w:val="both"/>
            </w:pPr>
            <w:r>
              <w:t>（五）</w:t>
            </w:r>
            <w:r>
              <w:tab/>
            </w:r>
            <w:r>
              <w:t>在接受农业普查执法检查时，转移、隐匿、篡改、毁弃原始记录、统计台账、普査表、会计资料及相关资料的。</w:t>
            </w:r>
          </w:p>
          <w:p>
            <w:pPr>
              <w:pStyle w:val="23"/>
              <w:jc w:val="both"/>
            </w:pPr>
            <w:r>
              <w:t>农业生产经营单位有前款所列违法行为之一的，由县级以上人民政府统计机构或者国家统计局派出的调查队予以警告，并可以处</w:t>
            </w:r>
            <w:r>
              <w:rPr>
                <w:rFonts w:ascii="Times New Roman" w:hAnsi="Times New Roman" w:eastAsia="Times New Roman" w:cs="Times New Roman"/>
                <w:b/>
                <w:bCs/>
                <w:sz w:val="22"/>
                <w:szCs w:val="22"/>
              </w:rPr>
              <w:t>5</w:t>
            </w:r>
            <w:r>
              <w:t>万元以下罚款；农业生产经营户有前款所列违法行为之一的，由县级以上人民政府统计机构或者国 家统计局派出的调查队予以警告，并可以处</w:t>
            </w:r>
            <w:r>
              <w:rPr>
                <w:rFonts w:ascii="Times New Roman" w:hAnsi="Times New Roman" w:eastAsia="Times New Roman" w:cs="Times New Roman"/>
                <w:b/>
                <w:bCs/>
                <w:sz w:val="22"/>
                <w:szCs w:val="22"/>
              </w:rPr>
              <w:t>1</w:t>
            </w:r>
            <w:r>
              <w:t>万元以下罚款。</w:t>
            </w:r>
          </w:p>
          <w:p>
            <w:pPr>
              <w:pStyle w:val="23"/>
              <w:jc w:val="both"/>
            </w:pPr>
            <w:r>
              <w:t>农业普査对象有本条第一款第（一）、（四）项所列违法行为之一的，由公安机关依法给予治安管理处罚。</w:t>
            </w:r>
          </w:p>
          <w:p>
            <w:pPr>
              <w:pStyle w:val="23"/>
              <w:ind w:firstLine="600"/>
              <w:jc w:val="both"/>
            </w:pPr>
            <w:r>
              <w:t>《全国污染源普查条例》</w:t>
            </w:r>
          </w:p>
          <w:p>
            <w:pPr>
              <w:pStyle w:val="23"/>
              <w:jc w:val="both"/>
            </w:pPr>
            <w:r>
              <w:t>第三十九条</w:t>
            </w:r>
            <w:r>
              <w:rPr>
                <w:rFonts w:hint="eastAsia" w:eastAsiaTheme="minorEastAsia"/>
                <w:lang w:eastAsia="zh-CN"/>
              </w:rPr>
              <w:t xml:space="preserve"> </w:t>
            </w:r>
            <w:r>
              <w:t>污染源普查对象有下列行为之一的；污染源普查领导小组办公室应当及时向同级人民政府统计机构 通报有关情况，提出处理意见，由县级以上人民政府统计机构责令改正，予以通报批评；情节严重的，可以建议对直 接负责的主管人员和其他直接责任人员依法给予处分：</w:t>
            </w:r>
          </w:p>
          <w:p>
            <w:pPr>
              <w:pStyle w:val="23"/>
              <w:tabs>
                <w:tab w:val="left" w:pos="1148"/>
              </w:tabs>
              <w:ind w:firstLine="620"/>
              <w:jc w:val="both"/>
            </w:pPr>
            <w:r>
              <w:t>（一）</w:t>
            </w:r>
            <w:r>
              <w:tab/>
            </w:r>
            <w:r>
              <w:t>迟报、虚报、瞒报或者拒报污染源普查数据的；</w:t>
            </w:r>
          </w:p>
          <w:p>
            <w:pPr>
              <w:pStyle w:val="23"/>
              <w:tabs>
                <w:tab w:val="left" w:pos="1148"/>
              </w:tabs>
              <w:ind w:firstLine="620"/>
              <w:jc w:val="both"/>
            </w:pPr>
            <w:r>
              <w:t>（二）</w:t>
            </w:r>
            <w:r>
              <w:tab/>
            </w:r>
            <w:r>
              <w:t>推诿、拒绝或者阻挠普查人员依法进行调査的；</w:t>
            </w:r>
          </w:p>
          <w:p>
            <w:pPr>
              <w:pStyle w:val="23"/>
              <w:tabs>
                <w:tab w:val="left" w:pos="1050"/>
              </w:tabs>
              <w:ind w:firstLine="620"/>
              <w:jc w:val="both"/>
            </w:pPr>
            <w:r>
              <w:t>（三）</w:t>
            </w:r>
            <w:r>
              <w:tab/>
            </w:r>
            <w:r>
              <w:t>转移、隐匿、篡改、毁弃原材料消耗记录、生产记录、污染物治理设施运行记录、污染物排放监测记录以及其他与污染物产生和排放有关的原始资料的。</w:t>
            </w:r>
          </w:p>
          <w:p>
            <w:pPr>
              <w:pStyle w:val="23"/>
              <w:jc w:val="both"/>
            </w:pPr>
            <w:r>
              <w:t>单位有本条第一款所列行为之一的，由县级以上人民政府统计机构予以警告，可以处</w:t>
            </w:r>
            <w:r>
              <w:rPr>
                <w:rFonts w:ascii="Times New Roman" w:hAnsi="Times New Roman" w:eastAsia="Times New Roman" w:cs="Times New Roman"/>
                <w:b/>
                <w:bCs/>
                <w:sz w:val="22"/>
                <w:szCs w:val="22"/>
              </w:rPr>
              <w:t>5</w:t>
            </w:r>
            <w:r>
              <w:t>万元以下的罚款。</w:t>
            </w:r>
          </w:p>
          <w:p>
            <w:pPr>
              <w:pStyle w:val="23"/>
              <w:ind w:left="600" w:hanging="100"/>
              <w:jc w:val="both"/>
              <w:rPr>
                <w:rFonts w:hint="eastAsia" w:eastAsiaTheme="minorEastAsia"/>
                <w:lang w:eastAsia="zh-CN"/>
              </w:rPr>
            </w:pPr>
            <w:r>
              <w:t>个体经营户有本条第一款所列行为之一的，由县级以上人民政府统计机构予以警告，可以处</w:t>
            </w:r>
            <w:r>
              <w:rPr>
                <w:rFonts w:ascii="Times New Roman" w:hAnsi="Times New Roman" w:eastAsia="Times New Roman" w:cs="Times New Roman"/>
                <w:b/>
                <w:bCs/>
                <w:sz w:val="22"/>
                <w:szCs w:val="22"/>
              </w:rPr>
              <w:t>1</w:t>
            </w:r>
            <w:r>
              <w:t xml:space="preserve">万元以下的罚款。 </w:t>
            </w:r>
          </w:p>
          <w:p>
            <w:pPr>
              <w:pStyle w:val="23"/>
              <w:ind w:left="600" w:hanging="100"/>
              <w:jc w:val="both"/>
            </w:pPr>
            <w:r>
              <w:t>《企业信息公示暂行条例》</w:t>
            </w:r>
          </w:p>
          <w:p>
            <w:pPr>
              <w:pStyle w:val="23"/>
              <w:jc w:val="both"/>
            </w:pPr>
            <w:r>
              <w:t>第七条 工商行政管理部门以外的其他政府部门（以下简称其他政府部门）应当公示其在履行职责过程中产生的下列企业信息：</w:t>
            </w:r>
          </w:p>
          <w:p>
            <w:pPr>
              <w:pStyle w:val="23"/>
              <w:ind w:firstLine="600"/>
              <w:jc w:val="both"/>
            </w:pPr>
            <w:r>
              <w:t>（一）行政许可准予、变更、延续信息；</w:t>
            </w:r>
          </w:p>
        </w:tc>
        <w:tc>
          <w:tcPr>
            <w:tcW w:w="1926"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lang w:eastAsia="zh-CN"/>
              </w:rPr>
            </w:pPr>
          </w:p>
        </w:tc>
      </w:tr>
    </w:tbl>
    <w:p>
      <w:pPr>
        <w:spacing w:line="1" w:lineRule="exact"/>
        <w:rPr>
          <w:sz w:val="2"/>
          <w:szCs w:val="2"/>
          <w:lang w:eastAsia="zh-CN"/>
        </w:rPr>
      </w:pPr>
      <w:r>
        <w:rPr>
          <w:lang w:eastAsia="zh-CN"/>
        </w:rPr>
        <w:br w:type="page"/>
      </w:r>
    </w:p>
    <w:tbl>
      <w:tblPr>
        <w:tblStyle w:val="6"/>
        <w:tblW w:w="0" w:type="auto"/>
        <w:jc w:val="center"/>
        <w:tblLayout w:type="fixed"/>
        <w:tblCellMar>
          <w:top w:w="0" w:type="dxa"/>
          <w:left w:w="10" w:type="dxa"/>
          <w:bottom w:w="0" w:type="dxa"/>
          <w:right w:w="10" w:type="dxa"/>
        </w:tblCellMar>
      </w:tblPr>
      <w:tblGrid>
        <w:gridCol w:w="2088"/>
        <w:gridCol w:w="11100"/>
        <w:gridCol w:w="1962"/>
      </w:tblGrid>
      <w:tr>
        <w:tblPrEx>
          <w:tblCellMar>
            <w:top w:w="0" w:type="dxa"/>
            <w:left w:w="10" w:type="dxa"/>
            <w:bottom w:w="0" w:type="dxa"/>
            <w:right w:w="10" w:type="dxa"/>
          </w:tblCellMar>
        </w:tblPrEx>
        <w:trPr>
          <w:trHeight w:val="402" w:hRule="exact"/>
          <w:jc w:val="center"/>
        </w:trPr>
        <w:tc>
          <w:tcPr>
            <w:tcW w:w="2088" w:type="dxa"/>
            <w:tcBorders>
              <w:top w:val="single" w:color="auto" w:sz="4" w:space="0"/>
              <w:left w:val="single" w:color="auto" w:sz="4" w:space="0"/>
            </w:tcBorders>
            <w:shd w:val="clear" w:color="auto" w:fill="FFFFFF"/>
            <w:vAlign w:val="bottom"/>
          </w:tcPr>
          <w:p>
            <w:pPr>
              <w:pStyle w:val="23"/>
              <w:spacing w:line="240" w:lineRule="auto"/>
              <w:ind w:firstLine="0"/>
              <w:jc w:val="center"/>
            </w:pPr>
            <w:r>
              <w:t>惩戒措施</w:t>
            </w:r>
          </w:p>
        </w:tc>
        <w:tc>
          <w:tcPr>
            <w:tcW w:w="11100" w:type="dxa"/>
            <w:tcBorders>
              <w:top w:val="single" w:color="auto" w:sz="4" w:space="0"/>
              <w:left w:val="single" w:color="auto" w:sz="4" w:space="0"/>
            </w:tcBorders>
            <w:shd w:val="clear" w:color="auto" w:fill="FFFFFF"/>
            <w:vAlign w:val="bottom"/>
          </w:tcPr>
          <w:p>
            <w:pPr>
              <w:pStyle w:val="23"/>
              <w:spacing w:line="240" w:lineRule="auto"/>
              <w:ind w:firstLine="0"/>
              <w:jc w:val="center"/>
            </w:pPr>
            <w:r>
              <w:t>法律及政策依据</w:t>
            </w:r>
          </w:p>
        </w:tc>
        <w:tc>
          <w:tcPr>
            <w:tcW w:w="1962" w:type="dxa"/>
            <w:tcBorders>
              <w:top w:val="single" w:color="auto" w:sz="4" w:space="0"/>
              <w:left w:val="single" w:color="auto" w:sz="4" w:space="0"/>
              <w:right w:val="single" w:color="auto" w:sz="4" w:space="0"/>
            </w:tcBorders>
            <w:shd w:val="clear" w:color="auto" w:fill="FFFFFF"/>
            <w:vAlign w:val="bottom"/>
          </w:tcPr>
          <w:p>
            <w:pPr>
              <w:pStyle w:val="23"/>
              <w:spacing w:line="240" w:lineRule="auto"/>
              <w:ind w:firstLine="0"/>
              <w:jc w:val="center"/>
            </w:pPr>
            <w:r>
              <w:t>实施单位</w:t>
            </w:r>
          </w:p>
        </w:tc>
      </w:tr>
      <w:tr>
        <w:tblPrEx>
          <w:tblCellMar>
            <w:top w:w="0" w:type="dxa"/>
            <w:left w:w="10" w:type="dxa"/>
            <w:bottom w:w="0" w:type="dxa"/>
            <w:right w:w="10" w:type="dxa"/>
          </w:tblCellMar>
        </w:tblPrEx>
        <w:trPr>
          <w:trHeight w:val="7842" w:hRule="exact"/>
          <w:jc w:val="center"/>
        </w:trPr>
        <w:tc>
          <w:tcPr>
            <w:tcW w:w="2088" w:type="dxa"/>
            <w:tcBorders>
              <w:top w:val="single" w:color="auto" w:sz="4" w:space="0"/>
              <w:left w:val="single" w:color="auto" w:sz="4" w:space="0"/>
              <w:bottom w:val="single" w:color="auto" w:sz="4" w:space="0"/>
            </w:tcBorders>
            <w:shd w:val="clear" w:color="auto" w:fill="FFFFFF"/>
          </w:tcPr>
          <w:p>
            <w:pPr>
              <w:rPr>
                <w:sz w:val="10"/>
                <w:szCs w:val="10"/>
              </w:rPr>
            </w:pPr>
          </w:p>
        </w:tc>
        <w:tc>
          <w:tcPr>
            <w:tcW w:w="11100" w:type="dxa"/>
            <w:tcBorders>
              <w:top w:val="single" w:color="auto" w:sz="4" w:space="0"/>
              <w:left w:val="single" w:color="auto" w:sz="4" w:space="0"/>
              <w:bottom w:val="single" w:color="auto" w:sz="4" w:space="0"/>
            </w:tcBorders>
            <w:shd w:val="clear" w:color="auto" w:fill="FFFFFF"/>
          </w:tcPr>
          <w:p>
            <w:pPr>
              <w:pStyle w:val="23"/>
              <w:tabs>
                <w:tab w:val="left" w:pos="1142"/>
              </w:tabs>
              <w:spacing w:line="321" w:lineRule="exact"/>
              <w:ind w:firstLine="620"/>
              <w:jc w:val="both"/>
            </w:pPr>
            <w:r>
              <w:t>（二）</w:t>
            </w:r>
            <w:r>
              <w:tab/>
            </w:r>
            <w:r>
              <w:t>行政处罚信息；</w:t>
            </w:r>
          </w:p>
          <w:p>
            <w:pPr>
              <w:pStyle w:val="23"/>
              <w:tabs>
                <w:tab w:val="left" w:pos="1142"/>
              </w:tabs>
              <w:spacing w:line="321" w:lineRule="exact"/>
              <w:ind w:firstLine="620"/>
              <w:jc w:val="both"/>
            </w:pPr>
            <w:r>
              <w:t>（三）</w:t>
            </w:r>
            <w:r>
              <w:tab/>
            </w:r>
            <w:r>
              <w:t>其他依法应当公示的信息。</w:t>
            </w:r>
          </w:p>
          <w:p>
            <w:pPr>
              <w:pStyle w:val="23"/>
              <w:spacing w:line="321" w:lineRule="exact"/>
              <w:jc w:val="both"/>
            </w:pPr>
            <w:r>
              <w:t>其他政府部门可以通过企业信用信息公示系统，也可以通过其他系统公示前款规定的企业信息。工商行政管理部门和其他政府部门应当按照国家社会信用信息平台建设的总体要求，实现企业信息的互联共享。</w:t>
            </w:r>
          </w:p>
          <w:p>
            <w:pPr>
              <w:pStyle w:val="23"/>
              <w:spacing w:line="321" w:lineRule="exact"/>
              <w:ind w:firstLine="620"/>
              <w:jc w:val="both"/>
            </w:pPr>
            <w:r>
              <w:t>《国务院关于建立完善守信联合激励和失信联合惩戒制度加快推进社会诚信建设的指导意见》（国发</w:t>
            </w:r>
            <w:r>
              <w:rPr>
                <w:rFonts w:ascii="Times New Roman" w:hAnsi="Times New Roman" w:eastAsia="Times New Roman" w:cs="Times New Roman"/>
                <w:b/>
                <w:bCs/>
                <w:sz w:val="22"/>
                <w:szCs w:val="22"/>
              </w:rPr>
              <w:t xml:space="preserve">（2016） 33 </w:t>
            </w:r>
            <w:r>
              <w:t>号）</w:t>
            </w:r>
          </w:p>
          <w:p>
            <w:pPr>
              <w:pStyle w:val="23"/>
              <w:spacing w:line="314" w:lineRule="exact"/>
              <w:ind w:firstLine="620"/>
              <w:jc w:val="both"/>
            </w:pPr>
            <w:r>
              <w:t>（十七）建立健全信用信息公示机制。推动政务信用信息公开，全面落实行政许可和行政处罚信息上网公开制度。 除法律法规另有规定外，县级以上人民政府及其部门要将各类自然人、法人和其他组织的行政许可、行政处罚等信息 在</w:t>
            </w:r>
            <w:r>
              <w:rPr>
                <w:rFonts w:ascii="Times New Roman" w:hAnsi="Times New Roman" w:eastAsia="Times New Roman" w:cs="Times New Roman"/>
                <w:b/>
                <w:bCs/>
                <w:sz w:val="22"/>
                <w:szCs w:val="22"/>
              </w:rPr>
              <w:t>7</w:t>
            </w:r>
            <w:r>
              <w:t>个工作日内通过政府网站公开，并及时归集至</w:t>
            </w:r>
            <w:r>
              <w:rPr>
                <w:lang w:val="zh-CN" w:eastAsia="zh-CN" w:bidi="zh-CN"/>
              </w:rPr>
              <w:t>“信用</w:t>
            </w:r>
            <w:r>
              <w:t>中国”网站，为社会提供“一站式''查询服务。涉及企业的相关信息按照企业信息公示暂行条例规定在企业信用信息公示系统公示。推动司法机关在</w:t>
            </w:r>
            <w:r>
              <w:rPr>
                <w:lang w:val="zh-CN" w:eastAsia="zh-CN" w:bidi="zh-CN"/>
              </w:rPr>
              <w:t>“信用</w:t>
            </w:r>
            <w:r>
              <w:t>中国”网站公示司法 判决、失信被执行人名单等信用信息。</w:t>
            </w:r>
          </w:p>
          <w:p>
            <w:pPr>
              <w:pStyle w:val="23"/>
              <w:spacing w:line="314" w:lineRule="exact"/>
              <w:ind w:firstLine="620"/>
              <w:jc w:val="both"/>
            </w:pPr>
            <w:r>
              <w:t>《国务院关于印发社会信用体系建设规划纲要</w:t>
            </w:r>
            <w:r>
              <w:rPr>
                <w:rFonts w:ascii="Times New Roman" w:hAnsi="Times New Roman" w:eastAsia="Times New Roman" w:cs="Times New Roman"/>
                <w:b/>
                <w:bCs/>
                <w:sz w:val="22"/>
                <w:szCs w:val="22"/>
                <w:lang w:val="en-US" w:eastAsia="zh-CN" w:bidi="en-US"/>
              </w:rPr>
              <w:t>（2014—202</w:t>
            </w:r>
            <w:r>
              <w:rPr>
                <w:rFonts w:ascii="Times New Roman" w:hAnsi="Times New Roman" w:eastAsia="Times New Roman" w:cs="Times New Roman"/>
                <w:b/>
                <w:bCs/>
                <w:sz w:val="22"/>
                <w:szCs w:val="22"/>
              </w:rPr>
              <w:t>0</w:t>
            </w:r>
            <w:r>
              <w:t>年）的通知》（国发</w:t>
            </w:r>
            <w:r>
              <w:rPr>
                <w:rFonts w:ascii="Times New Roman" w:hAnsi="Times New Roman" w:eastAsia="Times New Roman" w:cs="Times New Roman"/>
                <w:b/>
                <w:bCs/>
                <w:sz w:val="22"/>
                <w:szCs w:val="22"/>
              </w:rPr>
              <w:t>（2014） 21</w:t>
            </w:r>
            <w:r>
              <w:t>号）</w:t>
            </w:r>
          </w:p>
          <w:p>
            <w:pPr>
              <w:pStyle w:val="23"/>
              <w:spacing w:line="314" w:lineRule="exact"/>
              <w:jc w:val="both"/>
            </w:pPr>
            <w:r>
              <w:t>统计领域信用建设。开展企业诚信统计承诺活动，营造诚实报数光荣、失信造假可耻的良好风气。完善统计诚信 评价标准体系。建立健全企业统计诚信评价制度和统计从业人员诚信档案。加强执法检查，严厉查处统计领域的弄虚作假行为，建立统计失信行为通报和公开曝光制度。加大对统计失信企业的联合惩戒力度。将统计失信企业名单档案 及其违法违规信息纳入金融、工商等行业和部门信用信息系统，将统计信用记录与企业融资、政府补贴、工商注册登 记等直接挂钩，切实强化对统计失信行为的惩戒和制约。</w:t>
            </w:r>
          </w:p>
          <w:p>
            <w:pPr>
              <w:pStyle w:val="23"/>
              <w:spacing w:line="314" w:lineRule="exact"/>
              <w:ind w:firstLine="620"/>
              <w:jc w:val="both"/>
            </w:pPr>
            <w:r>
              <w:t>《统计违法违纪行为处分规定》（监察部、人力资源和社会保障部、国家统计局令第</w:t>
            </w:r>
            <w:r>
              <w:rPr>
                <w:rFonts w:ascii="Times New Roman" w:hAnsi="Times New Roman" w:eastAsia="Times New Roman" w:cs="Times New Roman"/>
                <w:b/>
                <w:bCs/>
                <w:sz w:val="22"/>
                <w:szCs w:val="22"/>
              </w:rPr>
              <w:t>18</w:t>
            </w:r>
            <w:r>
              <w:t>号）</w:t>
            </w:r>
          </w:p>
          <w:p>
            <w:pPr>
              <w:pStyle w:val="23"/>
              <w:spacing w:line="314" w:lineRule="exact"/>
              <w:jc w:val="both"/>
            </w:pPr>
            <w:r>
              <w:t>第二条</w:t>
            </w:r>
            <w:r>
              <w:rPr>
                <w:rFonts w:hint="eastAsia" w:eastAsiaTheme="minorEastAsia"/>
                <w:lang w:eastAsia="zh-CN"/>
              </w:rPr>
              <w:t xml:space="preserve">  </w:t>
            </w:r>
            <w:r>
              <w:t>有统计违法违纪行为的单位中负有责任的领导人员和直接责任人员，以及有统计违法违纪行为的个人，应当承担纪律责任。属于下列人员的（以下统称有关责任人员），由任免机关或者监察机关按照管理权限依法给予处分：</w:t>
            </w:r>
          </w:p>
          <w:p>
            <w:pPr>
              <w:pStyle w:val="23"/>
              <w:tabs>
                <w:tab w:val="left" w:pos="1130"/>
              </w:tabs>
              <w:spacing w:line="314" w:lineRule="exact"/>
              <w:ind w:firstLine="620"/>
              <w:jc w:val="both"/>
            </w:pPr>
            <w:r>
              <w:t>（一）</w:t>
            </w:r>
            <w:r>
              <w:tab/>
            </w:r>
            <w:r>
              <w:t>行政机关公务员；</w:t>
            </w:r>
          </w:p>
          <w:p>
            <w:pPr>
              <w:pStyle w:val="23"/>
              <w:tabs>
                <w:tab w:val="left" w:pos="1032"/>
              </w:tabs>
              <w:spacing w:line="342" w:lineRule="exact"/>
              <w:ind w:firstLine="620"/>
              <w:jc w:val="both"/>
            </w:pPr>
            <w:r>
              <w:t>（二）</w:t>
            </w:r>
            <w:r>
              <w:tab/>
            </w:r>
            <w:r>
              <w:t>法律、法规授权的具有公共事务管理职能的事业单位中经批准参照《中华人民共和国公务员法》管理的工 作人员；</w:t>
            </w:r>
          </w:p>
          <w:p>
            <w:pPr>
              <w:pStyle w:val="23"/>
              <w:tabs>
                <w:tab w:val="left" w:pos="1136"/>
              </w:tabs>
              <w:spacing w:line="314" w:lineRule="exact"/>
              <w:ind w:firstLine="620"/>
              <w:jc w:val="both"/>
            </w:pPr>
            <w:r>
              <w:t>（三）</w:t>
            </w:r>
            <w:r>
              <w:tab/>
            </w:r>
            <w:r>
              <w:t>行政机关依法委托的组织中除工勤人员以外的工作人员；</w:t>
            </w:r>
          </w:p>
        </w:tc>
        <w:tc>
          <w:tcPr>
            <w:tcW w:w="1962"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lang w:eastAsia="zh-CN"/>
              </w:rPr>
            </w:pPr>
          </w:p>
        </w:tc>
      </w:tr>
    </w:tbl>
    <w:p>
      <w:pPr>
        <w:spacing w:line="1" w:lineRule="exact"/>
        <w:rPr>
          <w:sz w:val="2"/>
          <w:szCs w:val="2"/>
          <w:lang w:eastAsia="zh-CN"/>
        </w:rPr>
      </w:pPr>
      <w:r>
        <w:rPr>
          <w:lang w:eastAsia="zh-CN"/>
        </w:rPr>
        <w:br w:type="page"/>
      </w:r>
    </w:p>
    <w:tbl>
      <w:tblPr>
        <w:tblStyle w:val="6"/>
        <w:tblW w:w="0" w:type="auto"/>
        <w:jc w:val="center"/>
        <w:tblLayout w:type="fixed"/>
        <w:tblCellMar>
          <w:top w:w="0" w:type="dxa"/>
          <w:left w:w="10" w:type="dxa"/>
          <w:bottom w:w="0" w:type="dxa"/>
          <w:right w:w="10" w:type="dxa"/>
        </w:tblCellMar>
      </w:tblPr>
      <w:tblGrid>
        <w:gridCol w:w="2076"/>
        <w:gridCol w:w="11076"/>
        <w:gridCol w:w="1932"/>
      </w:tblGrid>
      <w:tr>
        <w:tblPrEx>
          <w:tblCellMar>
            <w:top w:w="0" w:type="dxa"/>
            <w:left w:w="10" w:type="dxa"/>
            <w:bottom w:w="0" w:type="dxa"/>
            <w:right w:w="10" w:type="dxa"/>
          </w:tblCellMar>
        </w:tblPrEx>
        <w:trPr>
          <w:trHeight w:val="402" w:hRule="exact"/>
          <w:jc w:val="center"/>
        </w:trPr>
        <w:tc>
          <w:tcPr>
            <w:tcW w:w="2076" w:type="dxa"/>
            <w:tcBorders>
              <w:top w:val="single" w:color="auto" w:sz="4" w:space="0"/>
              <w:left w:val="single" w:color="auto" w:sz="4" w:space="0"/>
            </w:tcBorders>
            <w:shd w:val="clear" w:color="auto" w:fill="FFFFFF"/>
            <w:vAlign w:val="bottom"/>
          </w:tcPr>
          <w:p>
            <w:pPr>
              <w:pStyle w:val="23"/>
              <w:spacing w:line="240" w:lineRule="auto"/>
              <w:ind w:firstLine="0"/>
              <w:jc w:val="center"/>
            </w:pPr>
            <w:r>
              <w:t>惩戒措施</w:t>
            </w:r>
          </w:p>
        </w:tc>
        <w:tc>
          <w:tcPr>
            <w:tcW w:w="11076" w:type="dxa"/>
            <w:tcBorders>
              <w:top w:val="single" w:color="auto" w:sz="4" w:space="0"/>
              <w:left w:val="single" w:color="auto" w:sz="4" w:space="0"/>
            </w:tcBorders>
            <w:shd w:val="clear" w:color="auto" w:fill="FFFFFF"/>
            <w:vAlign w:val="bottom"/>
          </w:tcPr>
          <w:p>
            <w:pPr>
              <w:pStyle w:val="23"/>
              <w:spacing w:line="240" w:lineRule="auto"/>
              <w:ind w:firstLine="0"/>
              <w:jc w:val="center"/>
            </w:pPr>
            <w:r>
              <w:t>法律及政策依据</w:t>
            </w:r>
          </w:p>
        </w:tc>
        <w:tc>
          <w:tcPr>
            <w:tcW w:w="1932" w:type="dxa"/>
            <w:tcBorders>
              <w:top w:val="single" w:color="auto" w:sz="4" w:space="0"/>
              <w:left w:val="single" w:color="auto" w:sz="4" w:space="0"/>
              <w:right w:val="single" w:color="auto" w:sz="4" w:space="0"/>
            </w:tcBorders>
            <w:shd w:val="clear" w:color="auto" w:fill="FFFFFF"/>
            <w:vAlign w:val="bottom"/>
          </w:tcPr>
          <w:p>
            <w:pPr>
              <w:pStyle w:val="23"/>
              <w:spacing w:line="240" w:lineRule="auto"/>
              <w:ind w:firstLine="0"/>
              <w:jc w:val="center"/>
            </w:pPr>
            <w:r>
              <w:t>实施单位</w:t>
            </w:r>
          </w:p>
        </w:tc>
      </w:tr>
      <w:tr>
        <w:tblPrEx>
          <w:tblCellMar>
            <w:top w:w="0" w:type="dxa"/>
            <w:left w:w="10" w:type="dxa"/>
            <w:bottom w:w="0" w:type="dxa"/>
            <w:right w:w="10" w:type="dxa"/>
          </w:tblCellMar>
        </w:tblPrEx>
        <w:trPr>
          <w:trHeight w:val="8028" w:hRule="exact"/>
          <w:jc w:val="center"/>
        </w:trPr>
        <w:tc>
          <w:tcPr>
            <w:tcW w:w="2076" w:type="dxa"/>
            <w:tcBorders>
              <w:top w:val="single" w:color="auto" w:sz="4" w:space="0"/>
              <w:left w:val="single" w:color="auto" w:sz="4" w:space="0"/>
              <w:bottom w:val="single" w:color="auto" w:sz="4" w:space="0"/>
            </w:tcBorders>
            <w:shd w:val="clear" w:color="auto" w:fill="FFFFFF"/>
          </w:tcPr>
          <w:p>
            <w:pPr>
              <w:rPr>
                <w:sz w:val="10"/>
                <w:szCs w:val="10"/>
              </w:rPr>
            </w:pPr>
          </w:p>
        </w:tc>
        <w:tc>
          <w:tcPr>
            <w:tcW w:w="11076" w:type="dxa"/>
            <w:tcBorders>
              <w:top w:val="single" w:color="auto" w:sz="4" w:space="0"/>
              <w:left w:val="single" w:color="auto" w:sz="4" w:space="0"/>
              <w:bottom w:val="single" w:color="auto" w:sz="4" w:space="0"/>
            </w:tcBorders>
            <w:shd w:val="clear" w:color="auto" w:fill="FFFFFF"/>
          </w:tcPr>
          <w:p>
            <w:pPr>
              <w:pStyle w:val="23"/>
              <w:spacing w:line="316" w:lineRule="exact"/>
              <w:ind w:firstLine="620"/>
              <w:jc w:val="both"/>
            </w:pPr>
            <w:r>
              <w:t>（四）企业、事业单位、社会团体中由行政机关任命的人员。</w:t>
            </w:r>
          </w:p>
          <w:p>
            <w:pPr>
              <w:pStyle w:val="23"/>
              <w:spacing w:line="316" w:lineRule="exact"/>
              <w:jc w:val="both"/>
            </w:pPr>
            <w:r>
              <w:t>法律、行政法规、国务院决定和国务院监察机关、国务院人力资源社会保障部门制定的处分规章对统计违法违纪行为的处分另有规定的，从其规定。</w:t>
            </w:r>
          </w:p>
          <w:p>
            <w:pPr>
              <w:pStyle w:val="23"/>
              <w:spacing w:line="316" w:lineRule="exact"/>
              <w:jc w:val="both"/>
            </w:pPr>
            <w:r>
              <w:t>第三条 地方、部门以及企业、事业单位、社会团体的领导人员有下列行为之一的，给予记过或者记大过处分； 情节较重的，给予降级或者撤职处分；情节严重的，给予开除处分：</w:t>
            </w:r>
          </w:p>
          <w:p>
            <w:pPr>
              <w:pStyle w:val="23"/>
              <w:tabs>
                <w:tab w:val="left" w:pos="1184"/>
              </w:tabs>
              <w:spacing w:line="316" w:lineRule="exact"/>
              <w:ind w:firstLine="620"/>
              <w:jc w:val="both"/>
            </w:pPr>
            <w:r>
              <w:t>（一）</w:t>
            </w:r>
            <w:r>
              <w:tab/>
            </w:r>
            <w:r>
              <w:t>自行修改统计资料、编造虚假数据的；</w:t>
            </w:r>
          </w:p>
          <w:p>
            <w:pPr>
              <w:pStyle w:val="23"/>
              <w:tabs>
                <w:tab w:val="left" w:pos="1056"/>
              </w:tabs>
              <w:spacing w:line="316" w:lineRule="exact"/>
              <w:ind w:firstLine="620"/>
              <w:jc w:val="both"/>
            </w:pPr>
            <w:r>
              <w:t>（二）</w:t>
            </w:r>
            <w:r>
              <w:tab/>
            </w:r>
            <w:r>
              <w:t>强令、授意本地区、本部门、本单位统计机构、统计人员或者其他有关机构、人员拒报、虚报、瞒报或者篡改统计资料、编造虚假数据的；</w:t>
            </w:r>
          </w:p>
          <w:p>
            <w:pPr>
              <w:pStyle w:val="23"/>
              <w:tabs>
                <w:tab w:val="left" w:pos="1160"/>
              </w:tabs>
              <w:spacing w:line="316" w:lineRule="exact"/>
              <w:ind w:firstLine="620"/>
              <w:jc w:val="both"/>
            </w:pPr>
            <w:r>
              <w:t>（三）</w:t>
            </w:r>
            <w:r>
              <w:tab/>
            </w:r>
            <w:r>
              <w:t>对拒绝、抵制篡改统计资料或者对拒绝、抵制编造虚假数据的人员进行打击报复的；</w:t>
            </w:r>
          </w:p>
          <w:p>
            <w:pPr>
              <w:pStyle w:val="23"/>
              <w:tabs>
                <w:tab w:val="left" w:pos="1142"/>
              </w:tabs>
              <w:spacing w:line="316" w:lineRule="exact"/>
              <w:ind w:firstLine="620"/>
              <w:jc w:val="both"/>
            </w:pPr>
            <w:r>
              <w:t>（四）</w:t>
            </w:r>
            <w:r>
              <w:tab/>
            </w:r>
            <w:r>
              <w:t>对揭发、检举统计违法违纪行为的人员进行打击报复的。</w:t>
            </w:r>
          </w:p>
          <w:p>
            <w:pPr>
              <w:pStyle w:val="23"/>
              <w:spacing w:line="316" w:lineRule="exact"/>
              <w:jc w:val="both"/>
            </w:pPr>
            <w:r>
              <w:t>有前款第（三）项、第（四）项规定行为的，应当从重处分。</w:t>
            </w:r>
          </w:p>
          <w:p>
            <w:pPr>
              <w:pStyle w:val="23"/>
              <w:spacing w:line="316" w:lineRule="exact"/>
              <w:jc w:val="both"/>
            </w:pPr>
            <w:r>
              <w:t>第四条</w:t>
            </w:r>
            <w:r>
              <w:rPr>
                <w:rFonts w:hint="eastAsia" w:eastAsiaTheme="minorEastAsia"/>
                <w:lang w:eastAsia="zh-CN"/>
              </w:rPr>
              <w:t xml:space="preserve"> </w:t>
            </w:r>
            <w:r>
              <w:t>地方、部门以及企业、事业单位、社会团体的领导人员，对本地区、本部门、本单位严重失实的统计数 据，应当发现而未发现或者发现后不予纠正，造成不良后果的，给予警告或者记过处分；造成严重后果的，给予记大 过或者降级处分；造成特别严重后果的，给予撤职或者开除处分。</w:t>
            </w:r>
          </w:p>
          <w:p>
            <w:pPr>
              <w:pStyle w:val="23"/>
              <w:spacing w:line="316" w:lineRule="exact"/>
              <w:jc w:val="both"/>
            </w:pPr>
            <w:r>
              <w:t>第七条 统计调査对象中的单位有下列行为之一，情节较重的，对有关责任人员，给予警告、记过或者记大过处分；情节严重的，给予降级或者撤职处分；情节特别严重的，给予开除处分：</w:t>
            </w:r>
          </w:p>
          <w:p>
            <w:pPr>
              <w:pStyle w:val="23"/>
              <w:tabs>
                <w:tab w:val="left" w:pos="1148"/>
              </w:tabs>
              <w:spacing w:line="316" w:lineRule="exact"/>
              <w:ind w:firstLine="620"/>
              <w:jc w:val="both"/>
            </w:pPr>
            <w:r>
              <w:t>（一）</w:t>
            </w:r>
            <w:r>
              <w:tab/>
            </w:r>
            <w:r>
              <w:t>虚报、瞒报统计资料的；</w:t>
            </w:r>
          </w:p>
          <w:p>
            <w:pPr>
              <w:pStyle w:val="23"/>
              <w:tabs>
                <w:tab w:val="left" w:pos="1148"/>
              </w:tabs>
              <w:spacing w:line="316" w:lineRule="exact"/>
              <w:ind w:firstLine="620"/>
              <w:jc w:val="both"/>
            </w:pPr>
            <w:r>
              <w:t>（二）</w:t>
            </w:r>
            <w:r>
              <w:tab/>
            </w:r>
            <w:r>
              <w:t>伪造、篡改统计资料的；</w:t>
            </w:r>
          </w:p>
          <w:p>
            <w:pPr>
              <w:pStyle w:val="23"/>
              <w:tabs>
                <w:tab w:val="left" w:pos="1148"/>
              </w:tabs>
              <w:spacing w:line="316" w:lineRule="exact"/>
              <w:ind w:firstLine="620"/>
              <w:jc w:val="both"/>
            </w:pPr>
            <w:r>
              <w:t>（三）</w:t>
            </w:r>
            <w:r>
              <w:tab/>
            </w:r>
            <w:r>
              <w:t>拒报或者屡次迟报统计资料的；</w:t>
            </w:r>
          </w:p>
          <w:p>
            <w:pPr>
              <w:pStyle w:val="23"/>
              <w:tabs>
                <w:tab w:val="left" w:pos="1032"/>
              </w:tabs>
              <w:spacing w:line="316" w:lineRule="exact"/>
              <w:ind w:firstLine="620"/>
              <w:jc w:val="both"/>
            </w:pPr>
            <w:r>
              <w:t>（四）</w:t>
            </w:r>
            <w:r>
              <w:tab/>
            </w:r>
            <w:r>
              <w:t>拒绝提供情况、提供虚假情况或者转移、隐匿、毁弃原始统计记录、统计台账、统计报表以及与统计有关的其他资料的。</w:t>
            </w:r>
          </w:p>
          <w:p>
            <w:pPr>
              <w:pStyle w:val="23"/>
              <w:spacing w:line="316" w:lineRule="exact"/>
              <w:ind w:firstLine="620"/>
              <w:jc w:val="both"/>
            </w:pPr>
            <w:r>
              <w:t>《统计执法检査规定》（国家统计局令第</w:t>
            </w:r>
            <w:r>
              <w:rPr>
                <w:rFonts w:ascii="Times New Roman" w:hAnsi="Times New Roman" w:eastAsia="Times New Roman" w:cs="Times New Roman"/>
                <w:b/>
                <w:bCs/>
                <w:sz w:val="22"/>
                <w:szCs w:val="22"/>
              </w:rPr>
              <w:t>9</w:t>
            </w:r>
            <w:r>
              <w:t>号）</w:t>
            </w:r>
          </w:p>
          <w:p>
            <w:pPr>
              <w:pStyle w:val="23"/>
              <w:spacing w:line="316" w:lineRule="exact"/>
              <w:jc w:val="both"/>
            </w:pPr>
            <w:r>
              <w:t>第三十八条 任何单位和个人有下列行为之一的，由统计执法检查机关责令改正，予以通报批评，并可以对负有直接责任的主管人员和其他直接责任人员依法给予行政处分或提请有关机关给予行政处分；违反《中华人民共和国治安管理处罚法》的，由公安机关依法给予行政处罚；涉嫌犯罪的，移送司法机关依法追究刑事责任：</w:t>
            </w:r>
          </w:p>
        </w:tc>
        <w:tc>
          <w:tcPr>
            <w:tcW w:w="1932"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lang w:eastAsia="zh-CN"/>
              </w:rPr>
            </w:pPr>
          </w:p>
        </w:tc>
      </w:tr>
    </w:tbl>
    <w:p>
      <w:pPr>
        <w:rPr>
          <w:lang w:eastAsia="zh-CN"/>
        </w:rPr>
        <w:sectPr>
          <w:footerReference r:id="rId9" w:type="default"/>
          <w:footerReference r:id="rId10" w:type="even"/>
          <w:pgSz w:w="16840" w:h="11900" w:orient="landscape"/>
          <w:pgMar w:top="1814" w:right="1154" w:bottom="1546" w:left="536" w:header="1386" w:footer="3" w:gutter="0"/>
          <w:cols w:space="720" w:num="1"/>
          <w:docGrid w:linePitch="360" w:charSpace="0"/>
        </w:sectPr>
      </w:pPr>
    </w:p>
    <w:tbl>
      <w:tblPr>
        <w:tblStyle w:val="6"/>
        <w:tblW w:w="0" w:type="auto"/>
        <w:jc w:val="center"/>
        <w:tblLayout w:type="fixed"/>
        <w:tblCellMar>
          <w:top w:w="0" w:type="dxa"/>
          <w:left w:w="10" w:type="dxa"/>
          <w:bottom w:w="0" w:type="dxa"/>
          <w:right w:w="10" w:type="dxa"/>
        </w:tblCellMar>
      </w:tblPr>
      <w:tblGrid>
        <w:gridCol w:w="2088"/>
        <w:gridCol w:w="11070"/>
        <w:gridCol w:w="1950"/>
      </w:tblGrid>
      <w:tr>
        <w:tblPrEx>
          <w:tblCellMar>
            <w:top w:w="0" w:type="dxa"/>
            <w:left w:w="10" w:type="dxa"/>
            <w:bottom w:w="0" w:type="dxa"/>
            <w:right w:w="10" w:type="dxa"/>
          </w:tblCellMar>
        </w:tblPrEx>
        <w:trPr>
          <w:trHeight w:val="396" w:hRule="exact"/>
          <w:jc w:val="center"/>
        </w:trPr>
        <w:tc>
          <w:tcPr>
            <w:tcW w:w="2088" w:type="dxa"/>
            <w:tcBorders>
              <w:top w:val="single" w:color="auto" w:sz="4" w:space="0"/>
              <w:left w:val="single" w:color="auto" w:sz="4" w:space="0"/>
            </w:tcBorders>
            <w:shd w:val="clear" w:color="auto" w:fill="FFFFFF"/>
            <w:vAlign w:val="bottom"/>
          </w:tcPr>
          <w:p>
            <w:pPr>
              <w:pStyle w:val="23"/>
              <w:spacing w:line="240" w:lineRule="auto"/>
              <w:ind w:firstLine="0"/>
              <w:jc w:val="center"/>
            </w:pPr>
            <w:r>
              <w:t>惩戒措施</w:t>
            </w:r>
          </w:p>
        </w:tc>
        <w:tc>
          <w:tcPr>
            <w:tcW w:w="11070" w:type="dxa"/>
            <w:tcBorders>
              <w:top w:val="single" w:color="auto" w:sz="4" w:space="0"/>
              <w:left w:val="single" w:color="auto" w:sz="4" w:space="0"/>
            </w:tcBorders>
            <w:shd w:val="clear" w:color="auto" w:fill="FFFFFF"/>
            <w:vAlign w:val="bottom"/>
          </w:tcPr>
          <w:p>
            <w:pPr>
              <w:pStyle w:val="23"/>
              <w:spacing w:line="240" w:lineRule="auto"/>
              <w:ind w:firstLine="0"/>
              <w:jc w:val="center"/>
            </w:pPr>
            <w:r>
              <w:t>法律及政策依据</w:t>
            </w:r>
          </w:p>
        </w:tc>
        <w:tc>
          <w:tcPr>
            <w:tcW w:w="1950" w:type="dxa"/>
            <w:tcBorders>
              <w:top w:val="single" w:color="auto" w:sz="4" w:space="0"/>
              <w:left w:val="single" w:color="auto" w:sz="4" w:space="0"/>
              <w:right w:val="single" w:color="auto" w:sz="4" w:space="0"/>
            </w:tcBorders>
            <w:shd w:val="clear" w:color="auto" w:fill="FFFFFF"/>
            <w:vAlign w:val="bottom"/>
          </w:tcPr>
          <w:p>
            <w:pPr>
              <w:pStyle w:val="23"/>
              <w:spacing w:line="240" w:lineRule="auto"/>
              <w:ind w:firstLine="0"/>
              <w:jc w:val="center"/>
            </w:pPr>
            <w:r>
              <w:t>实施单位</w:t>
            </w:r>
          </w:p>
        </w:tc>
      </w:tr>
      <w:tr>
        <w:tblPrEx>
          <w:tblCellMar>
            <w:top w:w="0" w:type="dxa"/>
            <w:left w:w="10" w:type="dxa"/>
            <w:bottom w:w="0" w:type="dxa"/>
            <w:right w:w="10" w:type="dxa"/>
          </w:tblCellMar>
        </w:tblPrEx>
        <w:trPr>
          <w:trHeight w:val="7854" w:hRule="exact"/>
          <w:jc w:val="center"/>
        </w:trPr>
        <w:tc>
          <w:tcPr>
            <w:tcW w:w="2088" w:type="dxa"/>
            <w:tcBorders>
              <w:top w:val="single" w:color="auto" w:sz="4" w:space="0"/>
              <w:left w:val="single" w:color="auto" w:sz="4" w:space="0"/>
              <w:bottom w:val="single" w:color="auto" w:sz="4" w:space="0"/>
            </w:tcBorders>
            <w:shd w:val="clear" w:color="auto" w:fill="FFFFFF"/>
          </w:tcPr>
          <w:p>
            <w:pPr>
              <w:rPr>
                <w:sz w:val="10"/>
                <w:szCs w:val="10"/>
              </w:rPr>
            </w:pPr>
          </w:p>
        </w:tc>
        <w:tc>
          <w:tcPr>
            <w:tcW w:w="11070" w:type="dxa"/>
            <w:tcBorders>
              <w:top w:val="single" w:color="auto" w:sz="4" w:space="0"/>
              <w:left w:val="single" w:color="auto" w:sz="4" w:space="0"/>
              <w:bottom w:val="single" w:color="auto" w:sz="4" w:space="0"/>
            </w:tcBorders>
            <w:shd w:val="clear" w:color="auto" w:fill="FFFFFF"/>
          </w:tcPr>
          <w:p>
            <w:pPr>
              <w:pStyle w:val="23"/>
              <w:tabs>
                <w:tab w:val="left" w:pos="1026"/>
              </w:tabs>
              <w:spacing w:line="314" w:lineRule="exact"/>
              <w:ind w:firstLine="620"/>
              <w:jc w:val="both"/>
            </w:pPr>
            <w:r>
              <w:t>（一）</w:t>
            </w:r>
            <w:r>
              <w:tab/>
            </w:r>
            <w:r>
              <w:t>在接受统计执法检查时，拒绝提供情况、提供虚假情况或者转移、隐匿、毁弃原始记录、统计台帐、统计报表以及与统计有关的其他资料的；</w:t>
            </w:r>
          </w:p>
          <w:p>
            <w:pPr>
              <w:pStyle w:val="23"/>
              <w:tabs>
                <w:tab w:val="left" w:pos="1104"/>
              </w:tabs>
              <w:spacing w:line="314" w:lineRule="exact"/>
              <w:ind w:firstLine="600"/>
              <w:jc w:val="both"/>
            </w:pPr>
            <w:r>
              <w:t>（二）</w:t>
            </w:r>
            <w:r>
              <w:tab/>
            </w:r>
            <w:r>
              <w:t>使用暴力或者威胁的方法阻挠、抗拒统计执法检查的；</w:t>
            </w:r>
          </w:p>
          <w:p>
            <w:pPr>
              <w:pStyle w:val="23"/>
              <w:tabs>
                <w:tab w:val="left" w:pos="1104"/>
              </w:tabs>
              <w:spacing w:line="314" w:lineRule="exact"/>
              <w:ind w:firstLine="600"/>
              <w:jc w:val="both"/>
            </w:pPr>
            <w:r>
              <w:t>（三）</w:t>
            </w:r>
            <w:r>
              <w:tab/>
            </w:r>
            <w:r>
              <w:t>不按期据实答复统计检查査询书的。</w:t>
            </w:r>
          </w:p>
          <w:p>
            <w:pPr>
              <w:pStyle w:val="23"/>
              <w:spacing w:line="314" w:lineRule="exact"/>
              <w:jc w:val="both"/>
            </w:pPr>
            <w:r>
              <w:t>企业事业组织有前款违法行为之一的，根据《中华人民共和国统计法实施细则》的规定，由统计执法检査机关予以警告，并可以处五万元以下的罚款。个体工商户有前款违法行为之一的，由统计执法检查机关予以警告，并可以处 一万元以下的罚款。</w:t>
            </w:r>
          </w:p>
          <w:p>
            <w:pPr>
              <w:pStyle w:val="23"/>
              <w:spacing w:line="314" w:lineRule="exact"/>
              <w:ind w:firstLine="600"/>
              <w:jc w:val="both"/>
            </w:pPr>
            <w:r>
              <w:t>《统计上严重失信企业信息公示暂行办法》（国家统计局公告</w:t>
            </w:r>
            <w:r>
              <w:rPr>
                <w:rFonts w:ascii="Times New Roman" w:hAnsi="Times New Roman" w:eastAsia="Times New Roman" w:cs="Times New Roman"/>
                <w:b/>
                <w:bCs/>
                <w:sz w:val="22"/>
                <w:szCs w:val="22"/>
              </w:rPr>
              <w:t>2014</w:t>
            </w:r>
            <w:r>
              <w:t>年第</w:t>
            </w:r>
            <w:r>
              <w:rPr>
                <w:rFonts w:ascii="Times New Roman" w:hAnsi="Times New Roman" w:eastAsia="Times New Roman" w:cs="Times New Roman"/>
                <w:b/>
                <w:bCs/>
                <w:sz w:val="22"/>
                <w:szCs w:val="22"/>
              </w:rPr>
              <w:t>3</w:t>
            </w:r>
            <w:r>
              <w:t>号）</w:t>
            </w:r>
          </w:p>
          <w:p>
            <w:pPr>
              <w:pStyle w:val="23"/>
              <w:spacing w:line="314" w:lineRule="exact"/>
              <w:jc w:val="both"/>
            </w:pPr>
            <w:r>
              <w:t>第二条</w:t>
            </w:r>
            <w:r>
              <w:rPr>
                <w:rFonts w:hint="eastAsia" w:eastAsiaTheme="minorEastAsia"/>
                <w:lang w:eastAsia="zh-CN"/>
              </w:rPr>
              <w:t xml:space="preserve"> </w:t>
            </w:r>
            <w:r>
              <w:t>本办法所称统计上严重失信企业，是指在依法开展的政府统计调查中，有下列情形之一的企业：</w:t>
            </w:r>
          </w:p>
          <w:p>
            <w:pPr>
              <w:pStyle w:val="23"/>
              <w:spacing w:line="314" w:lineRule="exact"/>
              <w:ind w:firstLine="600"/>
              <w:jc w:val="both"/>
            </w:pPr>
            <w:r>
              <w:rPr>
                <w:lang w:val="en-US" w:eastAsia="zh-CN" w:bidi="en-US"/>
              </w:rPr>
              <w:t>（</w:t>
            </w:r>
            <w:r>
              <w:t>一</w:t>
            </w:r>
            <w:r>
              <w:rPr>
                <w:lang w:val="en-US" w:eastAsia="zh-CN" w:bidi="en-US"/>
              </w:rPr>
              <w:t>）</w:t>
            </w:r>
            <w:r>
              <w:rPr>
                <w:rFonts w:hint="eastAsia" w:eastAsiaTheme="minorEastAsia"/>
                <w:lang w:val="en-US" w:eastAsia="zh-CN" w:bidi="en-US"/>
              </w:rPr>
              <w:t xml:space="preserve"> </w:t>
            </w:r>
            <w:r>
              <w:t>编造虚假统计数据；</w:t>
            </w:r>
          </w:p>
          <w:p>
            <w:pPr>
              <w:pStyle w:val="23"/>
              <w:tabs>
                <w:tab w:val="left" w:pos="1110"/>
              </w:tabs>
              <w:spacing w:line="314" w:lineRule="exact"/>
              <w:ind w:firstLine="600"/>
              <w:jc w:val="both"/>
            </w:pPr>
            <w:r>
              <w:t>（二）</w:t>
            </w:r>
            <w:r>
              <w:tab/>
            </w:r>
            <w:r>
              <w:t>虚报、瞒报统计数据数额较大或者虚报率、瞒报率较高；</w:t>
            </w:r>
          </w:p>
          <w:p>
            <w:pPr>
              <w:pStyle w:val="23"/>
              <w:tabs>
                <w:tab w:val="left" w:pos="1116"/>
              </w:tabs>
              <w:spacing w:line="314" w:lineRule="exact"/>
              <w:ind w:firstLine="600"/>
              <w:jc w:val="both"/>
            </w:pPr>
            <w:r>
              <w:t>（三）</w:t>
            </w:r>
            <w:r>
              <w:tab/>
            </w:r>
            <w:r>
              <w:t>有其他严重统计违法行为，应当受到行政处罚。</w:t>
            </w:r>
          </w:p>
          <w:p>
            <w:pPr>
              <w:pStyle w:val="23"/>
              <w:spacing w:line="314" w:lineRule="exact"/>
              <w:ind w:left="500" w:firstLine="0"/>
              <w:jc w:val="both"/>
              <w:rPr>
                <w:rFonts w:hint="eastAsia" w:eastAsiaTheme="minorEastAsia"/>
                <w:lang w:eastAsia="zh-CN"/>
              </w:rPr>
            </w:pPr>
            <w:r>
              <w:t>第三条</w:t>
            </w:r>
            <w:r>
              <w:rPr>
                <w:rFonts w:hint="eastAsia" w:eastAsiaTheme="minorEastAsia"/>
                <w:lang w:eastAsia="zh-CN"/>
              </w:rPr>
              <w:t xml:space="preserve"> </w:t>
            </w:r>
            <w:r>
              <w:t xml:space="preserve">对依法认定的统计上严重失信企业，政府统计机构应当通过中国统计信息网，向社会公示失信企业信息。 </w:t>
            </w:r>
          </w:p>
          <w:p>
            <w:pPr>
              <w:pStyle w:val="23"/>
              <w:spacing w:line="314" w:lineRule="exact"/>
              <w:ind w:left="500" w:firstLine="0"/>
              <w:jc w:val="both"/>
            </w:pPr>
            <w:r>
              <w:t>公示的失信企业信息包括企业名称、地址、法定代表人或者主要负责人、统计违法行为、依法处理情况等。</w:t>
            </w:r>
          </w:p>
          <w:p>
            <w:pPr>
              <w:pStyle w:val="23"/>
              <w:spacing w:line="314" w:lineRule="exact"/>
              <w:jc w:val="both"/>
            </w:pPr>
            <w:r>
              <w:t>第五条</w:t>
            </w:r>
            <w:r>
              <w:rPr>
                <w:rFonts w:hint="eastAsia" w:eastAsiaTheme="minorEastAsia"/>
                <w:lang w:eastAsia="zh-CN"/>
              </w:rPr>
              <w:t xml:space="preserve">  </w:t>
            </w:r>
            <w:r>
              <w:t>国家统计局组织管理全国统计上严重失信企业信息公示工作</w:t>
            </w:r>
            <w:r>
              <w:rPr>
                <w:rFonts w:hint="eastAsia" w:eastAsiaTheme="minorEastAsia"/>
                <w:lang w:eastAsia="zh-CN"/>
              </w:rPr>
              <w:t>，</w:t>
            </w:r>
            <w:r>
              <w:t>在中国统计信息网上直接公示特别严重的失信企业信息。</w:t>
            </w:r>
          </w:p>
          <w:p>
            <w:pPr>
              <w:pStyle w:val="23"/>
              <w:spacing w:line="314" w:lineRule="exact"/>
              <w:jc w:val="both"/>
            </w:pPr>
            <w:r>
              <w:t>省级统计机构在其门户网站建立统计上严重失信企业信息公示专栏统一链接到中国统计信息网。省、市、县级统计机构按照《统计法》规定的查处统计违法行为职责分工，在本级或者上级统计机构门户网站向社会公示失信企业信 息，同时加载到省级统计机构失信企业信息公示专栏。</w:t>
            </w:r>
          </w:p>
          <w:p>
            <w:pPr>
              <w:pStyle w:val="23"/>
              <w:spacing w:line="240" w:lineRule="auto"/>
              <w:ind w:firstLineChars="250"/>
            </w:pPr>
            <w:r>
              <w:t>第六条</w:t>
            </w:r>
            <w:r>
              <w:rPr>
                <w:rFonts w:hint="eastAsia" w:eastAsiaTheme="minorEastAsia"/>
                <w:lang w:eastAsia="zh-CN"/>
              </w:rPr>
              <w:t xml:space="preserve">  </w:t>
            </w:r>
            <w:r>
              <w:t>政府统计机构自依法认定失信企业之日起</w:t>
            </w:r>
            <w:r>
              <w:rPr>
                <w:rFonts w:ascii="Times New Roman" w:hAnsi="Times New Roman" w:eastAsia="Times New Roman" w:cs="Times New Roman"/>
                <w:b/>
                <w:bCs/>
                <w:sz w:val="22"/>
                <w:szCs w:val="22"/>
              </w:rPr>
              <w:t>20</w:t>
            </w:r>
            <w:r>
              <w:t>个工作日内公示失信企业信息。</w:t>
            </w:r>
          </w:p>
          <w:p>
            <w:pPr>
              <w:pStyle w:val="23"/>
              <w:jc w:val="both"/>
            </w:pPr>
            <w:r>
              <w:t>对严重失信企业和严重干预企业独立真实报送统计数据的单位、个人，依法追究责任。</w:t>
            </w:r>
          </w:p>
          <w:p>
            <w:pPr>
              <w:pStyle w:val="23"/>
              <w:jc w:val="both"/>
            </w:pPr>
            <w:r>
              <w:t>第七条</w:t>
            </w:r>
            <w:r>
              <w:rPr>
                <w:rFonts w:hint="eastAsia" w:eastAsiaTheme="minorEastAsia"/>
                <w:lang w:eastAsia="zh-CN"/>
              </w:rPr>
              <w:t xml:space="preserve"> </w:t>
            </w:r>
            <w:r>
              <w:t>失信企业信息公示期限为</w:t>
            </w:r>
            <w:r>
              <w:rPr>
                <w:rFonts w:ascii="Times New Roman" w:hAnsi="Times New Roman" w:eastAsia="Times New Roman" w:cs="Times New Roman"/>
                <w:b/>
                <w:bCs/>
                <w:sz w:val="22"/>
                <w:szCs w:val="22"/>
              </w:rPr>
              <w:t>1</w:t>
            </w:r>
            <w:r>
              <w:t>年。在公示期间，企业认真整改到位，经企业申请，履行公示职责的政府统 计机构核实后，可以从公示网站提前移除失信企业信息，但公示时间不得少于</w:t>
            </w:r>
            <w:r>
              <w:rPr>
                <w:rFonts w:ascii="Times New Roman" w:hAnsi="Times New Roman" w:eastAsia="Times New Roman" w:cs="Times New Roman"/>
                <w:b/>
                <w:bCs/>
                <w:sz w:val="22"/>
                <w:szCs w:val="22"/>
              </w:rPr>
              <w:t>6</w:t>
            </w:r>
            <w:r>
              <w:t>个月。企业整改不到位，公示期限延长至</w:t>
            </w:r>
            <w:r>
              <w:rPr>
                <w:rFonts w:ascii="Times New Roman" w:hAnsi="Times New Roman" w:eastAsia="Times New Roman" w:cs="Times New Roman"/>
                <w:b/>
                <w:bCs/>
                <w:sz w:val="22"/>
                <w:szCs w:val="22"/>
              </w:rPr>
              <w:t>2</w:t>
            </w:r>
            <w:r>
              <w:t>年。</w:t>
            </w:r>
          </w:p>
          <w:p>
            <w:pPr>
              <w:pStyle w:val="23"/>
              <w:spacing w:line="312" w:lineRule="exact"/>
              <w:ind w:firstLine="0"/>
              <w:jc w:val="both"/>
            </w:pPr>
            <w:r>
              <w:t>在失信企业信息公示期间，政府统计机构应当重点检査企业遵守统计法情况，再次发现企业有统计违法行为的，公示期限延长至</w:t>
            </w:r>
            <w:r>
              <w:rPr>
                <w:rFonts w:ascii="Times New Roman" w:hAnsi="Times New Roman" w:eastAsia="Times New Roman" w:cs="Times New Roman"/>
                <w:b/>
                <w:bCs/>
                <w:sz w:val="22"/>
                <w:szCs w:val="22"/>
              </w:rPr>
              <w:t>2</w:t>
            </w:r>
            <w:r>
              <w:t>年。</w:t>
            </w:r>
          </w:p>
          <w:p>
            <w:pPr>
              <w:pStyle w:val="23"/>
              <w:spacing w:line="314" w:lineRule="exact"/>
              <w:jc w:val="both"/>
            </w:pPr>
          </w:p>
        </w:tc>
        <w:tc>
          <w:tcPr>
            <w:tcW w:w="1950"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lang w:eastAsia="zh-CN"/>
              </w:rPr>
            </w:pPr>
          </w:p>
        </w:tc>
      </w:tr>
    </w:tbl>
    <w:p>
      <w:pPr>
        <w:spacing w:line="1" w:lineRule="exact"/>
        <w:rPr>
          <w:sz w:val="2"/>
          <w:szCs w:val="2"/>
          <w:lang w:eastAsia="zh-CN"/>
        </w:rPr>
      </w:pPr>
      <w:r>
        <w:rPr>
          <w:lang w:eastAsia="zh-CN"/>
        </w:rPr>
        <w:br w:type="page"/>
      </w:r>
    </w:p>
    <w:tbl>
      <w:tblPr>
        <w:tblStyle w:val="6"/>
        <w:tblW w:w="0" w:type="auto"/>
        <w:jc w:val="center"/>
        <w:tblLayout w:type="fixed"/>
        <w:tblCellMar>
          <w:top w:w="0" w:type="dxa"/>
          <w:left w:w="10" w:type="dxa"/>
          <w:bottom w:w="0" w:type="dxa"/>
          <w:right w:w="10" w:type="dxa"/>
        </w:tblCellMar>
      </w:tblPr>
      <w:tblGrid>
        <w:gridCol w:w="2094"/>
        <w:gridCol w:w="11058"/>
        <w:gridCol w:w="1926"/>
      </w:tblGrid>
      <w:tr>
        <w:tblPrEx>
          <w:tblCellMar>
            <w:top w:w="0" w:type="dxa"/>
            <w:left w:w="10" w:type="dxa"/>
            <w:bottom w:w="0" w:type="dxa"/>
            <w:right w:w="10" w:type="dxa"/>
          </w:tblCellMar>
        </w:tblPrEx>
        <w:trPr>
          <w:trHeight w:val="402" w:hRule="exact"/>
          <w:jc w:val="center"/>
        </w:trPr>
        <w:tc>
          <w:tcPr>
            <w:tcW w:w="2094" w:type="dxa"/>
            <w:tcBorders>
              <w:top w:val="single" w:color="auto" w:sz="4" w:space="0"/>
              <w:left w:val="single" w:color="auto" w:sz="4" w:space="0"/>
            </w:tcBorders>
            <w:shd w:val="clear" w:color="auto" w:fill="FFFFFF"/>
            <w:vAlign w:val="bottom"/>
          </w:tcPr>
          <w:p>
            <w:pPr>
              <w:pStyle w:val="23"/>
              <w:spacing w:line="240" w:lineRule="auto"/>
              <w:ind w:firstLine="0"/>
              <w:jc w:val="center"/>
            </w:pPr>
            <w:r>
              <w:t>惩戒措施</w:t>
            </w:r>
          </w:p>
        </w:tc>
        <w:tc>
          <w:tcPr>
            <w:tcW w:w="11058" w:type="dxa"/>
            <w:tcBorders>
              <w:top w:val="single" w:color="auto" w:sz="4" w:space="0"/>
              <w:left w:val="single" w:color="auto" w:sz="4" w:space="0"/>
            </w:tcBorders>
            <w:shd w:val="clear" w:color="auto" w:fill="FFFFFF"/>
            <w:vAlign w:val="bottom"/>
          </w:tcPr>
          <w:p>
            <w:pPr>
              <w:pStyle w:val="23"/>
              <w:spacing w:line="240" w:lineRule="auto"/>
              <w:ind w:firstLine="0"/>
              <w:jc w:val="center"/>
            </w:pPr>
            <w:r>
              <w:t>法律及政策依据</w:t>
            </w:r>
          </w:p>
        </w:tc>
        <w:tc>
          <w:tcPr>
            <w:tcW w:w="1926" w:type="dxa"/>
            <w:tcBorders>
              <w:top w:val="single" w:color="auto" w:sz="4" w:space="0"/>
              <w:left w:val="single" w:color="auto" w:sz="4" w:space="0"/>
              <w:right w:val="single" w:color="auto" w:sz="4" w:space="0"/>
            </w:tcBorders>
            <w:shd w:val="clear" w:color="auto" w:fill="FFFFFF"/>
            <w:vAlign w:val="bottom"/>
          </w:tcPr>
          <w:p>
            <w:pPr>
              <w:pStyle w:val="23"/>
              <w:spacing w:line="240" w:lineRule="auto"/>
              <w:ind w:firstLine="0"/>
              <w:jc w:val="center"/>
            </w:pPr>
            <w:r>
              <w:t>实施单位</w:t>
            </w:r>
          </w:p>
        </w:tc>
      </w:tr>
      <w:tr>
        <w:tblPrEx>
          <w:tblCellMar>
            <w:top w:w="0" w:type="dxa"/>
            <w:left w:w="10" w:type="dxa"/>
            <w:bottom w:w="0" w:type="dxa"/>
            <w:right w:w="10" w:type="dxa"/>
          </w:tblCellMar>
        </w:tblPrEx>
        <w:trPr>
          <w:trHeight w:val="1254" w:hRule="exact"/>
          <w:jc w:val="center"/>
        </w:trPr>
        <w:tc>
          <w:tcPr>
            <w:tcW w:w="2094" w:type="dxa"/>
            <w:tcBorders>
              <w:top w:val="single" w:color="auto" w:sz="4" w:space="0"/>
              <w:left w:val="single" w:color="auto" w:sz="4" w:space="0"/>
            </w:tcBorders>
            <w:shd w:val="clear" w:color="auto" w:fill="FFFFFF"/>
          </w:tcPr>
          <w:p>
            <w:pPr>
              <w:rPr>
                <w:sz w:val="10"/>
                <w:szCs w:val="10"/>
              </w:rPr>
            </w:pPr>
          </w:p>
        </w:tc>
        <w:tc>
          <w:tcPr>
            <w:tcW w:w="11058" w:type="dxa"/>
            <w:tcBorders>
              <w:top w:val="single" w:color="auto" w:sz="4" w:space="0"/>
              <w:left w:val="single" w:color="auto" w:sz="4" w:space="0"/>
            </w:tcBorders>
            <w:shd w:val="clear" w:color="auto" w:fill="FFFFFF"/>
            <w:vAlign w:val="bottom"/>
          </w:tcPr>
          <w:p>
            <w:pPr>
              <w:pStyle w:val="23"/>
              <w:numPr>
                <w:ilvl w:val="0"/>
                <w:numId w:val="3"/>
              </w:numPr>
              <w:spacing w:line="312" w:lineRule="exact"/>
              <w:ind w:left="0" w:leftChars="0" w:firstLine="0" w:firstLineChars="0"/>
              <w:jc w:val="both"/>
            </w:pPr>
            <w:r>
              <w:rPr>
                <w:rFonts w:hint="eastAsia" w:eastAsiaTheme="minorEastAsia"/>
                <w:lang w:eastAsia="zh-CN"/>
              </w:rPr>
              <w:t xml:space="preserve"> </w:t>
            </w:r>
            <w:r>
              <w:t>政府统计机构应当按照《企业信息公示暂行条例》《社会信用体系建设规划纲要</w:t>
            </w:r>
            <w:r>
              <w:rPr>
                <w:rFonts w:hint="eastAsia" w:ascii="宋体" w:hAnsi="宋体" w:eastAsia="宋体" w:cs="宋体"/>
                <w:b/>
                <w:bCs/>
                <w:sz w:val="22"/>
                <w:szCs w:val="22"/>
                <w:lang w:val="en-US" w:eastAsia="zh-CN" w:bidi="en-US"/>
              </w:rPr>
              <w:t>（</w:t>
            </w:r>
            <w:r>
              <w:rPr>
                <w:rFonts w:ascii="Times New Roman" w:hAnsi="Times New Roman" w:eastAsia="Times New Roman" w:cs="Times New Roman"/>
                <w:b/>
                <w:bCs/>
                <w:sz w:val="22"/>
                <w:szCs w:val="22"/>
                <w:lang w:val="en-US" w:eastAsia="zh-CN" w:bidi="en-US"/>
              </w:rPr>
              <w:t>2014—2020</w:t>
            </w:r>
            <w:r>
              <w:t>年）》等国家有关规定，将统计上严重失信企业信息纳入金融、工商等行业和部门信用信息系统，与企业融资、政府补贴、工商 注册管理等挂钩。</w:t>
            </w:r>
          </w:p>
          <w:p>
            <w:pPr>
              <w:pStyle w:val="23"/>
              <w:numPr>
                <w:ilvl w:val="0"/>
                <w:numId w:val="0"/>
              </w:numPr>
              <w:spacing w:line="312" w:lineRule="exact"/>
              <w:ind w:leftChars="0"/>
              <w:jc w:val="both"/>
            </w:pPr>
          </w:p>
        </w:tc>
        <w:tc>
          <w:tcPr>
            <w:tcW w:w="1926"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2184" w:hRule="exact"/>
          <w:jc w:val="center"/>
        </w:trPr>
        <w:tc>
          <w:tcPr>
            <w:tcW w:w="2094" w:type="dxa"/>
            <w:tcBorders>
              <w:top w:val="single" w:color="auto" w:sz="4" w:space="0"/>
              <w:left w:val="single" w:color="auto" w:sz="4" w:space="0"/>
            </w:tcBorders>
            <w:shd w:val="clear" w:color="auto" w:fill="FFFFFF"/>
            <w:vAlign w:val="center"/>
          </w:tcPr>
          <w:p>
            <w:pPr>
              <w:pStyle w:val="23"/>
              <w:ind w:firstLine="220"/>
              <w:jc w:val="both"/>
            </w:pPr>
            <w:r>
              <w:t>（二）依法依规限制 取得政府性资金支持。</w:t>
            </w:r>
          </w:p>
        </w:tc>
        <w:tc>
          <w:tcPr>
            <w:tcW w:w="11058" w:type="dxa"/>
            <w:tcBorders>
              <w:top w:val="single" w:color="auto" w:sz="4" w:space="0"/>
              <w:left w:val="single" w:color="auto" w:sz="4" w:space="0"/>
            </w:tcBorders>
            <w:shd w:val="clear" w:color="auto" w:fill="FFFFFF"/>
            <w:vAlign w:val="bottom"/>
          </w:tcPr>
          <w:p>
            <w:pPr>
              <w:pStyle w:val="23"/>
              <w:spacing w:line="309" w:lineRule="exact"/>
              <w:ind w:firstLine="600"/>
              <w:jc w:val="both"/>
            </w:pPr>
            <w:r>
              <w:t>《国务院关于印发社会信用体系建设规划纲要</w:t>
            </w:r>
            <w:r>
              <w:rPr>
                <w:rFonts w:ascii="Times New Roman" w:hAnsi="Times New Roman" w:eastAsia="Times New Roman" w:cs="Times New Roman"/>
                <w:b/>
                <w:bCs/>
                <w:sz w:val="22"/>
                <w:szCs w:val="22"/>
                <w:lang w:val="en-US" w:eastAsia="zh-CN" w:bidi="en-US"/>
              </w:rPr>
              <w:t>（2014—2020</w:t>
            </w:r>
            <w:r>
              <w:t>年）的通知》（国发〔</w:t>
            </w:r>
            <w:r>
              <w:rPr>
                <w:rFonts w:ascii="Times New Roman" w:hAnsi="Times New Roman" w:eastAsia="Times New Roman" w:cs="Times New Roman"/>
                <w:b/>
                <w:bCs/>
                <w:sz w:val="22"/>
                <w:szCs w:val="22"/>
              </w:rPr>
              <w:t>2014） 21</w:t>
            </w:r>
            <w:r>
              <w:t>号）</w:t>
            </w:r>
          </w:p>
          <w:p>
            <w:pPr>
              <w:pStyle w:val="23"/>
              <w:spacing w:line="309" w:lineRule="exact"/>
              <w:jc w:val="both"/>
            </w:pPr>
            <w:r>
              <w:t>发挥政府诚信建设示范作用。各级人民政府首先要加强自身诚信建设，以政府的诚信施政，带动全社会诚信意识的树立和诚信水平的提高。在行政许可、政府釆购、招标投标、劳动就业、社会保障、科研管理、干部选拔任用和管 理监督、申请政府资金支持等领域，率先使用信用信息和信用产品，培育信用服务市场发展。</w:t>
            </w:r>
          </w:p>
          <w:p>
            <w:pPr>
              <w:pStyle w:val="23"/>
              <w:spacing w:line="309" w:lineRule="exact"/>
              <w:jc w:val="both"/>
            </w:pPr>
            <w: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 政策扶持等方面实施信用分类监管，结合监管对象的失信类别和程度，使失信者受到惩戒。</w:t>
            </w:r>
          </w:p>
        </w:tc>
        <w:tc>
          <w:tcPr>
            <w:tcW w:w="1926" w:type="dxa"/>
            <w:tcBorders>
              <w:top w:val="single" w:color="auto" w:sz="4" w:space="0"/>
              <w:left w:val="single" w:color="auto" w:sz="4" w:space="0"/>
              <w:right w:val="single" w:color="auto" w:sz="4" w:space="0"/>
            </w:tcBorders>
            <w:shd w:val="clear" w:color="auto" w:fill="FFFFFF"/>
            <w:vAlign w:val="center"/>
          </w:tcPr>
          <w:p>
            <w:pPr>
              <w:pStyle w:val="23"/>
              <w:spacing w:after="60" w:line="240" w:lineRule="auto"/>
            </w:pPr>
            <w:r>
              <w:t>财政部、</w:t>
            </w:r>
          </w:p>
          <w:p>
            <w:pPr>
              <w:pStyle w:val="23"/>
              <w:spacing w:line="240" w:lineRule="auto"/>
              <w:ind w:firstLine="0"/>
              <w:jc w:val="center"/>
            </w:pPr>
            <w:r>
              <w:t>国家发展改革委</w:t>
            </w:r>
          </w:p>
        </w:tc>
      </w:tr>
      <w:tr>
        <w:tblPrEx>
          <w:tblCellMar>
            <w:top w:w="0" w:type="dxa"/>
            <w:left w:w="10" w:type="dxa"/>
            <w:bottom w:w="0" w:type="dxa"/>
            <w:right w:w="10" w:type="dxa"/>
          </w:tblCellMar>
        </w:tblPrEx>
        <w:trPr>
          <w:trHeight w:val="4308" w:hRule="exact"/>
          <w:jc w:val="center"/>
        </w:trPr>
        <w:tc>
          <w:tcPr>
            <w:tcW w:w="2094" w:type="dxa"/>
            <w:tcBorders>
              <w:top w:val="single" w:color="auto" w:sz="4" w:space="0"/>
              <w:left w:val="single" w:color="auto" w:sz="4" w:space="0"/>
              <w:bottom w:val="single" w:color="auto" w:sz="4" w:space="0"/>
            </w:tcBorders>
            <w:shd w:val="clear" w:color="auto" w:fill="FFFFFF"/>
            <w:vAlign w:val="center"/>
          </w:tcPr>
          <w:p>
            <w:pPr>
              <w:pStyle w:val="23"/>
              <w:spacing w:line="324" w:lineRule="exact"/>
              <w:ind w:firstLine="220"/>
              <w:jc w:val="both"/>
            </w:pPr>
            <w:r>
              <w:t>（三）依法限制参与 建设工程招投标。</w:t>
            </w:r>
          </w:p>
        </w:tc>
        <w:tc>
          <w:tcPr>
            <w:tcW w:w="11058" w:type="dxa"/>
            <w:tcBorders>
              <w:top w:val="single" w:color="auto" w:sz="4" w:space="0"/>
              <w:left w:val="single" w:color="auto" w:sz="4" w:space="0"/>
              <w:bottom w:val="single" w:color="auto" w:sz="4" w:space="0"/>
            </w:tcBorders>
            <w:shd w:val="clear" w:color="auto" w:fill="FFFFFF"/>
            <w:vAlign w:val="center"/>
          </w:tcPr>
          <w:p>
            <w:pPr>
              <w:pStyle w:val="23"/>
              <w:spacing w:line="317" w:lineRule="exact"/>
              <w:ind w:firstLine="600"/>
              <w:jc w:val="both"/>
            </w:pPr>
            <w:r>
              <w:t>《国务院关于促进市场公平竞争维护市场正常秩序的若干意见》（国发</w:t>
            </w:r>
            <w:r>
              <w:rPr>
                <w:rFonts w:ascii="Times New Roman" w:hAnsi="Times New Roman" w:eastAsia="Times New Roman" w:cs="Times New Roman"/>
                <w:b/>
                <w:bCs/>
                <w:sz w:val="22"/>
                <w:szCs w:val="22"/>
              </w:rPr>
              <w:t>（2014） 20</w:t>
            </w:r>
            <w:r>
              <w:t>号）</w:t>
            </w:r>
          </w:p>
          <w:p>
            <w:pPr>
              <w:pStyle w:val="23"/>
              <w:spacing w:line="317" w:lineRule="exact"/>
              <w:ind w:firstLine="600"/>
              <w:jc w:val="both"/>
            </w:pPr>
            <w:r>
              <w:t>（十五）建立健全守信激励和失信惩戒机制。将市场主体的信用信息作为实施行政管理的重要参考。根据市场主 体信用状况实行分类分级、动态监管，建立健全经营异常名录制度，对违背市场竞争原则和侵犯消费者、劳动者合法 权益的市场主体建立</w:t>
            </w:r>
            <w:r>
              <w:rPr>
                <w:lang w:val="zh-CN" w:eastAsia="zh-CN" w:bidi="zh-CN"/>
              </w:rPr>
              <w:t>“黑</w:t>
            </w:r>
            <w:r>
              <w:t>名单”制度。（工商总局牵头负责）对守信主体予以支持和激励，对失信主体在经营、投融资、取得政府供应土地、进出口、出入境、注册新公司、工程招投标、政府釆购、获得荣誉、安全许可、生产许可、 从业任职资格、资质审核等方面依法予以限制或禁止，对严重违法失信主体实行市场禁入制度。（各相关市场监管部 门按职责分工分别负责）</w:t>
            </w:r>
          </w:p>
          <w:p>
            <w:pPr>
              <w:pStyle w:val="23"/>
              <w:spacing w:line="317" w:lineRule="exact"/>
              <w:ind w:firstLine="600"/>
              <w:jc w:val="both"/>
            </w:pPr>
            <w:r>
              <w:t>《国务院关于印发社会信用体系建设规划纲要</w:t>
            </w:r>
            <w:r>
              <w:rPr>
                <w:rFonts w:ascii="Times New Roman" w:hAnsi="Times New Roman" w:eastAsia="Times New Roman" w:cs="Times New Roman"/>
                <w:b/>
                <w:bCs/>
                <w:sz w:val="22"/>
                <w:szCs w:val="22"/>
                <w:lang w:val="en-US" w:eastAsia="zh-CN" w:bidi="en-US"/>
              </w:rPr>
              <w:t>（2014—2020</w:t>
            </w:r>
            <w:r>
              <w:t>年）的通知》（国发〔</w:t>
            </w:r>
            <w:r>
              <w:rPr>
                <w:rFonts w:ascii="Times New Roman" w:hAnsi="Times New Roman" w:eastAsia="Times New Roman" w:cs="Times New Roman"/>
                <w:b/>
                <w:bCs/>
                <w:sz w:val="22"/>
                <w:szCs w:val="22"/>
              </w:rPr>
              <w:t>2014） 21</w:t>
            </w:r>
            <w:r>
              <w:t>号）</w:t>
            </w:r>
          </w:p>
          <w:p>
            <w:pPr>
              <w:pStyle w:val="23"/>
              <w:spacing w:line="317" w:lineRule="exact"/>
              <w:jc w:val="both"/>
            </w:pPr>
            <w:r>
              <w:t>招标投标领域信用建设。扩大招标投标信用信息公开和共享范围，建立涵盖招标投标情况的信用评价指标和评价标准体系，健全招标投标信用信息公开和共享制度。进一步贯彻落实招标投标违法行为记录公告制度，推动完善奖惩 联动机制。依托电子招标投标系统及其公共服务平台，实现招标投标和合同履行等信用信息的互联互通、实时交换和 整合共享。鼓励市场主体运用基本信用信息和第三方信用评价结果，并将其作为投标人资格审查、评标、定标和合同 签订的重要依据。</w:t>
            </w:r>
          </w:p>
        </w:tc>
        <w:tc>
          <w:tcPr>
            <w:tcW w:w="192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76" w:lineRule="exact"/>
              <w:ind w:firstLine="0"/>
              <w:jc w:val="center"/>
            </w:pPr>
            <w:r>
              <w:t>国家发展改革委等</w:t>
            </w:r>
          </w:p>
          <w:p>
            <w:pPr>
              <w:pStyle w:val="23"/>
              <w:spacing w:line="276" w:lineRule="exact"/>
              <w:ind w:firstLine="0"/>
              <w:jc w:val="center"/>
            </w:pPr>
            <w:r>
              <w:t>有关单位</w:t>
            </w:r>
          </w:p>
        </w:tc>
      </w:tr>
    </w:tbl>
    <w:p>
      <w:pPr>
        <w:spacing w:line="1" w:lineRule="exact"/>
        <w:rPr>
          <w:sz w:val="2"/>
          <w:szCs w:val="2"/>
          <w:lang w:eastAsia="zh-CN"/>
        </w:rPr>
      </w:pPr>
      <w:r>
        <w:rPr>
          <w:lang w:eastAsia="zh-CN"/>
        </w:rPr>
        <w:br w:type="page"/>
      </w:r>
    </w:p>
    <w:tbl>
      <w:tblPr>
        <w:tblStyle w:val="6"/>
        <w:tblW w:w="0" w:type="auto"/>
        <w:jc w:val="center"/>
        <w:tblLayout w:type="fixed"/>
        <w:tblCellMar>
          <w:top w:w="0" w:type="dxa"/>
          <w:left w:w="10" w:type="dxa"/>
          <w:bottom w:w="0" w:type="dxa"/>
          <w:right w:w="10" w:type="dxa"/>
        </w:tblCellMar>
      </w:tblPr>
      <w:tblGrid>
        <w:gridCol w:w="2088"/>
        <w:gridCol w:w="11076"/>
        <w:gridCol w:w="1974"/>
      </w:tblGrid>
      <w:tr>
        <w:tblPrEx>
          <w:tblCellMar>
            <w:top w:w="0" w:type="dxa"/>
            <w:left w:w="10" w:type="dxa"/>
            <w:bottom w:w="0" w:type="dxa"/>
            <w:right w:w="10" w:type="dxa"/>
          </w:tblCellMar>
        </w:tblPrEx>
        <w:trPr>
          <w:trHeight w:val="408" w:hRule="exact"/>
          <w:jc w:val="center"/>
        </w:trPr>
        <w:tc>
          <w:tcPr>
            <w:tcW w:w="2088" w:type="dxa"/>
            <w:tcBorders>
              <w:top w:val="single" w:color="auto" w:sz="4" w:space="0"/>
              <w:left w:val="single" w:color="auto" w:sz="4" w:space="0"/>
            </w:tcBorders>
            <w:shd w:val="clear" w:color="auto" w:fill="FFFFFF"/>
            <w:vAlign w:val="bottom"/>
          </w:tcPr>
          <w:p>
            <w:pPr>
              <w:pStyle w:val="23"/>
              <w:spacing w:line="240" w:lineRule="auto"/>
              <w:ind w:firstLine="0"/>
              <w:jc w:val="center"/>
            </w:pPr>
            <w:r>
              <w:t>惩戒措施</w:t>
            </w:r>
          </w:p>
        </w:tc>
        <w:tc>
          <w:tcPr>
            <w:tcW w:w="11076" w:type="dxa"/>
            <w:tcBorders>
              <w:top w:val="single" w:color="auto" w:sz="4" w:space="0"/>
              <w:left w:val="single" w:color="auto" w:sz="4" w:space="0"/>
            </w:tcBorders>
            <w:shd w:val="clear" w:color="auto" w:fill="FFFFFF"/>
            <w:vAlign w:val="bottom"/>
          </w:tcPr>
          <w:p>
            <w:pPr>
              <w:pStyle w:val="23"/>
              <w:spacing w:line="240" w:lineRule="auto"/>
              <w:ind w:firstLine="0"/>
              <w:jc w:val="center"/>
            </w:pPr>
            <w:r>
              <w:t>法律及政策依据</w:t>
            </w:r>
          </w:p>
        </w:tc>
        <w:tc>
          <w:tcPr>
            <w:tcW w:w="1974" w:type="dxa"/>
            <w:tcBorders>
              <w:top w:val="single" w:color="auto" w:sz="4" w:space="0"/>
              <w:left w:val="single" w:color="auto" w:sz="4" w:space="0"/>
              <w:right w:val="single" w:color="auto" w:sz="4" w:space="0"/>
            </w:tcBorders>
            <w:shd w:val="clear" w:color="auto" w:fill="FFFFFF"/>
            <w:vAlign w:val="bottom"/>
          </w:tcPr>
          <w:p>
            <w:pPr>
              <w:pStyle w:val="23"/>
              <w:spacing w:line="240" w:lineRule="auto"/>
              <w:ind w:firstLine="0"/>
              <w:jc w:val="center"/>
            </w:pPr>
            <w:r>
              <w:t>实施单位</w:t>
            </w:r>
          </w:p>
        </w:tc>
      </w:tr>
      <w:tr>
        <w:tblPrEx>
          <w:tblCellMar>
            <w:top w:w="0" w:type="dxa"/>
            <w:left w:w="10" w:type="dxa"/>
            <w:bottom w:w="0" w:type="dxa"/>
            <w:right w:w="10" w:type="dxa"/>
          </w:tblCellMar>
        </w:tblPrEx>
        <w:trPr>
          <w:trHeight w:val="7836" w:hRule="exact"/>
          <w:jc w:val="center"/>
        </w:trPr>
        <w:tc>
          <w:tcPr>
            <w:tcW w:w="2088" w:type="dxa"/>
            <w:tcBorders>
              <w:top w:val="single" w:color="auto" w:sz="4" w:space="0"/>
              <w:left w:val="single" w:color="auto" w:sz="4" w:space="0"/>
              <w:bottom w:val="single" w:color="auto" w:sz="4" w:space="0"/>
            </w:tcBorders>
            <w:shd w:val="clear" w:color="auto" w:fill="FFFFFF"/>
            <w:vAlign w:val="center"/>
          </w:tcPr>
          <w:p>
            <w:pPr>
              <w:pStyle w:val="23"/>
              <w:spacing w:line="310" w:lineRule="exact"/>
              <w:ind w:firstLine="200"/>
              <w:jc w:val="both"/>
            </w:pPr>
            <w:r>
              <w:t>（四）将失信企业及 其相关人员有关信息作为公司债券和 股票发行审核的参 考，从严审核企业债券发行。</w:t>
            </w:r>
          </w:p>
        </w:tc>
        <w:tc>
          <w:tcPr>
            <w:tcW w:w="11076" w:type="dxa"/>
            <w:tcBorders>
              <w:top w:val="single" w:color="auto" w:sz="4" w:space="0"/>
              <w:left w:val="single" w:color="auto" w:sz="4" w:space="0"/>
              <w:bottom w:val="single" w:color="auto" w:sz="4" w:space="0"/>
            </w:tcBorders>
            <w:shd w:val="clear" w:color="auto" w:fill="FFFFFF"/>
          </w:tcPr>
          <w:p>
            <w:pPr>
              <w:pStyle w:val="23"/>
              <w:spacing w:line="310" w:lineRule="exact"/>
              <w:ind w:firstLine="600"/>
              <w:jc w:val="both"/>
            </w:pPr>
            <w:r>
              <w:t>《证券法》</w:t>
            </w:r>
          </w:p>
          <w:p>
            <w:pPr>
              <w:pStyle w:val="23"/>
              <w:spacing w:line="310" w:lineRule="exact"/>
              <w:ind w:firstLine="480"/>
              <w:jc w:val="both"/>
            </w:pPr>
            <w:r>
              <w:t>第十三条</w:t>
            </w:r>
            <w:r>
              <w:rPr>
                <w:rFonts w:hint="eastAsia" w:eastAsiaTheme="minorEastAsia"/>
                <w:lang w:eastAsia="zh-CN"/>
              </w:rPr>
              <w:t xml:space="preserve">  </w:t>
            </w:r>
            <w:r>
              <w:t>公司公开发行新股，应当符合下列条件：</w:t>
            </w:r>
          </w:p>
          <w:p>
            <w:pPr>
              <w:pStyle w:val="23"/>
              <w:spacing w:line="310" w:lineRule="exact"/>
              <w:ind w:firstLine="480"/>
              <w:jc w:val="both"/>
              <w:rPr>
                <w:rFonts w:hint="eastAsia" w:eastAsiaTheme="minorEastAsia"/>
                <w:sz w:val="22"/>
                <w:szCs w:val="22"/>
              </w:rPr>
            </w:pPr>
            <w:r>
              <w:t>（二）最近三年财务会计文件无虚假记载，无其他重大违法行为</w:t>
            </w:r>
            <w:r>
              <w:rPr>
                <w:rFonts w:hint="eastAsia" w:ascii="Times New Roman" w:hAnsi="Times New Roman" w:cs="Times New Roman" w:eastAsiaTheme="minorEastAsia"/>
                <w:b/>
                <w:bCs/>
                <w:sz w:val="22"/>
                <w:szCs w:val="22"/>
                <w:lang w:val="en-US" w:eastAsia="zh-CN" w:bidi="en-US"/>
              </w:rPr>
              <w:t>。</w:t>
            </w:r>
          </w:p>
          <w:p>
            <w:pPr>
              <w:pStyle w:val="23"/>
              <w:spacing w:line="310" w:lineRule="exact"/>
              <w:ind w:firstLine="600"/>
              <w:jc w:val="both"/>
            </w:pPr>
            <w:r>
              <w:t>《国务院关于促进市场公平竞争维护市场正常秩序的若干意见》（国发</w:t>
            </w:r>
            <w:r>
              <w:rPr>
                <w:rFonts w:ascii="Times New Roman" w:hAnsi="Times New Roman" w:eastAsia="Times New Roman" w:cs="Times New Roman"/>
                <w:b/>
                <w:bCs/>
                <w:sz w:val="22"/>
                <w:szCs w:val="22"/>
              </w:rPr>
              <w:t>（2014） 20</w:t>
            </w:r>
            <w:r>
              <w:t>号）</w:t>
            </w:r>
          </w:p>
          <w:p>
            <w:pPr>
              <w:pStyle w:val="23"/>
              <w:spacing w:line="310" w:lineRule="exact"/>
              <w:ind w:firstLine="600"/>
              <w:jc w:val="both"/>
            </w:pPr>
            <w: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 权益的市场主体建立</w:t>
            </w:r>
            <w:r>
              <w:rPr>
                <w:lang w:val="zh-CN" w:eastAsia="zh-CN" w:bidi="zh-CN"/>
              </w:rPr>
              <w:t>“黑名单”</w:t>
            </w:r>
            <w:r>
              <w:t>制度。（工商总局牵头负责）对守信主体予以支持和激励，对失信主体在经营、投融资、取得政府供应土地、进出口、出入境、注册新公司、工程招投标、政府采购、获得荣誉、安全许可、生产许可、 从业任职资格、资质审核等方面依法予以限制或禁止，对严重违法失信主体实行市场禁入制度。（各相关市场监管部 门按职责分工分别负责）</w:t>
            </w:r>
          </w:p>
          <w:p>
            <w:pPr>
              <w:pStyle w:val="23"/>
              <w:spacing w:line="310" w:lineRule="exact"/>
              <w:ind w:firstLine="600"/>
              <w:jc w:val="both"/>
            </w:pPr>
            <w:r>
              <w:t>《国家发展改革委办公厅关于进一步改进企业债券发行审核工作的通知》（发改办财金</w:t>
            </w:r>
            <w:r>
              <w:rPr>
                <w:rFonts w:ascii="Times New Roman" w:hAnsi="Times New Roman" w:eastAsia="Times New Roman" w:cs="Times New Roman"/>
                <w:b/>
                <w:bCs/>
                <w:sz w:val="22"/>
                <w:szCs w:val="22"/>
              </w:rPr>
              <w:t xml:space="preserve">（2013 </w:t>
            </w:r>
            <w:r>
              <w:t xml:space="preserve">） </w:t>
            </w:r>
            <w:r>
              <w:rPr>
                <w:rFonts w:ascii="Times New Roman" w:hAnsi="Times New Roman" w:eastAsia="Times New Roman" w:cs="Times New Roman"/>
                <w:b/>
                <w:bCs/>
                <w:sz w:val="22"/>
                <w:szCs w:val="22"/>
              </w:rPr>
              <w:t>957</w:t>
            </w:r>
            <w:r>
              <w:t>号）</w:t>
            </w:r>
          </w:p>
          <w:p>
            <w:pPr>
              <w:pStyle w:val="23"/>
              <w:spacing w:line="310" w:lineRule="exact"/>
              <w:ind w:firstLine="680" w:firstLineChars="340"/>
              <w:jc w:val="both"/>
            </w:pPr>
            <w:r>
              <w:t>对于以下两类发债申请，要从严审核，有效防范市场风险。</w:t>
            </w:r>
          </w:p>
          <w:p>
            <w:pPr>
              <w:pStyle w:val="23"/>
              <w:tabs>
                <w:tab w:val="left" w:pos="1110"/>
              </w:tabs>
              <w:spacing w:line="310" w:lineRule="exact"/>
              <w:ind w:firstLine="600"/>
              <w:jc w:val="both"/>
            </w:pPr>
            <w:r>
              <w:t>（一）</w:t>
            </w:r>
            <w:r>
              <w:tab/>
            </w:r>
            <w:r>
              <w:t>募集资金用于产能过剩、高污染、高耗能等国家产业政策限制领域的发债申请。</w:t>
            </w:r>
          </w:p>
          <w:p>
            <w:pPr>
              <w:pStyle w:val="23"/>
              <w:tabs>
                <w:tab w:val="left" w:pos="1116"/>
              </w:tabs>
              <w:spacing w:line="310" w:lineRule="exact"/>
              <w:ind w:firstLine="600"/>
              <w:jc w:val="both"/>
            </w:pPr>
            <w:r>
              <w:t>（二）</w:t>
            </w:r>
            <w:r>
              <w:tab/>
            </w:r>
            <w:r>
              <w:t>企业信用等级较低，负债率高，债券余额较大或运作不规范、资产不实、偿债措施较弱的发债申请。</w:t>
            </w:r>
          </w:p>
          <w:p>
            <w:pPr>
              <w:pStyle w:val="23"/>
              <w:spacing w:line="310" w:lineRule="exact"/>
              <w:ind w:left="220" w:firstLine="380"/>
              <w:jc w:val="both"/>
            </w:pPr>
            <w:r>
              <w:t xml:space="preserve">《国家发展改革委人民银行中央编办关于在行政管理事项中使用信用记录和信用报告的若干意见》（发改财金 </w:t>
            </w:r>
            <w:r>
              <w:rPr>
                <w:rFonts w:ascii="Times New Roman" w:hAnsi="Times New Roman" w:eastAsia="Times New Roman" w:cs="Times New Roman"/>
                <w:b/>
                <w:bCs/>
                <w:sz w:val="22"/>
                <w:szCs w:val="22"/>
              </w:rPr>
              <w:t xml:space="preserve">（2013） 920 </w:t>
            </w:r>
            <w:r>
              <w:t>号）</w:t>
            </w:r>
          </w:p>
          <w:p>
            <w:pPr>
              <w:pStyle w:val="23"/>
              <w:spacing w:line="310" w:lineRule="exact"/>
              <w:jc w:val="both"/>
            </w:pPr>
            <w:r>
              <w:t>对食品药品安全、环境保护、产品质量、医疗卫生、工程建设、教育科研、电子商务、股权投资、融资担保等关系到人民群众切身利益、经济健康发展和社会和谐稳定的重点领域，各级政府、各相关部门应率先推进在行政管理事项中使用相关市场主体的信用记录和信用报告。</w:t>
            </w:r>
          </w:p>
          <w:p>
            <w:pPr>
              <w:pStyle w:val="23"/>
              <w:spacing w:line="310" w:lineRule="exact"/>
              <w:ind w:firstLine="600"/>
              <w:jc w:val="both"/>
            </w:pPr>
            <w:r>
              <w:t>《首次公开发行股票并上市管理办法》（证监会令第</w:t>
            </w:r>
            <w:r>
              <w:rPr>
                <w:rFonts w:ascii="Times New Roman" w:hAnsi="Times New Roman" w:eastAsia="Times New Roman" w:cs="Times New Roman"/>
                <w:b/>
                <w:bCs/>
                <w:sz w:val="22"/>
                <w:szCs w:val="22"/>
              </w:rPr>
              <w:t>122</w:t>
            </w:r>
            <w:r>
              <w:t>号）</w:t>
            </w:r>
          </w:p>
          <w:p>
            <w:pPr>
              <w:pStyle w:val="23"/>
              <w:spacing w:line="310" w:lineRule="exact"/>
              <w:ind w:firstLine="480"/>
              <w:jc w:val="both"/>
            </w:pPr>
            <w:r>
              <w:t>第十八条</w:t>
            </w:r>
            <w:r>
              <w:rPr>
                <w:rFonts w:hint="eastAsia" w:eastAsiaTheme="minorEastAsia"/>
                <w:lang w:eastAsia="zh-CN"/>
              </w:rPr>
              <w:t xml:space="preserve">  </w:t>
            </w:r>
            <w:r>
              <w:t>发行人不得有下列情形：</w:t>
            </w:r>
          </w:p>
          <w:p>
            <w:pPr>
              <w:pStyle w:val="23"/>
              <w:spacing w:line="336" w:lineRule="exact"/>
              <w:ind w:firstLine="600"/>
              <w:jc w:val="both"/>
            </w:pPr>
            <w:r>
              <w:t>（二）最近</w:t>
            </w:r>
            <w:r>
              <w:rPr>
                <w:rFonts w:ascii="Times New Roman" w:hAnsi="Times New Roman" w:eastAsia="Times New Roman" w:cs="Times New Roman"/>
                <w:b/>
                <w:bCs/>
                <w:sz w:val="22"/>
                <w:szCs w:val="22"/>
              </w:rPr>
              <w:t>36</w:t>
            </w:r>
            <w:r>
              <w:t>个月内违反工商、税收、土地、环保、海关以及其他法律、行政法规，受到行政处罚，且情节严重；</w:t>
            </w:r>
          </w:p>
          <w:p>
            <w:pPr>
              <w:pStyle w:val="23"/>
              <w:spacing w:line="310" w:lineRule="exact"/>
              <w:ind w:firstLine="600"/>
              <w:jc w:val="both"/>
            </w:pPr>
            <w:r>
              <w:t>《首次公开发行股票并在创业板上市管理办法》（证监会令第</w:t>
            </w:r>
            <w:r>
              <w:rPr>
                <w:rFonts w:ascii="Times New Roman" w:hAnsi="Times New Roman" w:eastAsia="Times New Roman" w:cs="Times New Roman"/>
                <w:b/>
                <w:bCs/>
                <w:sz w:val="22"/>
                <w:szCs w:val="22"/>
              </w:rPr>
              <w:t>99</w:t>
            </w:r>
            <w:r>
              <w:t>号）</w:t>
            </w:r>
          </w:p>
          <w:p>
            <w:pPr>
              <w:pStyle w:val="23"/>
              <w:spacing w:line="310" w:lineRule="exact"/>
              <w:ind w:firstLine="480"/>
              <w:jc w:val="both"/>
            </w:pPr>
            <w:r>
              <w:t xml:space="preserve">第二十一条 </w:t>
            </w:r>
            <w:r>
              <w:rPr>
                <w:rFonts w:hint="eastAsia" w:eastAsiaTheme="minorEastAsia"/>
                <w:lang w:eastAsia="zh-CN"/>
              </w:rPr>
              <w:t xml:space="preserve"> </w:t>
            </w:r>
            <w:r>
              <w:t>发行人及其控股股东、实际控制人最近三年内不存在损害投资者合法权益和社会公共利益的重大违</w:t>
            </w:r>
          </w:p>
        </w:tc>
        <w:tc>
          <w:tcPr>
            <w:tcW w:w="197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309" w:lineRule="exact"/>
              <w:ind w:firstLine="0"/>
              <w:jc w:val="center"/>
              <w:rPr>
                <w:rFonts w:hint="eastAsia" w:eastAsiaTheme="minorEastAsia"/>
                <w:lang w:eastAsia="zh-CN"/>
              </w:rPr>
            </w:pPr>
            <w:r>
              <w:t>国家发展改革委、</w:t>
            </w:r>
          </w:p>
          <w:p>
            <w:pPr>
              <w:pStyle w:val="23"/>
              <w:spacing w:line="309" w:lineRule="exact"/>
              <w:ind w:firstLine="0"/>
              <w:jc w:val="center"/>
            </w:pPr>
            <w:r>
              <w:t xml:space="preserve"> 人民银行、 </w:t>
            </w:r>
          </w:p>
          <w:p>
            <w:pPr>
              <w:pStyle w:val="23"/>
              <w:spacing w:line="309" w:lineRule="exact"/>
              <w:ind w:firstLine="0"/>
              <w:jc w:val="center"/>
            </w:pPr>
            <w:r>
              <w:t>证监会</w:t>
            </w:r>
          </w:p>
        </w:tc>
      </w:tr>
    </w:tbl>
    <w:p>
      <w:pPr>
        <w:spacing w:line="1" w:lineRule="exact"/>
        <w:rPr>
          <w:sz w:val="2"/>
          <w:szCs w:val="2"/>
          <w:lang w:eastAsia="zh-CN"/>
        </w:rPr>
      </w:pPr>
      <w:r>
        <w:rPr>
          <w:lang w:eastAsia="zh-CN"/>
        </w:rPr>
        <w:br w:type="page"/>
      </w:r>
    </w:p>
    <w:tbl>
      <w:tblPr>
        <w:tblStyle w:val="6"/>
        <w:tblW w:w="0" w:type="auto"/>
        <w:jc w:val="center"/>
        <w:tblLayout w:type="fixed"/>
        <w:tblCellMar>
          <w:top w:w="0" w:type="dxa"/>
          <w:left w:w="10" w:type="dxa"/>
          <w:bottom w:w="0" w:type="dxa"/>
          <w:right w:w="10" w:type="dxa"/>
        </w:tblCellMar>
      </w:tblPr>
      <w:tblGrid>
        <w:gridCol w:w="2094"/>
        <w:gridCol w:w="11064"/>
        <w:gridCol w:w="1932"/>
      </w:tblGrid>
      <w:tr>
        <w:tblPrEx>
          <w:tblCellMar>
            <w:top w:w="0" w:type="dxa"/>
            <w:left w:w="10" w:type="dxa"/>
            <w:bottom w:w="0" w:type="dxa"/>
            <w:right w:w="10" w:type="dxa"/>
          </w:tblCellMar>
        </w:tblPrEx>
        <w:trPr>
          <w:trHeight w:val="402" w:hRule="exact"/>
          <w:jc w:val="center"/>
        </w:trPr>
        <w:tc>
          <w:tcPr>
            <w:tcW w:w="2094" w:type="dxa"/>
            <w:tcBorders>
              <w:top w:val="single" w:color="auto" w:sz="4" w:space="0"/>
              <w:left w:val="single" w:color="auto" w:sz="4" w:space="0"/>
            </w:tcBorders>
            <w:shd w:val="clear" w:color="auto" w:fill="FFFFFF"/>
            <w:vAlign w:val="bottom"/>
          </w:tcPr>
          <w:p>
            <w:pPr>
              <w:pStyle w:val="23"/>
              <w:spacing w:line="240" w:lineRule="auto"/>
              <w:ind w:firstLine="0"/>
              <w:jc w:val="center"/>
            </w:pPr>
            <w:r>
              <w:t>惩戒措施</w:t>
            </w:r>
          </w:p>
        </w:tc>
        <w:tc>
          <w:tcPr>
            <w:tcW w:w="11064" w:type="dxa"/>
            <w:tcBorders>
              <w:top w:val="single" w:color="auto" w:sz="4" w:space="0"/>
              <w:left w:val="single" w:color="auto" w:sz="4" w:space="0"/>
            </w:tcBorders>
            <w:shd w:val="clear" w:color="auto" w:fill="FFFFFF"/>
            <w:vAlign w:val="bottom"/>
          </w:tcPr>
          <w:p>
            <w:pPr>
              <w:pStyle w:val="23"/>
              <w:spacing w:line="240" w:lineRule="auto"/>
              <w:ind w:firstLine="0"/>
              <w:jc w:val="center"/>
            </w:pPr>
            <w:r>
              <w:t>法律及政策依据</w:t>
            </w:r>
          </w:p>
        </w:tc>
        <w:tc>
          <w:tcPr>
            <w:tcW w:w="1932" w:type="dxa"/>
            <w:tcBorders>
              <w:top w:val="single" w:color="auto" w:sz="4" w:space="0"/>
              <w:left w:val="single" w:color="auto" w:sz="4" w:space="0"/>
              <w:right w:val="single" w:color="auto" w:sz="4" w:space="0"/>
            </w:tcBorders>
            <w:shd w:val="clear" w:color="auto" w:fill="FFFFFF"/>
            <w:vAlign w:val="bottom"/>
          </w:tcPr>
          <w:p>
            <w:pPr>
              <w:pStyle w:val="23"/>
              <w:spacing w:line="240" w:lineRule="auto"/>
              <w:ind w:firstLine="0"/>
              <w:jc w:val="center"/>
            </w:pPr>
            <w:r>
              <w:t>实施单位</w:t>
            </w:r>
          </w:p>
        </w:tc>
      </w:tr>
      <w:tr>
        <w:tblPrEx>
          <w:tblCellMar>
            <w:top w:w="0" w:type="dxa"/>
            <w:left w:w="10" w:type="dxa"/>
            <w:bottom w:w="0" w:type="dxa"/>
            <w:right w:w="10" w:type="dxa"/>
          </w:tblCellMar>
        </w:tblPrEx>
        <w:trPr>
          <w:trHeight w:val="2808" w:hRule="exact"/>
          <w:jc w:val="center"/>
        </w:trPr>
        <w:tc>
          <w:tcPr>
            <w:tcW w:w="2094" w:type="dxa"/>
            <w:tcBorders>
              <w:top w:val="single" w:color="auto" w:sz="4" w:space="0"/>
              <w:left w:val="single" w:color="auto" w:sz="4" w:space="0"/>
            </w:tcBorders>
            <w:shd w:val="clear" w:color="auto" w:fill="FFFFFF"/>
          </w:tcPr>
          <w:p>
            <w:pPr>
              <w:rPr>
                <w:sz w:val="10"/>
                <w:szCs w:val="10"/>
              </w:rPr>
            </w:pPr>
          </w:p>
        </w:tc>
        <w:tc>
          <w:tcPr>
            <w:tcW w:w="11064" w:type="dxa"/>
            <w:tcBorders>
              <w:top w:val="single" w:color="auto" w:sz="4" w:space="0"/>
              <w:left w:val="single" w:color="auto" w:sz="4" w:space="0"/>
            </w:tcBorders>
            <w:shd w:val="clear" w:color="auto" w:fill="FFFFFF"/>
            <w:vAlign w:val="bottom"/>
          </w:tcPr>
          <w:p>
            <w:pPr>
              <w:pStyle w:val="23"/>
              <w:spacing w:line="324" w:lineRule="exact"/>
              <w:ind w:firstLine="0"/>
              <w:jc w:val="both"/>
            </w:pPr>
            <w:r>
              <w:t>法行为。</w:t>
            </w:r>
          </w:p>
          <w:p>
            <w:pPr>
              <w:pStyle w:val="23"/>
              <w:spacing w:line="324" w:lineRule="exact"/>
              <w:ind w:firstLine="600"/>
              <w:jc w:val="both"/>
            </w:pPr>
            <w:r>
              <w:t>《上市公司证券发行管理办法》（证监会令第</w:t>
            </w:r>
            <w:r>
              <w:rPr>
                <w:rFonts w:ascii="Times New Roman" w:hAnsi="Times New Roman" w:eastAsia="Times New Roman" w:cs="Times New Roman"/>
                <w:b/>
                <w:bCs/>
                <w:sz w:val="22"/>
                <w:szCs w:val="22"/>
              </w:rPr>
              <w:t>30</w:t>
            </w:r>
            <w:r>
              <w:t>号）</w:t>
            </w:r>
          </w:p>
          <w:p>
            <w:pPr>
              <w:pStyle w:val="23"/>
              <w:spacing w:line="324" w:lineRule="exact"/>
              <w:jc w:val="both"/>
            </w:pPr>
            <w:r>
              <w:t>第九条</w:t>
            </w:r>
            <w:r>
              <w:rPr>
                <w:rFonts w:hint="eastAsia" w:eastAsiaTheme="minorEastAsia"/>
                <w:lang w:eastAsia="zh-CN"/>
              </w:rPr>
              <w:t xml:space="preserve"> </w:t>
            </w:r>
            <w:r>
              <w:t>上市公司最近三十六个月内财务会计文件无虚假记载，且不存在下列重大违法行为：</w:t>
            </w:r>
          </w:p>
          <w:p>
            <w:pPr>
              <w:pStyle w:val="23"/>
              <w:spacing w:line="324" w:lineRule="exact"/>
              <w:ind w:firstLine="620"/>
              <w:jc w:val="both"/>
            </w:pPr>
            <w:r>
              <w:t>（二）违反工商、税收、土地、环保、海关法律、行政法规或规章，受到行政处罚且情节严重，或者受到刑事处罚；</w:t>
            </w:r>
          </w:p>
          <w:p>
            <w:pPr>
              <w:pStyle w:val="23"/>
              <w:spacing w:line="324" w:lineRule="exact"/>
              <w:ind w:firstLine="600"/>
              <w:jc w:val="both"/>
            </w:pPr>
            <w:r>
              <w:t>《公司债券发行与交易管理办法》（证监会令第</w:t>
            </w:r>
            <w:r>
              <w:rPr>
                <w:rFonts w:ascii="Times New Roman" w:hAnsi="Times New Roman" w:eastAsia="Times New Roman" w:cs="Times New Roman"/>
                <w:b/>
                <w:bCs/>
                <w:sz w:val="22"/>
                <w:szCs w:val="22"/>
              </w:rPr>
              <w:t>113</w:t>
            </w:r>
            <w:r>
              <w:t>号）</w:t>
            </w:r>
          </w:p>
          <w:p>
            <w:pPr>
              <w:pStyle w:val="23"/>
              <w:spacing w:line="324" w:lineRule="exact"/>
              <w:jc w:val="both"/>
            </w:pPr>
            <w:r>
              <w:t>第十七条</w:t>
            </w:r>
            <w:r>
              <w:rPr>
                <w:rFonts w:hint="eastAsia" w:eastAsiaTheme="minorEastAsia"/>
                <w:lang w:eastAsia="zh-CN"/>
              </w:rPr>
              <w:t xml:space="preserve"> </w:t>
            </w:r>
            <w:r>
              <w:t>存在下列情形之一的，不得公开发行公司债券：</w:t>
            </w:r>
          </w:p>
          <w:p>
            <w:pPr>
              <w:pStyle w:val="23"/>
              <w:spacing w:line="324" w:lineRule="exact"/>
              <w:ind w:firstLine="600"/>
              <w:jc w:val="both"/>
            </w:pPr>
            <w:r>
              <w:t>（一）最近三十六个月内公司财务会计文件存在虚假记载，或公司存在其他重大违法行为；</w:t>
            </w:r>
          </w:p>
          <w:p>
            <w:pPr>
              <w:pStyle w:val="23"/>
              <w:spacing w:line="324" w:lineRule="exact"/>
              <w:ind w:firstLine="600"/>
              <w:jc w:val="both"/>
            </w:pPr>
            <w:r>
              <w:t>（四）严重损害投资者合法权益和社会公共利益的其他情形。</w:t>
            </w:r>
          </w:p>
        </w:tc>
        <w:tc>
          <w:tcPr>
            <w:tcW w:w="1932"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2184" w:hRule="exact"/>
          <w:jc w:val="center"/>
        </w:trPr>
        <w:tc>
          <w:tcPr>
            <w:tcW w:w="2094" w:type="dxa"/>
            <w:tcBorders>
              <w:top w:val="single" w:color="auto" w:sz="4" w:space="0"/>
              <w:left w:val="single" w:color="auto" w:sz="4" w:space="0"/>
            </w:tcBorders>
            <w:shd w:val="clear" w:color="auto" w:fill="FFFFFF"/>
            <w:vAlign w:val="center"/>
          </w:tcPr>
          <w:p>
            <w:pPr>
              <w:pStyle w:val="23"/>
              <w:spacing w:line="318" w:lineRule="exact"/>
              <w:ind w:firstLine="220"/>
            </w:pPr>
            <w:r>
              <w:t>（五）暂停审批科技 项目。</w:t>
            </w:r>
          </w:p>
        </w:tc>
        <w:tc>
          <w:tcPr>
            <w:tcW w:w="11064" w:type="dxa"/>
            <w:tcBorders>
              <w:top w:val="single" w:color="auto" w:sz="4" w:space="0"/>
              <w:left w:val="single" w:color="auto" w:sz="4" w:space="0"/>
            </w:tcBorders>
            <w:shd w:val="clear" w:color="auto" w:fill="FFFFFF"/>
            <w:vAlign w:val="bottom"/>
          </w:tcPr>
          <w:p>
            <w:pPr>
              <w:pStyle w:val="23"/>
              <w:spacing w:line="309" w:lineRule="exact"/>
              <w:ind w:firstLine="600"/>
              <w:jc w:val="both"/>
            </w:pPr>
            <w:r>
              <w:t>《国务院关于印发社会信用体系建设规划纲要</w:t>
            </w:r>
            <w:r>
              <w:rPr>
                <w:rFonts w:ascii="Times New Roman" w:hAnsi="Times New Roman" w:eastAsia="Times New Roman" w:cs="Times New Roman"/>
                <w:b/>
                <w:bCs/>
                <w:sz w:val="22"/>
                <w:szCs w:val="22"/>
                <w:lang w:val="en-US" w:eastAsia="zh-CN" w:bidi="en-US"/>
              </w:rPr>
              <w:t>（2014-2020</w:t>
            </w:r>
            <w:r>
              <w:t>年）的通知》（国发</w:t>
            </w:r>
            <w:r>
              <w:rPr>
                <w:rFonts w:ascii="Times New Roman" w:hAnsi="Times New Roman" w:eastAsia="Times New Roman" w:cs="Times New Roman"/>
                <w:b/>
                <w:bCs/>
                <w:sz w:val="22"/>
                <w:szCs w:val="22"/>
              </w:rPr>
              <w:t>（2014） 21</w:t>
            </w:r>
            <w:r>
              <w:t>号）</w:t>
            </w:r>
          </w:p>
          <w:p>
            <w:pPr>
              <w:pStyle w:val="23"/>
              <w:spacing w:line="309" w:lineRule="exact"/>
              <w:ind w:firstLine="520"/>
              <w:jc w:val="both"/>
            </w:pPr>
            <w: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 政策扶持等方面实施信用分类监管，结合监管对象的失信类别和程度，使失信者受到惩戒。</w:t>
            </w:r>
          </w:p>
          <w:p>
            <w:pPr>
              <w:pStyle w:val="23"/>
              <w:spacing w:line="309" w:lineRule="exact"/>
              <w:ind w:firstLine="600"/>
              <w:jc w:val="both"/>
            </w:pPr>
            <w:r>
              <w:t>《国家科技计划项目管理暂行办法》（科学技术部令第</w:t>
            </w:r>
            <w:r>
              <w:rPr>
                <w:rFonts w:ascii="Times New Roman" w:hAnsi="Times New Roman" w:eastAsia="Times New Roman" w:cs="Times New Roman"/>
                <w:b/>
                <w:bCs/>
                <w:sz w:val="22"/>
                <w:szCs w:val="22"/>
              </w:rPr>
              <w:t>5</w:t>
            </w:r>
            <w:r>
              <w:t>号）</w:t>
            </w:r>
          </w:p>
          <w:p>
            <w:pPr>
              <w:pStyle w:val="23"/>
              <w:spacing w:line="309" w:lineRule="exact"/>
              <w:jc w:val="both"/>
            </w:pPr>
            <w:r>
              <w:t>第八条 申请项目的申请者（包括单位或个人）应当符合以下基本条件：</w:t>
            </w:r>
          </w:p>
          <w:p>
            <w:pPr>
              <w:pStyle w:val="23"/>
              <w:spacing w:line="309" w:lineRule="exact"/>
              <w:ind w:firstLine="600"/>
              <w:jc w:val="both"/>
            </w:pPr>
            <w:r>
              <w:t>（六）具有完成项目的良好信誉度。</w:t>
            </w:r>
          </w:p>
        </w:tc>
        <w:tc>
          <w:tcPr>
            <w:tcW w:w="1932" w:type="dxa"/>
            <w:tcBorders>
              <w:top w:val="single" w:color="auto" w:sz="4" w:space="0"/>
              <w:left w:val="single" w:color="auto" w:sz="4" w:space="0"/>
              <w:right w:val="single" w:color="auto" w:sz="4" w:space="0"/>
            </w:tcBorders>
            <w:shd w:val="clear" w:color="auto" w:fill="FFFFFF"/>
            <w:vAlign w:val="center"/>
          </w:tcPr>
          <w:p>
            <w:pPr>
              <w:pStyle w:val="23"/>
              <w:spacing w:line="240" w:lineRule="auto"/>
              <w:ind w:firstLine="0"/>
              <w:jc w:val="center"/>
            </w:pPr>
            <w:r>
              <w:t>科技部</w:t>
            </w:r>
          </w:p>
        </w:tc>
      </w:tr>
      <w:tr>
        <w:tblPrEx>
          <w:tblCellMar>
            <w:top w:w="0" w:type="dxa"/>
            <w:left w:w="10" w:type="dxa"/>
            <w:bottom w:w="0" w:type="dxa"/>
            <w:right w:w="10" w:type="dxa"/>
          </w:tblCellMar>
        </w:tblPrEx>
        <w:trPr>
          <w:trHeight w:val="2968" w:hRule="exact"/>
          <w:jc w:val="center"/>
        </w:trPr>
        <w:tc>
          <w:tcPr>
            <w:tcW w:w="2094" w:type="dxa"/>
            <w:tcBorders>
              <w:top w:val="single" w:color="auto" w:sz="4" w:space="0"/>
              <w:left w:val="single" w:color="auto" w:sz="4" w:space="0"/>
              <w:bottom w:val="single" w:color="auto" w:sz="4" w:space="0"/>
            </w:tcBorders>
            <w:shd w:val="clear" w:color="auto" w:fill="FFFFFF"/>
            <w:vAlign w:val="center"/>
          </w:tcPr>
          <w:p>
            <w:pPr>
              <w:pStyle w:val="23"/>
              <w:spacing w:line="324" w:lineRule="exact"/>
              <w:ind w:firstLine="220"/>
            </w:pPr>
            <w:r>
              <w:t>（六）依法限制参与 政府釆购活动。</w:t>
            </w:r>
          </w:p>
        </w:tc>
        <w:tc>
          <w:tcPr>
            <w:tcW w:w="11064" w:type="dxa"/>
            <w:tcBorders>
              <w:top w:val="single" w:color="auto" w:sz="4" w:space="0"/>
              <w:left w:val="single" w:color="auto" w:sz="4" w:space="0"/>
              <w:bottom w:val="single" w:color="auto" w:sz="4" w:space="0"/>
            </w:tcBorders>
            <w:shd w:val="clear" w:color="auto" w:fill="FFFFFF"/>
          </w:tcPr>
          <w:p>
            <w:pPr>
              <w:pStyle w:val="23"/>
              <w:spacing w:after="80" w:line="240" w:lineRule="auto"/>
              <w:ind w:firstLine="600"/>
              <w:jc w:val="both"/>
            </w:pPr>
            <w:r>
              <w:t>《政府釆购法》</w:t>
            </w:r>
          </w:p>
          <w:p>
            <w:pPr>
              <w:pStyle w:val="23"/>
              <w:spacing w:after="80" w:line="240" w:lineRule="auto"/>
              <w:ind w:firstLine="600" w:firstLineChars="300"/>
              <w:jc w:val="both"/>
            </w:pPr>
            <w:r>
              <w:t>第二十二条</w:t>
            </w:r>
            <w:r>
              <w:rPr>
                <w:rFonts w:hint="eastAsia" w:eastAsiaTheme="minorEastAsia"/>
                <w:lang w:eastAsia="zh-CN"/>
              </w:rPr>
              <w:t xml:space="preserve">   </w:t>
            </w:r>
            <w:r>
              <w:t>供应商参加政府釆购活动应当具备下列条件：</w:t>
            </w:r>
          </w:p>
          <w:p>
            <w:pPr>
              <w:pStyle w:val="23"/>
              <w:tabs>
                <w:tab w:val="left" w:pos="1134"/>
              </w:tabs>
              <w:spacing w:after="80" w:line="240" w:lineRule="auto"/>
              <w:ind w:firstLine="600"/>
              <w:jc w:val="both"/>
            </w:pPr>
            <w:r>
              <w:t>（一）</w:t>
            </w:r>
            <w:r>
              <w:tab/>
            </w:r>
            <w:r>
              <w:t>具有独立承担民事责任的能力；</w:t>
            </w:r>
          </w:p>
          <w:p>
            <w:pPr>
              <w:pStyle w:val="23"/>
              <w:tabs>
                <w:tab w:val="left" w:pos="1128"/>
              </w:tabs>
              <w:spacing w:after="80" w:line="240" w:lineRule="auto"/>
              <w:ind w:firstLine="600"/>
              <w:jc w:val="both"/>
            </w:pPr>
            <w:r>
              <w:t>（二）</w:t>
            </w:r>
            <w:r>
              <w:tab/>
            </w:r>
            <w:r>
              <w:t>具有良好的商业信誉和健全的财务会计制度；</w:t>
            </w:r>
          </w:p>
          <w:p>
            <w:pPr>
              <w:pStyle w:val="23"/>
              <w:tabs>
                <w:tab w:val="left" w:pos="1128"/>
              </w:tabs>
              <w:spacing w:after="80" w:line="240" w:lineRule="auto"/>
              <w:ind w:firstLine="600"/>
              <w:jc w:val="both"/>
            </w:pPr>
            <w:r>
              <w:t>（三）</w:t>
            </w:r>
            <w:r>
              <w:tab/>
            </w:r>
            <w:r>
              <w:t>具有履行合同所必需的设备和专业技术能力；</w:t>
            </w:r>
          </w:p>
          <w:p>
            <w:pPr>
              <w:pStyle w:val="23"/>
              <w:tabs>
                <w:tab w:val="left" w:pos="1122"/>
              </w:tabs>
              <w:spacing w:after="80" w:line="240" w:lineRule="auto"/>
              <w:ind w:firstLine="600"/>
              <w:jc w:val="both"/>
            </w:pPr>
            <w:r>
              <w:t>（四）</w:t>
            </w:r>
            <w:r>
              <w:tab/>
            </w:r>
            <w:r>
              <w:t>有依法缴纳税收和社会保障资金的良好记录；</w:t>
            </w:r>
          </w:p>
          <w:p>
            <w:pPr>
              <w:pStyle w:val="23"/>
              <w:tabs>
                <w:tab w:val="left" w:pos="1122"/>
              </w:tabs>
              <w:spacing w:after="80" w:line="240" w:lineRule="auto"/>
              <w:ind w:firstLine="600"/>
              <w:jc w:val="both"/>
            </w:pPr>
            <w:r>
              <w:t>（五）</w:t>
            </w:r>
            <w:r>
              <w:tab/>
            </w:r>
            <w:r>
              <w:t>参加政府采购活动前三年内，在经营活动中没有重大违法记录；</w:t>
            </w:r>
          </w:p>
          <w:p>
            <w:pPr>
              <w:pStyle w:val="23"/>
              <w:tabs>
                <w:tab w:val="left" w:pos="1122"/>
              </w:tabs>
              <w:spacing w:after="80" w:line="240" w:lineRule="auto"/>
              <w:ind w:firstLine="600"/>
              <w:jc w:val="both"/>
            </w:pPr>
            <w:r>
              <w:t>（六）</w:t>
            </w:r>
            <w:r>
              <w:tab/>
            </w:r>
            <w:r>
              <w:t>法律、行政法规规定的其他条件。</w:t>
            </w:r>
          </w:p>
          <w:p>
            <w:pPr>
              <w:pStyle w:val="23"/>
              <w:spacing w:after="80" w:line="240" w:lineRule="auto"/>
              <w:ind w:firstLine="600"/>
              <w:jc w:val="both"/>
            </w:pPr>
            <w:r>
              <w:t>《国务院关于印发社会信用体系建设规划纲要</w:t>
            </w:r>
            <w:r>
              <w:rPr>
                <w:rFonts w:ascii="Times New Roman" w:hAnsi="Times New Roman" w:eastAsia="Times New Roman" w:cs="Times New Roman"/>
                <w:b/>
                <w:bCs/>
                <w:sz w:val="22"/>
                <w:szCs w:val="22"/>
                <w:lang w:val="en-US" w:eastAsia="zh-CN" w:bidi="en-US"/>
              </w:rPr>
              <w:t>（2014—2020</w:t>
            </w:r>
            <w:r>
              <w:t>年）的通知》（国发</w:t>
            </w:r>
            <w:r>
              <w:rPr>
                <w:rFonts w:ascii="Times New Roman" w:hAnsi="Times New Roman" w:eastAsia="Times New Roman" w:cs="Times New Roman"/>
                <w:b/>
                <w:bCs/>
                <w:sz w:val="22"/>
                <w:szCs w:val="22"/>
              </w:rPr>
              <w:t>（2014） 21</w:t>
            </w:r>
            <w:r>
              <w:t>号）</w:t>
            </w:r>
          </w:p>
        </w:tc>
        <w:tc>
          <w:tcPr>
            <w:tcW w:w="193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center"/>
            </w:pPr>
            <w:r>
              <w:t>财政部</w:t>
            </w:r>
          </w:p>
        </w:tc>
      </w:tr>
    </w:tbl>
    <w:p>
      <w:pPr>
        <w:spacing w:line="1" w:lineRule="exact"/>
        <w:rPr>
          <w:sz w:val="2"/>
          <w:szCs w:val="2"/>
        </w:rPr>
      </w:pPr>
      <w:r>
        <w:br w:type="page"/>
      </w:r>
    </w:p>
    <w:tbl>
      <w:tblPr>
        <w:tblStyle w:val="6"/>
        <w:tblW w:w="0" w:type="auto"/>
        <w:jc w:val="center"/>
        <w:tblLayout w:type="fixed"/>
        <w:tblCellMar>
          <w:top w:w="0" w:type="dxa"/>
          <w:left w:w="10" w:type="dxa"/>
          <w:bottom w:w="0" w:type="dxa"/>
          <w:right w:w="10" w:type="dxa"/>
        </w:tblCellMar>
      </w:tblPr>
      <w:tblGrid>
        <w:gridCol w:w="2088"/>
        <w:gridCol w:w="11064"/>
        <w:gridCol w:w="1968"/>
      </w:tblGrid>
      <w:tr>
        <w:tblPrEx>
          <w:tblCellMar>
            <w:top w:w="0" w:type="dxa"/>
            <w:left w:w="10" w:type="dxa"/>
            <w:bottom w:w="0" w:type="dxa"/>
            <w:right w:w="10" w:type="dxa"/>
          </w:tblCellMar>
        </w:tblPrEx>
        <w:trPr>
          <w:trHeight w:val="408" w:hRule="exact"/>
          <w:jc w:val="center"/>
        </w:trPr>
        <w:tc>
          <w:tcPr>
            <w:tcW w:w="2088" w:type="dxa"/>
            <w:tcBorders>
              <w:top w:val="single" w:color="auto" w:sz="4" w:space="0"/>
              <w:left w:val="single" w:color="auto" w:sz="4" w:space="0"/>
            </w:tcBorders>
            <w:shd w:val="clear" w:color="auto" w:fill="FFFFFF"/>
            <w:vAlign w:val="bottom"/>
          </w:tcPr>
          <w:p>
            <w:pPr>
              <w:pStyle w:val="23"/>
              <w:spacing w:line="240" w:lineRule="auto"/>
              <w:ind w:firstLine="0"/>
              <w:jc w:val="center"/>
            </w:pPr>
            <w:r>
              <w:t>惩戒措施</w:t>
            </w:r>
          </w:p>
        </w:tc>
        <w:tc>
          <w:tcPr>
            <w:tcW w:w="11064" w:type="dxa"/>
            <w:tcBorders>
              <w:top w:val="single" w:color="auto" w:sz="4" w:space="0"/>
              <w:left w:val="single" w:color="auto" w:sz="4" w:space="0"/>
            </w:tcBorders>
            <w:shd w:val="clear" w:color="auto" w:fill="FFFFFF"/>
            <w:vAlign w:val="bottom"/>
          </w:tcPr>
          <w:p>
            <w:pPr>
              <w:pStyle w:val="23"/>
              <w:spacing w:line="240" w:lineRule="auto"/>
              <w:ind w:firstLine="0"/>
              <w:jc w:val="center"/>
            </w:pPr>
            <w:r>
              <w:t>法律及政策依据</w:t>
            </w:r>
          </w:p>
        </w:tc>
        <w:tc>
          <w:tcPr>
            <w:tcW w:w="1968" w:type="dxa"/>
            <w:tcBorders>
              <w:top w:val="single" w:color="auto" w:sz="4" w:space="0"/>
              <w:left w:val="single" w:color="auto" w:sz="4" w:space="0"/>
              <w:right w:val="single" w:color="auto" w:sz="4" w:space="0"/>
            </w:tcBorders>
            <w:shd w:val="clear" w:color="auto" w:fill="FFFFFF"/>
            <w:vAlign w:val="bottom"/>
          </w:tcPr>
          <w:p>
            <w:pPr>
              <w:pStyle w:val="23"/>
              <w:spacing w:line="240" w:lineRule="auto"/>
              <w:ind w:firstLine="0"/>
              <w:jc w:val="center"/>
            </w:pPr>
            <w:r>
              <w:t>实施单位</w:t>
            </w:r>
          </w:p>
        </w:tc>
      </w:tr>
      <w:tr>
        <w:tblPrEx>
          <w:tblCellMar>
            <w:top w:w="0" w:type="dxa"/>
            <w:left w:w="10" w:type="dxa"/>
            <w:bottom w:w="0" w:type="dxa"/>
            <w:right w:w="10" w:type="dxa"/>
          </w:tblCellMar>
        </w:tblPrEx>
        <w:trPr>
          <w:trHeight w:val="1578" w:hRule="exact"/>
          <w:jc w:val="center"/>
        </w:trPr>
        <w:tc>
          <w:tcPr>
            <w:tcW w:w="2088" w:type="dxa"/>
            <w:tcBorders>
              <w:top w:val="single" w:color="auto" w:sz="4" w:space="0"/>
              <w:left w:val="single" w:color="auto" w:sz="4" w:space="0"/>
            </w:tcBorders>
            <w:shd w:val="clear" w:color="auto" w:fill="FFFFFF"/>
          </w:tcPr>
          <w:p>
            <w:pPr>
              <w:rPr>
                <w:sz w:val="10"/>
                <w:szCs w:val="10"/>
              </w:rPr>
            </w:pPr>
          </w:p>
        </w:tc>
        <w:tc>
          <w:tcPr>
            <w:tcW w:w="11064" w:type="dxa"/>
            <w:tcBorders>
              <w:top w:val="single" w:color="auto" w:sz="4" w:space="0"/>
              <w:left w:val="single" w:color="auto" w:sz="4" w:space="0"/>
            </w:tcBorders>
            <w:shd w:val="clear" w:color="auto" w:fill="FFFFFF"/>
          </w:tcPr>
          <w:p>
            <w:pPr>
              <w:pStyle w:val="23"/>
              <w:spacing w:line="313" w:lineRule="exact"/>
              <w:jc w:val="both"/>
            </w:pPr>
            <w:r>
              <w:t>政府采购领域信用建设。加强政府釆购信用管理，强化联动惩戒，保护政府釆购当事人的合法权益。制定供应商、评审专家、政府采购代理机构以及相关从业人员的信用记录标准。依法建立政府采购供应商不良行为记录名单，对列 入不良行为记录名单的供应商，在一定期限内禁止参加政府釆购活动。完善政府釆购市场的准入和退出机制，充分利 用工商、税务、金融、检察等其他部门提供的信用信息，加强对政府釆购当事人和相关人员的信用管理。加快建设全 国统一的政府采购管理交易系统，提高政府釆购活动透明度，实现信用信息的统一发布和共享。</w:t>
            </w:r>
          </w:p>
        </w:tc>
        <w:tc>
          <w:tcPr>
            <w:tcW w:w="1968"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3414" w:hRule="exact"/>
          <w:jc w:val="center"/>
        </w:trPr>
        <w:tc>
          <w:tcPr>
            <w:tcW w:w="2088" w:type="dxa"/>
            <w:tcBorders>
              <w:top w:val="single" w:color="auto" w:sz="4" w:space="0"/>
              <w:left w:val="single" w:color="auto" w:sz="4" w:space="0"/>
            </w:tcBorders>
            <w:shd w:val="clear" w:color="auto" w:fill="FFFFFF"/>
            <w:vAlign w:val="center"/>
          </w:tcPr>
          <w:p>
            <w:pPr>
              <w:pStyle w:val="23"/>
              <w:spacing w:line="300" w:lineRule="exact"/>
              <w:ind w:firstLine="200"/>
            </w:pPr>
            <w:r>
              <w:t>（七）依法限制取得 政府供应土地。</w:t>
            </w:r>
          </w:p>
        </w:tc>
        <w:tc>
          <w:tcPr>
            <w:tcW w:w="11064" w:type="dxa"/>
            <w:tcBorders>
              <w:top w:val="single" w:color="auto" w:sz="4" w:space="0"/>
              <w:left w:val="single" w:color="auto" w:sz="4" w:space="0"/>
            </w:tcBorders>
            <w:shd w:val="clear" w:color="auto" w:fill="FFFFFF"/>
          </w:tcPr>
          <w:p>
            <w:pPr>
              <w:pStyle w:val="23"/>
              <w:spacing w:line="310" w:lineRule="exact"/>
              <w:ind w:firstLine="600"/>
              <w:jc w:val="both"/>
            </w:pPr>
            <w:r>
              <w:t>《国务院关于促进市场公平竞争维护市场正常秩序的若干意见》（国发</w:t>
            </w:r>
            <w:r>
              <w:rPr>
                <w:rFonts w:ascii="Times New Roman" w:hAnsi="Times New Roman" w:eastAsia="Times New Roman" w:cs="Times New Roman"/>
                <w:b/>
                <w:bCs/>
                <w:sz w:val="22"/>
                <w:szCs w:val="22"/>
              </w:rPr>
              <w:t>（2014） 20</w:t>
            </w:r>
            <w:r>
              <w:t>号）</w:t>
            </w:r>
          </w:p>
          <w:p>
            <w:pPr>
              <w:pStyle w:val="23"/>
              <w:spacing w:line="310" w:lineRule="exact"/>
              <w:ind w:firstLine="600"/>
              <w:jc w:val="both"/>
            </w:pPr>
            <w: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 权益的市场主体建立</w:t>
            </w:r>
            <w:r>
              <w:rPr>
                <w:lang w:val="zh-CN" w:eastAsia="zh-CN" w:bidi="zh-CN"/>
              </w:rPr>
              <w:t>“黑</w:t>
            </w:r>
            <w:r>
              <w:t>名单”制度。（工商总局牵头负责）对守信主体予以支持和激励，对失信主体在经营、投融资、取得政府供应土地、进出口、出入境、注册新公司、工程招投标、政府釆购、获得荣誉、安全许可、生产许可、 从业任职资格、资质审核等方面依法予以限制或禁止，对严重违法失信主体实行市场禁入制度。（各相关市场监管部 门按职责分工分别负责）</w:t>
            </w:r>
          </w:p>
          <w:p>
            <w:pPr>
              <w:pStyle w:val="23"/>
              <w:spacing w:line="310" w:lineRule="exact"/>
              <w:ind w:firstLine="600"/>
              <w:jc w:val="both"/>
            </w:pPr>
            <w:r>
              <w:t>《国务院关于印发社会信用体系建设规划纲要</w:t>
            </w:r>
            <w:r>
              <w:rPr>
                <w:b/>
                <w:bCs/>
                <w:sz w:val="22"/>
                <w:szCs w:val="22"/>
                <w:lang w:val="en-US" w:eastAsia="zh-CN" w:bidi="en-US"/>
              </w:rPr>
              <w:t>（</w:t>
            </w:r>
            <w:r>
              <w:rPr>
                <w:rFonts w:ascii="Times New Roman" w:hAnsi="Times New Roman" w:eastAsia="Times New Roman" w:cs="Times New Roman"/>
                <w:b/>
                <w:bCs/>
                <w:sz w:val="22"/>
                <w:szCs w:val="22"/>
                <w:lang w:val="en-US" w:eastAsia="zh-CN" w:bidi="en-US"/>
              </w:rPr>
              <w:t>2014-2</w:t>
            </w:r>
            <w:r>
              <w:rPr>
                <w:rFonts w:hint="eastAsia" w:ascii="Times New Roman" w:hAnsi="Times New Roman" w:cs="Times New Roman" w:eastAsiaTheme="minorEastAsia"/>
                <w:b/>
                <w:bCs/>
                <w:sz w:val="22"/>
                <w:szCs w:val="22"/>
                <w:lang w:val="en-US" w:eastAsia="zh-CN" w:bidi="en-US"/>
              </w:rPr>
              <w:t>0</w:t>
            </w:r>
            <w:r>
              <w:rPr>
                <w:rFonts w:ascii="Times New Roman" w:hAnsi="Times New Roman" w:eastAsia="Times New Roman" w:cs="Times New Roman"/>
                <w:b/>
                <w:bCs/>
                <w:sz w:val="22"/>
                <w:szCs w:val="22"/>
                <w:lang w:val="en-US" w:eastAsia="zh-CN" w:bidi="en-US"/>
              </w:rPr>
              <w:t>20</w:t>
            </w:r>
            <w:r>
              <w:t>年）的通知》（国发〔</w:t>
            </w:r>
            <w:r>
              <w:rPr>
                <w:rFonts w:ascii="Times New Roman" w:hAnsi="Times New Roman" w:eastAsia="Times New Roman" w:cs="Times New Roman"/>
                <w:b/>
                <w:bCs/>
                <w:sz w:val="22"/>
                <w:szCs w:val="22"/>
              </w:rPr>
              <w:t>2014） 21</w:t>
            </w:r>
            <w:r>
              <w:t>号）</w:t>
            </w:r>
          </w:p>
          <w:p>
            <w:pPr>
              <w:pStyle w:val="23"/>
              <w:spacing w:line="310" w:lineRule="exact"/>
              <w:jc w:val="both"/>
            </w:pPr>
            <w: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 政策扶持等方面实施信用分类监管，结合监管对象的失信类别和程度，使失信者受到惩戒。</w:t>
            </w:r>
          </w:p>
        </w:tc>
        <w:tc>
          <w:tcPr>
            <w:tcW w:w="1968" w:type="dxa"/>
            <w:tcBorders>
              <w:top w:val="single" w:color="auto" w:sz="4" w:space="0"/>
              <w:left w:val="single" w:color="auto" w:sz="4" w:space="0"/>
              <w:right w:val="single" w:color="auto" w:sz="4" w:space="0"/>
            </w:tcBorders>
            <w:shd w:val="clear" w:color="auto" w:fill="FFFFFF"/>
            <w:vAlign w:val="center"/>
          </w:tcPr>
          <w:p>
            <w:pPr>
              <w:pStyle w:val="23"/>
              <w:spacing w:line="240" w:lineRule="auto"/>
              <w:ind w:firstLine="0"/>
              <w:jc w:val="center"/>
            </w:pPr>
            <w:r>
              <w:t>国土资源部</w:t>
            </w:r>
          </w:p>
        </w:tc>
      </w:tr>
      <w:tr>
        <w:tblPrEx>
          <w:tblCellMar>
            <w:top w:w="0" w:type="dxa"/>
            <w:left w:w="10" w:type="dxa"/>
            <w:bottom w:w="0" w:type="dxa"/>
            <w:right w:w="10" w:type="dxa"/>
          </w:tblCellMar>
        </w:tblPrEx>
        <w:trPr>
          <w:trHeight w:val="2874" w:hRule="exact"/>
          <w:jc w:val="center"/>
        </w:trPr>
        <w:tc>
          <w:tcPr>
            <w:tcW w:w="2088" w:type="dxa"/>
            <w:tcBorders>
              <w:top w:val="single" w:color="auto" w:sz="4" w:space="0"/>
              <w:left w:val="single" w:color="auto" w:sz="4" w:space="0"/>
              <w:bottom w:val="single" w:color="auto" w:sz="4" w:space="0"/>
            </w:tcBorders>
            <w:shd w:val="clear" w:color="auto" w:fill="FFFFFF"/>
            <w:vAlign w:val="center"/>
          </w:tcPr>
          <w:p>
            <w:pPr>
              <w:pStyle w:val="23"/>
              <w:spacing w:line="312" w:lineRule="exact"/>
              <w:ind w:firstLine="200"/>
            </w:pPr>
            <w:r>
              <w:t>（八）严格、审慎审批新改扩建项目的环评事项。</w:t>
            </w:r>
          </w:p>
        </w:tc>
        <w:tc>
          <w:tcPr>
            <w:tcW w:w="11064" w:type="dxa"/>
            <w:tcBorders>
              <w:top w:val="single" w:color="auto" w:sz="4" w:space="0"/>
              <w:left w:val="single" w:color="auto" w:sz="4" w:space="0"/>
              <w:bottom w:val="single" w:color="auto" w:sz="4" w:space="0"/>
            </w:tcBorders>
            <w:shd w:val="clear" w:color="auto" w:fill="FFFFFF"/>
          </w:tcPr>
          <w:p>
            <w:pPr>
              <w:pStyle w:val="23"/>
              <w:ind w:firstLine="600"/>
              <w:jc w:val="both"/>
            </w:pPr>
            <w:r>
              <w:t>《国务院关于印发社会信用体系建设规划纲要</w:t>
            </w:r>
            <w:r>
              <w:rPr>
                <w:b/>
                <w:bCs/>
                <w:sz w:val="22"/>
                <w:szCs w:val="22"/>
                <w:lang w:val="en-US" w:eastAsia="zh-CN" w:bidi="en-US"/>
              </w:rPr>
              <w:t>（</w:t>
            </w:r>
            <w:r>
              <w:rPr>
                <w:rFonts w:ascii="Times New Roman" w:hAnsi="Times New Roman" w:eastAsia="Times New Roman" w:cs="Times New Roman"/>
                <w:b/>
                <w:bCs/>
                <w:sz w:val="22"/>
                <w:szCs w:val="22"/>
                <w:lang w:val="en-US" w:eastAsia="zh-CN" w:bidi="en-US"/>
              </w:rPr>
              <w:t>2014—2020</w:t>
            </w:r>
            <w:r>
              <w:t>年）的通知》（国发</w:t>
            </w:r>
            <w:r>
              <w:rPr>
                <w:rFonts w:ascii="Times New Roman" w:hAnsi="Times New Roman" w:eastAsia="Times New Roman" w:cs="Times New Roman"/>
                <w:b/>
                <w:bCs/>
                <w:sz w:val="22"/>
                <w:szCs w:val="22"/>
              </w:rPr>
              <w:t>（2014） 21</w:t>
            </w:r>
            <w:r>
              <w:t>号）</w:t>
            </w:r>
          </w:p>
          <w:p>
            <w:pPr>
              <w:pStyle w:val="23"/>
              <w:ind w:firstLine="600"/>
              <w:jc w:val="both"/>
            </w:pPr>
            <w:r>
              <w:t>（一）构建守信激励和失信惩戒机制。</w:t>
            </w:r>
          </w:p>
          <w:p>
            <w:pPr>
              <w:pStyle w:val="23"/>
              <w:jc w:val="both"/>
            </w:pPr>
            <w:r>
              <w:t>加强对守信主体的奖励和激励。加大对守信行为的表彰和宣传力度。按规定对诚信企业和模范个人给予表彰，通过新闻媒体广泛宣传，营造守信光荣的舆论氛围。发展改革、财政、金融、环境保护、住房城乡建设、交通运输、商 务、工商、税务、质检、安全监管、海关、知识产权等部门，在市场监管和公共服务过程中，要深化信用信息和信用 产品的应用，对诚实守信者实行优先办理、简化程序等</w:t>
            </w:r>
            <w:r>
              <w:rPr>
                <w:lang w:val="zh-CN" w:eastAsia="zh-CN" w:bidi="zh-CN"/>
              </w:rPr>
              <w:t>“绿色</w:t>
            </w:r>
            <w:r>
              <w:t>通道”支持激励政策。加强对失信主体的约束和惩戒。 强化行政监管性约束和惩戒。在现有行政处罚措施的基础上，健全失信惩戒制度，建立各行业黑名单制度和市场退出 机制。推动各级人民政府在市场监管和公共服务的市场准入、资质认定、行政审批、政策扶持等方面实施信用分类监 管，结合监管对象的失信类别和程度，使失信者受到惩戒。</w:t>
            </w:r>
          </w:p>
        </w:tc>
        <w:tc>
          <w:tcPr>
            <w:tcW w:w="19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center"/>
            </w:pPr>
            <w:r>
              <w:t>环境保护部</w:t>
            </w:r>
          </w:p>
        </w:tc>
      </w:tr>
    </w:tbl>
    <w:p>
      <w:pPr>
        <w:spacing w:line="1" w:lineRule="exact"/>
        <w:rPr>
          <w:sz w:val="2"/>
          <w:szCs w:val="2"/>
        </w:rPr>
      </w:pPr>
      <w:r>
        <w:br w:type="page"/>
      </w:r>
    </w:p>
    <w:tbl>
      <w:tblPr>
        <w:tblStyle w:val="6"/>
        <w:tblW w:w="0" w:type="auto"/>
        <w:jc w:val="center"/>
        <w:tblLayout w:type="fixed"/>
        <w:tblCellMar>
          <w:top w:w="0" w:type="dxa"/>
          <w:left w:w="10" w:type="dxa"/>
          <w:bottom w:w="0" w:type="dxa"/>
          <w:right w:w="10" w:type="dxa"/>
        </w:tblCellMar>
      </w:tblPr>
      <w:tblGrid>
        <w:gridCol w:w="2094"/>
        <w:gridCol w:w="11052"/>
        <w:gridCol w:w="1932"/>
      </w:tblGrid>
      <w:tr>
        <w:tblPrEx>
          <w:tblCellMar>
            <w:top w:w="0" w:type="dxa"/>
            <w:left w:w="10" w:type="dxa"/>
            <w:bottom w:w="0" w:type="dxa"/>
            <w:right w:w="10" w:type="dxa"/>
          </w:tblCellMar>
        </w:tblPrEx>
        <w:trPr>
          <w:trHeight w:val="396" w:hRule="exact"/>
          <w:jc w:val="center"/>
        </w:trPr>
        <w:tc>
          <w:tcPr>
            <w:tcW w:w="2094" w:type="dxa"/>
            <w:tcBorders>
              <w:top w:val="single" w:color="auto" w:sz="4" w:space="0"/>
              <w:left w:val="single" w:color="auto" w:sz="4" w:space="0"/>
            </w:tcBorders>
            <w:shd w:val="clear" w:color="auto" w:fill="FFFFFF"/>
            <w:vAlign w:val="bottom"/>
          </w:tcPr>
          <w:p>
            <w:pPr>
              <w:pStyle w:val="23"/>
              <w:spacing w:line="240" w:lineRule="auto"/>
              <w:ind w:firstLine="0"/>
              <w:jc w:val="center"/>
            </w:pPr>
            <w:r>
              <w:t>惩戒措施</w:t>
            </w:r>
          </w:p>
        </w:tc>
        <w:tc>
          <w:tcPr>
            <w:tcW w:w="11052" w:type="dxa"/>
            <w:tcBorders>
              <w:top w:val="single" w:color="auto" w:sz="4" w:space="0"/>
              <w:left w:val="single" w:color="auto" w:sz="4" w:space="0"/>
            </w:tcBorders>
            <w:shd w:val="clear" w:color="auto" w:fill="FFFFFF"/>
            <w:vAlign w:val="bottom"/>
          </w:tcPr>
          <w:p>
            <w:pPr>
              <w:pStyle w:val="23"/>
              <w:spacing w:line="240" w:lineRule="auto"/>
              <w:ind w:firstLine="0"/>
              <w:jc w:val="center"/>
            </w:pPr>
            <w:r>
              <w:t>法律及政策依据</w:t>
            </w:r>
          </w:p>
        </w:tc>
        <w:tc>
          <w:tcPr>
            <w:tcW w:w="1932" w:type="dxa"/>
            <w:tcBorders>
              <w:top w:val="single" w:color="auto" w:sz="4" w:space="0"/>
              <w:left w:val="single" w:color="auto" w:sz="4" w:space="0"/>
              <w:right w:val="single" w:color="auto" w:sz="4" w:space="0"/>
            </w:tcBorders>
            <w:shd w:val="clear" w:color="auto" w:fill="FFFFFF"/>
            <w:vAlign w:val="bottom"/>
          </w:tcPr>
          <w:p>
            <w:pPr>
              <w:pStyle w:val="23"/>
              <w:spacing w:line="240" w:lineRule="auto"/>
              <w:ind w:firstLine="0"/>
              <w:jc w:val="center"/>
            </w:pPr>
            <w:r>
              <w:t>实施单位</w:t>
            </w:r>
          </w:p>
        </w:tc>
      </w:tr>
      <w:tr>
        <w:tblPrEx>
          <w:tblCellMar>
            <w:top w:w="0" w:type="dxa"/>
            <w:left w:w="10" w:type="dxa"/>
            <w:bottom w:w="0" w:type="dxa"/>
            <w:right w:w="10" w:type="dxa"/>
          </w:tblCellMar>
        </w:tblPrEx>
        <w:trPr>
          <w:trHeight w:val="3152" w:hRule="exact"/>
          <w:jc w:val="center"/>
        </w:trPr>
        <w:tc>
          <w:tcPr>
            <w:tcW w:w="2094" w:type="dxa"/>
            <w:tcBorders>
              <w:top w:val="single" w:color="auto" w:sz="4" w:space="0"/>
              <w:left w:val="single" w:color="auto" w:sz="4" w:space="0"/>
            </w:tcBorders>
            <w:shd w:val="clear" w:color="auto" w:fill="FFFFFF"/>
            <w:vAlign w:val="center"/>
          </w:tcPr>
          <w:p>
            <w:pPr>
              <w:pStyle w:val="23"/>
              <w:spacing w:line="312" w:lineRule="exact"/>
              <w:ind w:firstLine="0"/>
              <w:jc w:val="center"/>
            </w:pPr>
            <w:r>
              <w:t>（九）从严审核在银行间市场发行债券。</w:t>
            </w:r>
          </w:p>
        </w:tc>
        <w:tc>
          <w:tcPr>
            <w:tcW w:w="11052" w:type="dxa"/>
            <w:tcBorders>
              <w:top w:val="single" w:color="auto" w:sz="4" w:space="0"/>
              <w:left w:val="single" w:color="auto" w:sz="4" w:space="0"/>
            </w:tcBorders>
            <w:shd w:val="clear" w:color="auto" w:fill="FFFFFF"/>
          </w:tcPr>
          <w:p>
            <w:pPr>
              <w:pStyle w:val="23"/>
              <w:spacing w:line="279" w:lineRule="exact"/>
              <w:ind w:firstLine="600"/>
              <w:jc w:val="both"/>
            </w:pPr>
            <w:r>
              <w:t>《全国银行间债券市场金融债券发行管理办法》（中国人民银行令</w:t>
            </w:r>
            <w:r>
              <w:rPr>
                <w:rFonts w:ascii="Times New Roman" w:hAnsi="Times New Roman" w:eastAsia="Times New Roman" w:cs="Times New Roman"/>
                <w:b/>
                <w:bCs/>
                <w:sz w:val="22"/>
                <w:szCs w:val="22"/>
              </w:rPr>
              <w:t>（2005）</w:t>
            </w:r>
            <w:r>
              <w:t>第</w:t>
            </w:r>
            <w:r>
              <w:rPr>
                <w:rFonts w:ascii="Times New Roman" w:hAnsi="Times New Roman" w:eastAsia="Times New Roman" w:cs="Times New Roman"/>
                <w:b/>
                <w:bCs/>
                <w:sz w:val="22"/>
                <w:szCs w:val="22"/>
              </w:rPr>
              <w:t>1</w:t>
            </w:r>
            <w:r>
              <w:t>号）</w:t>
            </w:r>
          </w:p>
          <w:p>
            <w:pPr>
              <w:pStyle w:val="23"/>
              <w:spacing w:line="279" w:lineRule="exact"/>
              <w:jc w:val="both"/>
            </w:pPr>
            <w:r>
              <w:t>第七条</w:t>
            </w:r>
            <w:r>
              <w:rPr>
                <w:rFonts w:hint="eastAsia" w:eastAsiaTheme="minorEastAsia"/>
                <w:lang w:eastAsia="zh-CN"/>
              </w:rPr>
              <w:t xml:space="preserve">  </w:t>
            </w:r>
            <w:r>
              <w:t>商业银行发行金融债券应具备以下条件：</w:t>
            </w:r>
          </w:p>
          <w:p>
            <w:pPr>
              <w:pStyle w:val="23"/>
              <w:spacing w:line="279" w:lineRule="exact"/>
              <w:ind w:firstLine="620"/>
              <w:jc w:val="both"/>
            </w:pPr>
            <w:r>
              <w:rPr>
                <w:rFonts w:ascii="Times New Roman" w:hAnsi="Times New Roman" w:eastAsia="Times New Roman" w:cs="Times New Roman"/>
                <w:b/>
                <w:bCs/>
                <w:sz w:val="22"/>
                <w:szCs w:val="22"/>
              </w:rPr>
              <w:t>（1）</w:t>
            </w:r>
            <w:r>
              <w:t>具有良好的公司治理机制；</w:t>
            </w:r>
            <w:r>
              <w:rPr>
                <w:b/>
                <w:bCs/>
                <w:sz w:val="22"/>
                <w:szCs w:val="22"/>
              </w:rPr>
              <w:t>（</w:t>
            </w:r>
            <w:r>
              <w:rPr>
                <w:rFonts w:ascii="Times New Roman" w:hAnsi="Times New Roman" w:eastAsia="Times New Roman" w:cs="Times New Roman"/>
                <w:b/>
                <w:bCs/>
                <w:sz w:val="22"/>
                <w:szCs w:val="22"/>
              </w:rPr>
              <w:t>2）</w:t>
            </w:r>
            <w:r>
              <w:t>核心资本充足率不低于</w:t>
            </w:r>
            <w:r>
              <w:rPr>
                <w:rFonts w:ascii="Times New Roman" w:hAnsi="Times New Roman" w:eastAsia="Times New Roman" w:cs="Times New Roman"/>
                <w:b/>
                <w:bCs/>
                <w:sz w:val="22"/>
                <w:szCs w:val="22"/>
              </w:rPr>
              <w:t>4%</w:t>
            </w:r>
            <w:r>
              <w:rPr>
                <w:b/>
                <w:bCs/>
                <w:sz w:val="22"/>
                <w:szCs w:val="22"/>
              </w:rPr>
              <w:t>；</w:t>
            </w:r>
            <w:r>
              <w:rPr>
                <w:rFonts w:ascii="Times New Roman" w:hAnsi="Times New Roman" w:eastAsia="Times New Roman" w:cs="Times New Roman"/>
                <w:b/>
                <w:bCs/>
                <w:sz w:val="22"/>
                <w:szCs w:val="22"/>
              </w:rPr>
              <w:t xml:space="preserve"> （3）</w:t>
            </w:r>
            <w:r>
              <w:t>最近三年连续盈利；</w:t>
            </w:r>
            <w:r>
              <w:rPr>
                <w:b/>
                <w:bCs/>
                <w:sz w:val="22"/>
                <w:szCs w:val="22"/>
              </w:rPr>
              <w:t>（</w:t>
            </w:r>
            <w:r>
              <w:rPr>
                <w:rFonts w:ascii="Times New Roman" w:hAnsi="Times New Roman" w:eastAsia="Times New Roman" w:cs="Times New Roman"/>
                <w:b/>
                <w:bCs/>
                <w:sz w:val="22"/>
                <w:szCs w:val="22"/>
              </w:rPr>
              <w:t>4）</w:t>
            </w:r>
            <w:r>
              <w:t>贷款损失准备计 提充足；</w:t>
            </w:r>
            <w:r>
              <w:rPr>
                <w:b/>
                <w:bCs/>
                <w:sz w:val="22"/>
                <w:szCs w:val="22"/>
              </w:rPr>
              <w:t>（</w:t>
            </w:r>
            <w:r>
              <w:rPr>
                <w:rFonts w:ascii="Times New Roman" w:hAnsi="Times New Roman" w:eastAsia="Times New Roman" w:cs="Times New Roman"/>
                <w:b/>
                <w:bCs/>
                <w:sz w:val="22"/>
                <w:szCs w:val="22"/>
              </w:rPr>
              <w:t>5）</w:t>
            </w:r>
            <w:r>
              <w:t>风险监管指标符合监管机构的有关规定；</w:t>
            </w:r>
            <w:r>
              <w:rPr>
                <w:rFonts w:ascii="Times New Roman" w:hAnsi="Times New Roman" w:eastAsia="Times New Roman" w:cs="Times New Roman"/>
                <w:b/>
                <w:bCs/>
                <w:sz w:val="22"/>
                <w:szCs w:val="22"/>
              </w:rPr>
              <w:t>（6）</w:t>
            </w:r>
            <w:r>
              <w:t>最近三年没有重大违法、违规行为；</w:t>
            </w:r>
            <w:r>
              <w:rPr>
                <w:b/>
                <w:bCs/>
                <w:sz w:val="22"/>
                <w:szCs w:val="22"/>
              </w:rPr>
              <w:t>（</w:t>
            </w:r>
            <w:r>
              <w:rPr>
                <w:rFonts w:ascii="Times New Roman" w:hAnsi="Times New Roman" w:eastAsia="Times New Roman" w:cs="Times New Roman"/>
                <w:b/>
                <w:bCs/>
                <w:sz w:val="22"/>
                <w:szCs w:val="22"/>
              </w:rPr>
              <w:t>7）</w:t>
            </w:r>
            <w:r>
              <w:t>中国人民银行要求的其他条件。</w:t>
            </w:r>
          </w:p>
          <w:p>
            <w:pPr>
              <w:pStyle w:val="23"/>
              <w:spacing w:line="279" w:lineRule="exact"/>
              <w:jc w:val="both"/>
            </w:pPr>
            <w:r>
              <w:t>根据商业银行的申请，中国人民银行可以豁免前款所规定的个别条件。</w:t>
            </w:r>
          </w:p>
          <w:p>
            <w:pPr>
              <w:pStyle w:val="23"/>
              <w:spacing w:line="279" w:lineRule="exact"/>
              <w:jc w:val="both"/>
            </w:pPr>
            <w:r>
              <w:t>第八条</w:t>
            </w:r>
            <w:r>
              <w:rPr>
                <w:rFonts w:hint="eastAsia" w:eastAsiaTheme="minorEastAsia"/>
                <w:lang w:eastAsia="zh-CN"/>
              </w:rPr>
              <w:t xml:space="preserve">  </w:t>
            </w:r>
            <w:r>
              <w:t>企业集团财务公司发行金融债券应具备以下条件：</w:t>
            </w:r>
          </w:p>
          <w:p>
            <w:pPr>
              <w:pStyle w:val="23"/>
              <w:spacing w:line="294" w:lineRule="exact"/>
              <w:ind w:firstLine="620"/>
              <w:jc w:val="both"/>
            </w:pPr>
            <w:r>
              <w:rPr>
                <w:rFonts w:ascii="Times New Roman" w:hAnsi="Times New Roman" w:eastAsia="Times New Roman" w:cs="Times New Roman"/>
                <w:b/>
                <w:bCs/>
                <w:sz w:val="22"/>
                <w:szCs w:val="22"/>
              </w:rPr>
              <w:t>（1）</w:t>
            </w:r>
            <w:r>
              <w:t>具有良好的公司治理机制；</w:t>
            </w:r>
            <w:r>
              <w:rPr>
                <w:b/>
                <w:bCs/>
                <w:sz w:val="22"/>
                <w:szCs w:val="22"/>
              </w:rPr>
              <w:t>（</w:t>
            </w:r>
            <w:r>
              <w:rPr>
                <w:rFonts w:ascii="Times New Roman" w:hAnsi="Times New Roman" w:eastAsia="Times New Roman" w:cs="Times New Roman"/>
                <w:b/>
                <w:bCs/>
                <w:sz w:val="22"/>
                <w:szCs w:val="22"/>
              </w:rPr>
              <w:t>2）</w:t>
            </w:r>
            <w:r>
              <w:t>资本充足率不低于</w:t>
            </w:r>
            <w:r>
              <w:rPr>
                <w:rFonts w:ascii="Times New Roman" w:hAnsi="Times New Roman" w:eastAsia="Times New Roman" w:cs="Times New Roman"/>
                <w:b/>
                <w:bCs/>
                <w:sz w:val="22"/>
                <w:szCs w:val="22"/>
              </w:rPr>
              <w:t>10%</w:t>
            </w:r>
            <w:r>
              <w:rPr>
                <w:b/>
                <w:bCs/>
                <w:sz w:val="22"/>
                <w:szCs w:val="22"/>
              </w:rPr>
              <w:t>；</w:t>
            </w:r>
            <w:r>
              <w:rPr>
                <w:rFonts w:ascii="Times New Roman" w:hAnsi="Times New Roman" w:eastAsia="Times New Roman" w:cs="Times New Roman"/>
                <w:b/>
                <w:bCs/>
                <w:sz w:val="22"/>
                <w:szCs w:val="22"/>
              </w:rPr>
              <w:t xml:space="preserve"> （3）</w:t>
            </w:r>
            <w:r>
              <w:t>风险监管指标符合监管机构的有关规定；</w:t>
            </w:r>
            <w:r>
              <w:rPr>
                <w:b/>
                <w:bCs/>
                <w:sz w:val="22"/>
                <w:szCs w:val="22"/>
              </w:rPr>
              <w:t>（</w:t>
            </w:r>
            <w:r>
              <w:rPr>
                <w:rFonts w:ascii="Times New Roman" w:hAnsi="Times New Roman" w:eastAsia="Times New Roman" w:cs="Times New Roman"/>
                <w:b/>
                <w:bCs/>
                <w:sz w:val="22"/>
                <w:szCs w:val="22"/>
              </w:rPr>
              <w:t xml:space="preserve">4） </w:t>
            </w:r>
            <w:r>
              <w:t>最近三年没有重大违法、违规行为；</w:t>
            </w:r>
            <w:r>
              <w:rPr>
                <w:rFonts w:ascii="Times New Roman" w:hAnsi="Times New Roman" w:eastAsia="Times New Roman" w:cs="Times New Roman"/>
                <w:b/>
                <w:bCs/>
                <w:sz w:val="22"/>
                <w:szCs w:val="22"/>
              </w:rPr>
              <w:t>（5）</w:t>
            </w:r>
            <w:r>
              <w:t>中国人民银行要求的其他条件。</w:t>
            </w:r>
          </w:p>
          <w:p>
            <w:pPr>
              <w:pStyle w:val="23"/>
              <w:spacing w:line="264" w:lineRule="exact"/>
              <w:jc w:val="both"/>
            </w:pPr>
            <w:r>
              <w:t>第十一条 政策性银行发行金融债券应向中国人民银行报送下列文件</w:t>
            </w:r>
            <w:r>
              <w:rPr>
                <w:b/>
                <w:bCs/>
                <w:sz w:val="22"/>
                <w:szCs w:val="22"/>
              </w:rPr>
              <w:t>：（</w:t>
            </w:r>
            <w:r>
              <w:rPr>
                <w:rFonts w:ascii="Times New Roman" w:hAnsi="Times New Roman" w:eastAsia="Times New Roman" w:cs="Times New Roman"/>
                <w:b/>
                <w:bCs/>
                <w:sz w:val="22"/>
                <w:szCs w:val="22"/>
              </w:rPr>
              <w:t>1</w:t>
            </w:r>
            <w:r>
              <w:rPr>
                <w:b/>
                <w:bCs/>
                <w:sz w:val="22"/>
                <w:szCs w:val="22"/>
              </w:rPr>
              <w:t>）</w:t>
            </w:r>
            <w:r>
              <w:t>金融债券发行申请报告；</w:t>
            </w:r>
            <w:r>
              <w:rPr>
                <w:b/>
                <w:bCs/>
                <w:sz w:val="22"/>
                <w:szCs w:val="22"/>
              </w:rPr>
              <w:t>（</w:t>
            </w:r>
            <w:r>
              <w:rPr>
                <w:rFonts w:ascii="Times New Roman" w:hAnsi="Times New Roman" w:eastAsia="Times New Roman" w:cs="Times New Roman"/>
                <w:b/>
                <w:bCs/>
                <w:sz w:val="22"/>
                <w:szCs w:val="22"/>
              </w:rPr>
              <w:t>2）</w:t>
            </w:r>
            <w:r>
              <w:t>发行人近三年经审计的财务报告及审计报告；</w:t>
            </w:r>
            <w:r>
              <w:rPr>
                <w:b/>
                <w:bCs/>
                <w:sz w:val="22"/>
                <w:szCs w:val="22"/>
              </w:rPr>
              <w:t>（</w:t>
            </w:r>
            <w:r>
              <w:rPr>
                <w:rFonts w:ascii="Times New Roman" w:hAnsi="Times New Roman" w:eastAsia="Times New Roman" w:cs="Times New Roman"/>
                <w:b/>
                <w:bCs/>
                <w:sz w:val="22"/>
                <w:szCs w:val="22"/>
              </w:rPr>
              <w:t>3）</w:t>
            </w:r>
            <w:r>
              <w:t>金融债券发行办法；</w:t>
            </w:r>
            <w:r>
              <w:rPr>
                <w:b/>
                <w:bCs/>
                <w:sz w:val="22"/>
                <w:szCs w:val="22"/>
              </w:rPr>
              <w:t>（</w:t>
            </w:r>
            <w:r>
              <w:rPr>
                <w:rFonts w:ascii="Times New Roman" w:hAnsi="Times New Roman" w:eastAsia="Times New Roman" w:cs="Times New Roman"/>
                <w:b/>
                <w:bCs/>
                <w:sz w:val="22"/>
                <w:szCs w:val="22"/>
              </w:rPr>
              <w:t>4）</w:t>
            </w:r>
            <w:r>
              <w:t>承销协议；</w:t>
            </w:r>
            <w:r>
              <w:rPr>
                <w:rFonts w:ascii="Times New Roman" w:hAnsi="Times New Roman" w:eastAsia="Times New Roman" w:cs="Times New Roman"/>
                <w:b/>
                <w:bCs/>
                <w:sz w:val="22"/>
                <w:szCs w:val="22"/>
              </w:rPr>
              <w:t>（5）</w:t>
            </w:r>
            <w:r>
              <w:t>中国人民银行要求的其他文件。</w:t>
            </w:r>
          </w:p>
        </w:tc>
        <w:tc>
          <w:tcPr>
            <w:tcW w:w="1932" w:type="dxa"/>
            <w:tcBorders>
              <w:top w:val="single" w:color="auto" w:sz="4" w:space="0"/>
              <w:left w:val="single" w:color="auto" w:sz="4" w:space="0"/>
              <w:right w:val="single" w:color="auto" w:sz="4" w:space="0"/>
            </w:tcBorders>
            <w:shd w:val="clear" w:color="auto" w:fill="FFFFFF"/>
            <w:vAlign w:val="center"/>
          </w:tcPr>
          <w:p>
            <w:pPr>
              <w:pStyle w:val="23"/>
              <w:spacing w:line="240" w:lineRule="auto"/>
              <w:ind w:firstLine="0"/>
              <w:jc w:val="center"/>
            </w:pPr>
            <w:r>
              <w:t>人民银行</w:t>
            </w:r>
          </w:p>
        </w:tc>
      </w:tr>
      <w:tr>
        <w:tblPrEx>
          <w:tblCellMar>
            <w:top w:w="0" w:type="dxa"/>
            <w:left w:w="10" w:type="dxa"/>
            <w:bottom w:w="0" w:type="dxa"/>
            <w:right w:w="10" w:type="dxa"/>
          </w:tblCellMar>
        </w:tblPrEx>
        <w:trPr>
          <w:trHeight w:val="4722" w:hRule="exact"/>
          <w:jc w:val="center"/>
        </w:trPr>
        <w:tc>
          <w:tcPr>
            <w:tcW w:w="2094" w:type="dxa"/>
            <w:tcBorders>
              <w:top w:val="single" w:color="auto" w:sz="4" w:space="0"/>
              <w:left w:val="single" w:color="auto" w:sz="4" w:space="0"/>
              <w:bottom w:val="single" w:color="auto" w:sz="4" w:space="0"/>
            </w:tcBorders>
            <w:shd w:val="clear" w:color="auto" w:fill="FFFFFF"/>
            <w:vAlign w:val="center"/>
          </w:tcPr>
          <w:p>
            <w:pPr>
              <w:pStyle w:val="23"/>
              <w:spacing w:line="270" w:lineRule="exact"/>
              <w:ind w:firstLine="220"/>
              <w:jc w:val="both"/>
            </w:pPr>
            <w:r>
              <w:t>（十）依法限制境内 上市公司实行股权激励计划或者限制成为股权激励对象。</w:t>
            </w:r>
          </w:p>
        </w:tc>
        <w:tc>
          <w:tcPr>
            <w:tcW w:w="11052" w:type="dxa"/>
            <w:tcBorders>
              <w:top w:val="single" w:color="auto" w:sz="4" w:space="0"/>
              <w:left w:val="single" w:color="auto" w:sz="4" w:space="0"/>
              <w:bottom w:val="single" w:color="auto" w:sz="4" w:space="0"/>
            </w:tcBorders>
            <w:shd w:val="clear" w:color="auto" w:fill="FFFFFF"/>
          </w:tcPr>
          <w:p>
            <w:pPr>
              <w:pStyle w:val="23"/>
              <w:spacing w:line="276" w:lineRule="exact"/>
              <w:ind w:firstLine="600"/>
              <w:jc w:val="both"/>
            </w:pPr>
            <w:r>
              <w:t>《国有控股上市公司（境内）实施股权激励试行办法》（国资发分配</w:t>
            </w:r>
            <w:r>
              <w:rPr>
                <w:rFonts w:ascii="Times New Roman" w:hAnsi="Times New Roman" w:eastAsia="Times New Roman" w:cs="Times New Roman"/>
                <w:b/>
                <w:bCs/>
                <w:sz w:val="22"/>
                <w:szCs w:val="22"/>
              </w:rPr>
              <w:t>（2006） 175</w:t>
            </w:r>
            <w:r>
              <w:t>号）</w:t>
            </w:r>
          </w:p>
          <w:p>
            <w:pPr>
              <w:pStyle w:val="23"/>
              <w:spacing w:line="276" w:lineRule="exact"/>
              <w:jc w:val="both"/>
            </w:pPr>
            <w:r>
              <w:t>第三十四条</w:t>
            </w:r>
            <w:r>
              <w:rPr>
                <w:rFonts w:hint="eastAsia" w:eastAsiaTheme="minorEastAsia"/>
                <w:lang w:eastAsia="zh-CN"/>
              </w:rPr>
              <w:t xml:space="preserve">  </w:t>
            </w:r>
            <w:r>
              <w:t>国有控股股东应依法行使股东权利，要求上市公司在发生以下情形之一时，中止实施股权激励计划，自发生之日起一年内不得向激励对象授予新的股权，激励对象也不得根据股权激励计划行使权利或获得收益：</w:t>
            </w:r>
          </w:p>
          <w:p>
            <w:pPr>
              <w:pStyle w:val="23"/>
              <w:tabs>
                <w:tab w:val="left" w:pos="1020"/>
              </w:tabs>
              <w:spacing w:line="276" w:lineRule="exact"/>
              <w:ind w:firstLine="600"/>
              <w:jc w:val="both"/>
            </w:pPr>
            <w:r>
              <w:rPr>
                <w:rFonts w:ascii="Times New Roman" w:hAnsi="Times New Roman" w:eastAsia="Times New Roman" w:cs="Times New Roman"/>
                <w:b/>
                <w:bCs/>
                <w:sz w:val="22"/>
                <w:szCs w:val="22"/>
              </w:rPr>
              <w:t>（1）</w:t>
            </w:r>
            <w:r>
              <w:rPr>
                <w:rFonts w:ascii="Times New Roman" w:hAnsi="Times New Roman" w:eastAsia="Times New Roman" w:cs="Times New Roman"/>
                <w:b/>
                <w:bCs/>
                <w:sz w:val="22"/>
                <w:szCs w:val="22"/>
              </w:rPr>
              <w:tab/>
            </w:r>
            <w:r>
              <w:t>企业年度绩效考核达不到股权激励计划规定的绩效考核标准；</w:t>
            </w:r>
          </w:p>
          <w:p>
            <w:pPr>
              <w:pStyle w:val="23"/>
              <w:tabs>
                <w:tab w:val="left" w:pos="1032"/>
              </w:tabs>
              <w:spacing w:line="276" w:lineRule="exact"/>
              <w:ind w:firstLine="600"/>
              <w:jc w:val="both"/>
            </w:pPr>
            <w:r>
              <w:rPr>
                <w:rFonts w:ascii="Times New Roman" w:hAnsi="Times New Roman" w:eastAsia="Times New Roman" w:cs="Times New Roman"/>
                <w:b/>
                <w:bCs/>
                <w:sz w:val="22"/>
                <w:szCs w:val="22"/>
              </w:rPr>
              <w:t>（2）</w:t>
            </w:r>
            <w:r>
              <w:rPr>
                <w:rFonts w:ascii="Times New Roman" w:hAnsi="Times New Roman" w:eastAsia="Times New Roman" w:cs="Times New Roman"/>
                <w:b/>
                <w:bCs/>
                <w:sz w:val="22"/>
                <w:szCs w:val="22"/>
              </w:rPr>
              <w:tab/>
            </w:r>
            <w:r>
              <w:t>国有资产监督管理机构或部门、监事会或审计部门对上市公司业绩或年度财务会计报告提出重大异议；</w:t>
            </w:r>
          </w:p>
          <w:p>
            <w:pPr>
              <w:pStyle w:val="23"/>
              <w:tabs>
                <w:tab w:val="left" w:pos="1020"/>
              </w:tabs>
              <w:spacing w:line="262" w:lineRule="auto"/>
              <w:ind w:firstLine="600"/>
              <w:jc w:val="both"/>
            </w:pPr>
            <w:r>
              <w:rPr>
                <w:rFonts w:ascii="Times New Roman" w:hAnsi="Times New Roman" w:eastAsia="Times New Roman" w:cs="Times New Roman"/>
                <w:b/>
                <w:bCs/>
                <w:sz w:val="22"/>
                <w:szCs w:val="22"/>
              </w:rPr>
              <w:t>（3）</w:t>
            </w:r>
            <w:r>
              <w:rPr>
                <w:rFonts w:ascii="Times New Roman" w:hAnsi="Times New Roman" w:eastAsia="Times New Roman" w:cs="Times New Roman"/>
                <w:b/>
                <w:bCs/>
                <w:sz w:val="22"/>
                <w:szCs w:val="22"/>
              </w:rPr>
              <w:tab/>
            </w:r>
            <w:r>
              <w:t>发生重大违规行为，受到证券监管及其他有关部门处罚。</w:t>
            </w:r>
          </w:p>
          <w:p>
            <w:pPr>
              <w:pStyle w:val="23"/>
              <w:spacing w:line="276" w:lineRule="exact"/>
              <w:jc w:val="both"/>
            </w:pPr>
            <w:r>
              <w:t>第三十五条 股权激励对象有以下情形之一的，上市公司国有控股股东应依法行使股东权利，提出终止授予新的股权并取消其行权资格：</w:t>
            </w:r>
          </w:p>
          <w:p>
            <w:pPr>
              <w:pStyle w:val="23"/>
              <w:tabs>
                <w:tab w:val="left" w:pos="1040"/>
              </w:tabs>
              <w:spacing w:line="262" w:lineRule="auto"/>
              <w:ind w:firstLine="620"/>
              <w:jc w:val="both"/>
            </w:pPr>
            <w:r>
              <w:rPr>
                <w:rFonts w:ascii="Times New Roman" w:hAnsi="Times New Roman" w:eastAsia="Times New Roman" w:cs="Times New Roman"/>
                <w:b/>
                <w:bCs/>
                <w:sz w:val="22"/>
                <w:szCs w:val="22"/>
              </w:rPr>
              <w:t>（1）</w:t>
            </w:r>
            <w:r>
              <w:rPr>
                <w:rFonts w:ascii="Times New Roman" w:hAnsi="Times New Roman" w:eastAsia="Times New Roman" w:cs="Times New Roman"/>
                <w:b/>
                <w:bCs/>
                <w:sz w:val="22"/>
                <w:szCs w:val="22"/>
              </w:rPr>
              <w:tab/>
            </w:r>
            <w:r>
              <w:t>违反国家有关法律法规、上市公司章程规定的；</w:t>
            </w:r>
          </w:p>
          <w:p>
            <w:pPr>
              <w:pStyle w:val="23"/>
              <w:tabs>
                <w:tab w:val="left" w:pos="954"/>
              </w:tabs>
              <w:spacing w:line="276" w:lineRule="exact"/>
              <w:ind w:firstLine="620"/>
              <w:jc w:val="both"/>
            </w:pPr>
            <w:r>
              <w:rPr>
                <w:rFonts w:ascii="Times New Roman" w:hAnsi="Times New Roman" w:eastAsia="Times New Roman" w:cs="Times New Roman"/>
                <w:b/>
                <w:bCs/>
                <w:sz w:val="22"/>
                <w:szCs w:val="22"/>
              </w:rPr>
              <w:t>（2）</w:t>
            </w:r>
            <w:r>
              <w:rPr>
                <w:rFonts w:ascii="Times New Roman" w:hAnsi="Times New Roman" w:eastAsia="Times New Roman" w:cs="Times New Roman"/>
                <w:b/>
                <w:bCs/>
                <w:sz w:val="22"/>
                <w:szCs w:val="22"/>
              </w:rPr>
              <w:tab/>
            </w:r>
            <w:r>
              <w:t>任职期间，由于受贿索贿、贪污盗窃、泄露上市公司经营和技术秘密、实施关联交易损害上市公司利益、 声誉和对上市公司形象有重大负面影响等违法违纪行为，给上市公司造成损失的。</w:t>
            </w:r>
          </w:p>
          <w:p>
            <w:pPr>
              <w:pStyle w:val="23"/>
              <w:spacing w:line="276" w:lineRule="exact"/>
              <w:ind w:firstLine="620"/>
              <w:jc w:val="both"/>
            </w:pPr>
            <w:r>
              <w:t>《上市公司股权激励管理办法》（证监会令第</w:t>
            </w:r>
            <w:r>
              <w:rPr>
                <w:rFonts w:ascii="Times New Roman" w:hAnsi="Times New Roman" w:eastAsia="Times New Roman" w:cs="Times New Roman"/>
                <w:b/>
                <w:bCs/>
                <w:sz w:val="22"/>
                <w:szCs w:val="22"/>
              </w:rPr>
              <w:t>126</w:t>
            </w:r>
            <w:r>
              <w:t>号）</w:t>
            </w:r>
          </w:p>
          <w:p>
            <w:pPr>
              <w:pStyle w:val="23"/>
              <w:spacing w:line="276" w:lineRule="exact"/>
              <w:jc w:val="both"/>
            </w:pPr>
            <w:r>
              <w:t>第七条</w:t>
            </w:r>
            <w:r>
              <w:rPr>
                <w:rFonts w:hint="eastAsia" w:eastAsiaTheme="minorEastAsia"/>
                <w:lang w:eastAsia="zh-CN"/>
              </w:rPr>
              <w:t xml:space="preserve">  </w:t>
            </w:r>
            <w:r>
              <w:t>上市公司具有下列情形之一的，不得实行股权激励：</w:t>
            </w:r>
          </w:p>
          <w:p>
            <w:pPr>
              <w:pStyle w:val="23"/>
              <w:tabs>
                <w:tab w:val="left" w:pos="1122"/>
              </w:tabs>
              <w:spacing w:line="276" w:lineRule="exact"/>
              <w:ind w:firstLine="600"/>
              <w:jc w:val="both"/>
            </w:pPr>
            <w:r>
              <w:t>（四）</w:t>
            </w:r>
            <w:r>
              <w:tab/>
            </w:r>
            <w:r>
              <w:t>法律法规规定不得实行股权激励的；</w:t>
            </w:r>
          </w:p>
          <w:p>
            <w:pPr>
              <w:pStyle w:val="23"/>
              <w:tabs>
                <w:tab w:val="left" w:pos="1146"/>
              </w:tabs>
              <w:spacing w:line="276" w:lineRule="exact"/>
              <w:ind w:firstLine="600"/>
              <w:jc w:val="both"/>
            </w:pPr>
            <w:r>
              <w:t>（五）</w:t>
            </w:r>
            <w:r>
              <w:tab/>
            </w:r>
            <w:r>
              <w:t>中国证监会认定的其他情形。</w:t>
            </w:r>
          </w:p>
          <w:p>
            <w:pPr>
              <w:pStyle w:val="23"/>
              <w:spacing w:line="276" w:lineRule="exact"/>
              <w:jc w:val="both"/>
            </w:pPr>
            <w:r>
              <w:t>第八条</w:t>
            </w:r>
            <w:r>
              <w:rPr>
                <w:rFonts w:hint="eastAsia" w:eastAsiaTheme="minorEastAsia"/>
                <w:lang w:eastAsia="zh-CN"/>
              </w:rPr>
              <w:t xml:space="preserve">   </w:t>
            </w:r>
            <w:r>
              <w:t>下列人员也不得成为激励对象：</w:t>
            </w:r>
          </w:p>
          <w:p>
            <w:pPr>
              <w:pStyle w:val="23"/>
              <w:spacing w:line="276" w:lineRule="exact"/>
              <w:ind w:firstLine="600"/>
              <w:jc w:val="both"/>
            </w:pPr>
            <w:r>
              <w:t>（一）最近</w:t>
            </w:r>
            <w:r>
              <w:rPr>
                <w:rFonts w:ascii="Times New Roman" w:hAnsi="Times New Roman" w:eastAsia="Times New Roman" w:cs="Times New Roman"/>
                <w:b/>
                <w:bCs/>
                <w:sz w:val="22"/>
                <w:szCs w:val="22"/>
              </w:rPr>
              <w:t>12</w:t>
            </w:r>
            <w:r>
              <w:t>个月内被证券交易所认定为不适当人选；</w:t>
            </w:r>
          </w:p>
        </w:tc>
        <w:tc>
          <w:tcPr>
            <w:tcW w:w="193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64" w:lineRule="exact"/>
              <w:ind w:firstLine="0"/>
              <w:jc w:val="center"/>
            </w:pPr>
            <w:r>
              <w:t>国资委、</w:t>
            </w:r>
          </w:p>
          <w:p>
            <w:pPr>
              <w:pStyle w:val="23"/>
              <w:spacing w:line="264" w:lineRule="exact"/>
              <w:ind w:firstLine="0"/>
              <w:jc w:val="center"/>
            </w:pPr>
            <w:r>
              <w:t xml:space="preserve"> 财政部、</w:t>
            </w:r>
          </w:p>
          <w:p>
            <w:pPr>
              <w:pStyle w:val="23"/>
              <w:spacing w:line="264" w:lineRule="exact"/>
              <w:ind w:firstLine="0"/>
              <w:jc w:val="center"/>
            </w:pPr>
            <w:r>
              <w:t>证监会</w:t>
            </w:r>
          </w:p>
        </w:tc>
      </w:tr>
    </w:tbl>
    <w:p>
      <w:pPr>
        <w:spacing w:line="1" w:lineRule="exact"/>
        <w:rPr>
          <w:sz w:val="2"/>
          <w:szCs w:val="2"/>
          <w:lang w:eastAsia="zh-CN"/>
        </w:rPr>
      </w:pPr>
      <w:r>
        <w:rPr>
          <w:lang w:eastAsia="zh-CN"/>
        </w:rPr>
        <w:br w:type="page"/>
      </w:r>
    </w:p>
    <w:tbl>
      <w:tblPr>
        <w:tblStyle w:val="6"/>
        <w:tblW w:w="0" w:type="auto"/>
        <w:jc w:val="center"/>
        <w:tblLayout w:type="fixed"/>
        <w:tblCellMar>
          <w:top w:w="0" w:type="dxa"/>
          <w:left w:w="10" w:type="dxa"/>
          <w:bottom w:w="0" w:type="dxa"/>
          <w:right w:w="10" w:type="dxa"/>
        </w:tblCellMar>
      </w:tblPr>
      <w:tblGrid>
        <w:gridCol w:w="2094"/>
        <w:gridCol w:w="11082"/>
        <w:gridCol w:w="1962"/>
      </w:tblGrid>
      <w:tr>
        <w:tblPrEx>
          <w:tblCellMar>
            <w:top w:w="0" w:type="dxa"/>
            <w:left w:w="10" w:type="dxa"/>
            <w:bottom w:w="0" w:type="dxa"/>
            <w:right w:w="10" w:type="dxa"/>
          </w:tblCellMar>
        </w:tblPrEx>
        <w:trPr>
          <w:trHeight w:val="396" w:hRule="exact"/>
          <w:jc w:val="center"/>
        </w:trPr>
        <w:tc>
          <w:tcPr>
            <w:tcW w:w="2094" w:type="dxa"/>
            <w:tcBorders>
              <w:top w:val="single" w:color="auto" w:sz="4" w:space="0"/>
              <w:left w:val="single" w:color="auto" w:sz="4" w:space="0"/>
            </w:tcBorders>
            <w:shd w:val="clear" w:color="auto" w:fill="FFFFFF"/>
            <w:vAlign w:val="bottom"/>
          </w:tcPr>
          <w:p>
            <w:pPr>
              <w:pStyle w:val="23"/>
              <w:spacing w:line="240" w:lineRule="auto"/>
              <w:ind w:firstLine="0"/>
              <w:jc w:val="center"/>
            </w:pPr>
            <w:r>
              <w:t>惩戒措施</w:t>
            </w:r>
          </w:p>
        </w:tc>
        <w:tc>
          <w:tcPr>
            <w:tcW w:w="11082" w:type="dxa"/>
            <w:tcBorders>
              <w:top w:val="single" w:color="auto" w:sz="4" w:space="0"/>
              <w:left w:val="single" w:color="auto" w:sz="4" w:space="0"/>
            </w:tcBorders>
            <w:shd w:val="clear" w:color="auto" w:fill="FFFFFF"/>
            <w:vAlign w:val="bottom"/>
          </w:tcPr>
          <w:p>
            <w:pPr>
              <w:pStyle w:val="23"/>
              <w:spacing w:line="240" w:lineRule="auto"/>
              <w:ind w:firstLine="0"/>
              <w:jc w:val="center"/>
            </w:pPr>
            <w:r>
              <w:t>法律及政策依据</w:t>
            </w:r>
          </w:p>
        </w:tc>
        <w:tc>
          <w:tcPr>
            <w:tcW w:w="1962" w:type="dxa"/>
            <w:tcBorders>
              <w:top w:val="single" w:color="auto" w:sz="4" w:space="0"/>
              <w:left w:val="single" w:color="auto" w:sz="4" w:space="0"/>
              <w:right w:val="single" w:color="auto" w:sz="4" w:space="0"/>
            </w:tcBorders>
            <w:shd w:val="clear" w:color="auto" w:fill="FFFFFF"/>
            <w:vAlign w:val="bottom"/>
          </w:tcPr>
          <w:p>
            <w:pPr>
              <w:pStyle w:val="23"/>
              <w:spacing w:line="240" w:lineRule="auto"/>
              <w:ind w:firstLine="0"/>
              <w:jc w:val="center"/>
            </w:pPr>
            <w:r>
              <w:t>实施单位</w:t>
            </w:r>
          </w:p>
        </w:tc>
      </w:tr>
      <w:tr>
        <w:tblPrEx>
          <w:tblCellMar>
            <w:top w:w="0" w:type="dxa"/>
            <w:left w:w="10" w:type="dxa"/>
            <w:bottom w:w="0" w:type="dxa"/>
            <w:right w:w="10" w:type="dxa"/>
          </w:tblCellMar>
        </w:tblPrEx>
        <w:trPr>
          <w:trHeight w:val="1374" w:hRule="exact"/>
          <w:jc w:val="center"/>
        </w:trPr>
        <w:tc>
          <w:tcPr>
            <w:tcW w:w="2094" w:type="dxa"/>
            <w:tcBorders>
              <w:top w:val="single" w:color="auto" w:sz="4" w:space="0"/>
              <w:left w:val="single" w:color="auto" w:sz="4" w:space="0"/>
            </w:tcBorders>
            <w:shd w:val="clear" w:color="auto" w:fill="FFFFFF"/>
          </w:tcPr>
          <w:p>
            <w:pPr>
              <w:rPr>
                <w:sz w:val="10"/>
                <w:szCs w:val="10"/>
              </w:rPr>
            </w:pPr>
          </w:p>
        </w:tc>
        <w:tc>
          <w:tcPr>
            <w:tcW w:w="11082" w:type="dxa"/>
            <w:tcBorders>
              <w:top w:val="single" w:color="auto" w:sz="4" w:space="0"/>
              <w:left w:val="single" w:color="auto" w:sz="4" w:space="0"/>
            </w:tcBorders>
            <w:shd w:val="clear" w:color="auto" w:fill="FFFFFF"/>
          </w:tcPr>
          <w:p>
            <w:pPr>
              <w:pStyle w:val="23"/>
              <w:tabs>
                <w:tab w:val="left" w:pos="1142"/>
              </w:tabs>
              <w:spacing w:line="240" w:lineRule="auto"/>
              <w:ind w:firstLine="620"/>
              <w:jc w:val="both"/>
            </w:pPr>
            <w:r>
              <w:t>（二）</w:t>
            </w:r>
            <w:r>
              <w:tab/>
            </w:r>
            <w:r>
              <w:t>最近</w:t>
            </w:r>
            <w:r>
              <w:rPr>
                <w:rFonts w:ascii="Times New Roman" w:hAnsi="Times New Roman" w:eastAsia="Times New Roman" w:cs="Times New Roman"/>
                <w:b/>
                <w:bCs/>
                <w:sz w:val="22"/>
                <w:szCs w:val="22"/>
              </w:rPr>
              <w:t>12</w:t>
            </w:r>
            <w:r>
              <w:t>个月内被中国证监会及其派出机构认定为不适当人选；</w:t>
            </w:r>
          </w:p>
          <w:p>
            <w:pPr>
              <w:pStyle w:val="23"/>
              <w:tabs>
                <w:tab w:val="left" w:pos="1136"/>
              </w:tabs>
              <w:spacing w:line="240" w:lineRule="auto"/>
              <w:ind w:firstLine="620"/>
              <w:jc w:val="both"/>
            </w:pPr>
            <w:r>
              <w:t>（三）</w:t>
            </w:r>
            <w:r>
              <w:tab/>
            </w:r>
            <w:r>
              <w:t>最近</w:t>
            </w:r>
            <w:r>
              <w:rPr>
                <w:rFonts w:ascii="Times New Roman" w:hAnsi="Times New Roman" w:eastAsia="Times New Roman" w:cs="Times New Roman"/>
                <w:b/>
                <w:bCs/>
                <w:sz w:val="22"/>
                <w:szCs w:val="22"/>
              </w:rPr>
              <w:t>12</w:t>
            </w:r>
            <w:r>
              <w:t>个月内因重大违法违规行为被中国证监会及其派出机构行政处罚或者釆取市场禁入措施；</w:t>
            </w:r>
          </w:p>
          <w:p>
            <w:pPr>
              <w:pStyle w:val="23"/>
              <w:tabs>
                <w:tab w:val="left" w:pos="1136"/>
              </w:tabs>
              <w:spacing w:line="240" w:lineRule="auto"/>
              <w:ind w:firstLine="620"/>
              <w:jc w:val="both"/>
            </w:pPr>
            <w:r>
              <w:t>（四）</w:t>
            </w:r>
            <w:r>
              <w:tab/>
            </w:r>
            <w:r>
              <w:t>具有《公司法》规定的不得担任公司董事、高级管理人员情形的；</w:t>
            </w:r>
          </w:p>
          <w:p>
            <w:pPr>
              <w:pStyle w:val="23"/>
              <w:tabs>
                <w:tab w:val="left" w:pos="1130"/>
              </w:tabs>
              <w:spacing w:line="240" w:lineRule="auto"/>
              <w:ind w:firstLine="620"/>
              <w:jc w:val="both"/>
            </w:pPr>
            <w:r>
              <w:t>（五）</w:t>
            </w:r>
            <w:r>
              <w:tab/>
            </w:r>
            <w:r>
              <w:t>法律法规规定不得参与上市公司股权激励的；</w:t>
            </w:r>
          </w:p>
          <w:p>
            <w:pPr>
              <w:pStyle w:val="23"/>
              <w:tabs>
                <w:tab w:val="left" w:pos="1154"/>
              </w:tabs>
              <w:spacing w:line="240" w:lineRule="auto"/>
              <w:ind w:firstLine="620"/>
              <w:jc w:val="both"/>
            </w:pPr>
            <w:r>
              <w:t>（六）</w:t>
            </w:r>
            <w:r>
              <w:tab/>
            </w:r>
            <w:r>
              <w:t>中国证监会认定的其他情形。</w:t>
            </w:r>
          </w:p>
        </w:tc>
        <w:tc>
          <w:tcPr>
            <w:tcW w:w="1962"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3438" w:hRule="exact"/>
          <w:jc w:val="center"/>
        </w:trPr>
        <w:tc>
          <w:tcPr>
            <w:tcW w:w="2094" w:type="dxa"/>
            <w:tcBorders>
              <w:top w:val="single" w:color="auto" w:sz="4" w:space="0"/>
              <w:left w:val="single" w:color="auto" w:sz="4" w:space="0"/>
            </w:tcBorders>
            <w:shd w:val="clear" w:color="auto" w:fill="FFFFFF"/>
            <w:vAlign w:val="center"/>
          </w:tcPr>
          <w:p>
            <w:pPr>
              <w:pStyle w:val="23"/>
              <w:spacing w:line="310" w:lineRule="exact"/>
              <w:ind w:firstLine="200"/>
            </w:pPr>
            <w:r>
              <w:t>（一）对其进出口货物加大监管力度，加强单证审核和布控査验。</w:t>
            </w:r>
          </w:p>
        </w:tc>
        <w:tc>
          <w:tcPr>
            <w:tcW w:w="11082" w:type="dxa"/>
            <w:tcBorders>
              <w:top w:val="single" w:color="auto" w:sz="4" w:space="0"/>
              <w:left w:val="single" w:color="auto" w:sz="4" w:space="0"/>
            </w:tcBorders>
            <w:shd w:val="clear" w:color="auto" w:fill="FFFFFF"/>
          </w:tcPr>
          <w:p>
            <w:pPr>
              <w:pStyle w:val="23"/>
              <w:spacing w:line="313" w:lineRule="exact"/>
              <w:ind w:firstLine="620"/>
              <w:jc w:val="both"/>
            </w:pPr>
            <w:r>
              <w:t>《国务院关于促进市场公平竞争维护市场正常秩序的若干意见》（国发</w:t>
            </w:r>
            <w:r>
              <w:rPr>
                <w:rFonts w:ascii="Times New Roman" w:hAnsi="Times New Roman" w:eastAsia="Times New Roman" w:cs="Times New Roman"/>
                <w:b/>
                <w:bCs/>
                <w:sz w:val="22"/>
                <w:szCs w:val="22"/>
              </w:rPr>
              <w:t>（2014</w:t>
            </w:r>
            <w:r>
              <w:rPr>
                <w:b/>
                <w:bCs/>
                <w:sz w:val="22"/>
                <w:szCs w:val="22"/>
              </w:rPr>
              <w:t>）</w:t>
            </w:r>
            <w:r>
              <w:rPr>
                <w:rFonts w:ascii="Times New Roman" w:hAnsi="Times New Roman" w:eastAsia="Times New Roman" w:cs="Times New Roman"/>
                <w:b/>
                <w:bCs/>
                <w:sz w:val="22"/>
                <w:szCs w:val="22"/>
              </w:rPr>
              <w:t>20</w:t>
            </w:r>
            <w:r>
              <w:t>号）</w:t>
            </w:r>
          </w:p>
          <w:p>
            <w:pPr>
              <w:pStyle w:val="23"/>
              <w:spacing w:line="313" w:lineRule="exact"/>
              <w:ind w:firstLine="620"/>
              <w:jc w:val="both"/>
            </w:pPr>
            <w: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w:t>
            </w:r>
            <w:r>
              <w:rPr>
                <w:lang w:val="zh-CN" w:eastAsia="zh-CN" w:bidi="zh-CN"/>
              </w:rPr>
              <w:t>“黑</w:t>
            </w:r>
            <w:r>
              <w:t>名单”制度。（工商总局牵头负责）对守信主体予以支持和激励，对失信主体在经营、投融资、取得政府供应土地、进出口、出入境、注册新公司、工程招投标、政府釆购、获得荣誉、安全许可、生产许可、 从业任职资格、资质审核等方面依法予以限制或禁止，对严重违法失信主体实行市场禁入制度。（各相关市场监管部 门按职责分工分别负责）</w:t>
            </w:r>
          </w:p>
          <w:p>
            <w:pPr>
              <w:pStyle w:val="23"/>
              <w:spacing w:line="313" w:lineRule="exact"/>
              <w:ind w:firstLine="620"/>
              <w:jc w:val="both"/>
            </w:pPr>
            <w:r>
              <w:t>《国务院关于印发社会信用体系建设规划纲要</w:t>
            </w:r>
            <w:r>
              <w:rPr>
                <w:b/>
                <w:bCs/>
                <w:sz w:val="22"/>
                <w:szCs w:val="22"/>
              </w:rPr>
              <w:t>（</w:t>
            </w:r>
            <w:r>
              <w:rPr>
                <w:rFonts w:ascii="Times New Roman" w:hAnsi="Times New Roman" w:eastAsia="Times New Roman" w:cs="Times New Roman"/>
                <w:b/>
                <w:bCs/>
                <w:sz w:val="22"/>
                <w:szCs w:val="22"/>
              </w:rPr>
              <w:t>2014—2020</w:t>
            </w:r>
            <w:r>
              <w:t>年）的通知》（国发</w:t>
            </w:r>
            <w:r>
              <w:rPr>
                <w:rFonts w:ascii="Times New Roman" w:hAnsi="Times New Roman" w:eastAsia="Times New Roman" w:cs="Times New Roman"/>
                <w:b/>
                <w:bCs/>
                <w:sz w:val="22"/>
                <w:szCs w:val="22"/>
              </w:rPr>
              <w:t>（2014） 21</w:t>
            </w:r>
            <w:r>
              <w:t>号）</w:t>
            </w:r>
          </w:p>
          <w:p>
            <w:pPr>
              <w:pStyle w:val="23"/>
              <w:spacing w:line="313" w:lineRule="exact"/>
              <w:jc w:val="both"/>
            </w:pPr>
            <w: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w:t>
            </w:r>
          </w:p>
        </w:tc>
        <w:tc>
          <w:tcPr>
            <w:tcW w:w="1962" w:type="dxa"/>
            <w:tcBorders>
              <w:top w:val="single" w:color="auto" w:sz="4" w:space="0"/>
              <w:left w:val="single" w:color="auto" w:sz="4" w:space="0"/>
              <w:right w:val="single" w:color="auto" w:sz="4" w:space="0"/>
            </w:tcBorders>
            <w:shd w:val="clear" w:color="auto" w:fill="FFFFFF"/>
            <w:vAlign w:val="center"/>
          </w:tcPr>
          <w:p>
            <w:pPr>
              <w:pStyle w:val="23"/>
              <w:spacing w:after="80" w:line="240" w:lineRule="auto"/>
              <w:ind w:left="160" w:firstLine="0"/>
              <w:jc w:val="center"/>
            </w:pPr>
            <w:r>
              <w:t>海关总署、</w:t>
            </w:r>
          </w:p>
          <w:p>
            <w:pPr>
              <w:pStyle w:val="23"/>
              <w:spacing w:line="240" w:lineRule="auto"/>
              <w:ind w:firstLine="0"/>
              <w:jc w:val="center"/>
            </w:pPr>
            <w:r>
              <w:t>质检总局</w:t>
            </w:r>
          </w:p>
        </w:tc>
      </w:tr>
      <w:tr>
        <w:tblPrEx>
          <w:tblCellMar>
            <w:top w:w="0" w:type="dxa"/>
            <w:left w:w="10" w:type="dxa"/>
            <w:bottom w:w="0" w:type="dxa"/>
            <w:right w:w="10" w:type="dxa"/>
          </w:tblCellMar>
        </w:tblPrEx>
        <w:trPr>
          <w:trHeight w:val="1866" w:hRule="exact"/>
          <w:jc w:val="center"/>
        </w:trPr>
        <w:tc>
          <w:tcPr>
            <w:tcW w:w="2094" w:type="dxa"/>
            <w:tcBorders>
              <w:top w:val="single" w:color="auto" w:sz="4" w:space="0"/>
              <w:left w:val="single" w:color="auto" w:sz="4" w:space="0"/>
            </w:tcBorders>
            <w:shd w:val="clear" w:color="auto" w:fill="FFFFFF"/>
            <w:vAlign w:val="bottom"/>
          </w:tcPr>
          <w:p>
            <w:pPr>
              <w:pStyle w:val="23"/>
              <w:spacing w:line="316" w:lineRule="exact"/>
              <w:ind w:firstLine="200"/>
            </w:pPr>
            <w:r>
              <w:t>（十二）申请适用海 关认证企业管理的，不予通过认证；已经成为认证企业的，按照规定下调企业信用等级。</w:t>
            </w:r>
          </w:p>
        </w:tc>
        <w:tc>
          <w:tcPr>
            <w:tcW w:w="11082" w:type="dxa"/>
            <w:tcBorders>
              <w:top w:val="single" w:color="auto" w:sz="4" w:space="0"/>
              <w:left w:val="single" w:color="auto" w:sz="4" w:space="0"/>
            </w:tcBorders>
            <w:shd w:val="clear" w:color="auto" w:fill="FFFFFF"/>
            <w:vAlign w:val="center"/>
          </w:tcPr>
          <w:p>
            <w:pPr>
              <w:pStyle w:val="23"/>
              <w:spacing w:line="312" w:lineRule="exact"/>
              <w:ind w:firstLine="600"/>
              <w:jc w:val="both"/>
            </w:pPr>
            <w:r>
              <w:t>《海关认证企业标准（一般认证）》（海关总署公告</w:t>
            </w:r>
            <w:r>
              <w:rPr>
                <w:rFonts w:ascii="Times New Roman" w:hAnsi="Times New Roman" w:eastAsia="Times New Roman" w:cs="Times New Roman"/>
                <w:b/>
                <w:bCs/>
                <w:sz w:val="22"/>
                <w:szCs w:val="22"/>
              </w:rPr>
              <w:t>2014</w:t>
            </w:r>
            <w:r>
              <w:t>年第</w:t>
            </w:r>
            <w:r>
              <w:rPr>
                <w:rFonts w:ascii="Times New Roman" w:hAnsi="Times New Roman" w:eastAsia="Times New Roman" w:cs="Times New Roman"/>
                <w:b/>
                <w:bCs/>
                <w:sz w:val="22"/>
                <w:szCs w:val="22"/>
              </w:rPr>
              <w:t>82</w:t>
            </w:r>
            <w:r>
              <w:t>号）</w:t>
            </w:r>
          </w:p>
          <w:p>
            <w:pPr>
              <w:pStyle w:val="23"/>
              <w:spacing w:line="312" w:lineRule="exact"/>
              <w:ind w:firstLine="600"/>
              <w:jc w:val="both"/>
            </w:pPr>
            <w:r>
              <w:t>（九）未有不良外部信用：</w:t>
            </w:r>
          </w:p>
          <w:p>
            <w:pPr>
              <w:pStyle w:val="23"/>
              <w:spacing w:line="312" w:lineRule="exact"/>
              <w:jc w:val="both"/>
            </w:pPr>
            <w:r>
              <w:rPr>
                <w:rFonts w:ascii="Times New Roman" w:hAnsi="Times New Roman" w:eastAsia="Times New Roman" w:cs="Times New Roman"/>
                <w:b/>
                <w:bCs/>
                <w:sz w:val="22"/>
                <w:szCs w:val="22"/>
              </w:rPr>
              <w:t>20</w:t>
            </w:r>
            <w:r>
              <w:t>外部信用：企业或者其企业法定代表人（负责人）、负责关务的高级管理人员、财务负责人连续</w:t>
            </w:r>
            <w:r>
              <w:rPr>
                <w:rFonts w:ascii="Times New Roman" w:hAnsi="Times New Roman" w:eastAsia="Times New Roman" w:cs="Times New Roman"/>
                <w:b/>
                <w:bCs/>
                <w:sz w:val="22"/>
                <w:szCs w:val="22"/>
              </w:rPr>
              <w:t>1</w:t>
            </w:r>
            <w:r>
              <w:t>年在工商、商务、税务、银行、外汇、检验检疫、公安、检察院、法院等部门未被列入经营异常名录、失信企业或者人员名单、 黑名单企业、人员。</w:t>
            </w:r>
          </w:p>
        </w:tc>
        <w:tc>
          <w:tcPr>
            <w:tcW w:w="1962" w:type="dxa"/>
            <w:tcBorders>
              <w:top w:val="single" w:color="auto" w:sz="4" w:space="0"/>
              <w:left w:val="single" w:color="auto" w:sz="4" w:space="0"/>
              <w:right w:val="single" w:color="auto" w:sz="4" w:space="0"/>
            </w:tcBorders>
            <w:shd w:val="clear" w:color="auto" w:fill="FFFFFF"/>
            <w:vAlign w:val="center"/>
          </w:tcPr>
          <w:p>
            <w:pPr>
              <w:pStyle w:val="23"/>
              <w:spacing w:line="240" w:lineRule="auto"/>
              <w:ind w:firstLine="0"/>
              <w:jc w:val="center"/>
            </w:pPr>
            <w:r>
              <w:t>海关总署</w:t>
            </w:r>
          </w:p>
        </w:tc>
      </w:tr>
      <w:tr>
        <w:tblPrEx>
          <w:tblCellMar>
            <w:top w:w="0" w:type="dxa"/>
            <w:left w:w="10" w:type="dxa"/>
            <w:bottom w:w="0" w:type="dxa"/>
            <w:right w:w="10" w:type="dxa"/>
          </w:tblCellMar>
        </w:tblPrEx>
        <w:trPr>
          <w:trHeight w:val="984" w:hRule="exact"/>
          <w:jc w:val="center"/>
        </w:trPr>
        <w:tc>
          <w:tcPr>
            <w:tcW w:w="2094" w:type="dxa"/>
            <w:tcBorders>
              <w:top w:val="single" w:color="auto" w:sz="4" w:space="0"/>
              <w:left w:val="single" w:color="auto" w:sz="4" w:space="0"/>
              <w:bottom w:val="single" w:color="auto" w:sz="4" w:space="0"/>
            </w:tcBorders>
            <w:shd w:val="clear" w:color="auto" w:fill="FFFFFF"/>
          </w:tcPr>
          <w:p>
            <w:pPr>
              <w:pStyle w:val="23"/>
              <w:spacing w:line="324" w:lineRule="exact"/>
              <w:ind w:firstLine="200"/>
            </w:pPr>
            <w:r>
              <w:t>（十三）将失信企业 有关信息纳入检验检疫进出口企业信用管理系</w:t>
            </w:r>
          </w:p>
        </w:tc>
        <w:tc>
          <w:tcPr>
            <w:tcW w:w="11082" w:type="dxa"/>
            <w:tcBorders>
              <w:top w:val="single" w:color="auto" w:sz="4" w:space="0"/>
              <w:left w:val="single" w:color="auto" w:sz="4" w:space="0"/>
              <w:bottom w:val="single" w:color="auto" w:sz="4" w:space="0"/>
            </w:tcBorders>
            <w:shd w:val="clear" w:color="auto" w:fill="FFFFFF"/>
          </w:tcPr>
          <w:p>
            <w:pPr>
              <w:pStyle w:val="23"/>
              <w:spacing w:line="324" w:lineRule="exact"/>
              <w:ind w:firstLine="620"/>
              <w:jc w:val="both"/>
            </w:pPr>
            <w:r>
              <w:t>《国务院关于促进市场公平竞争维护市场正常秩序的若干意见》（国发〔</w:t>
            </w:r>
            <w:r>
              <w:rPr>
                <w:rFonts w:ascii="Times New Roman" w:hAnsi="Times New Roman" w:eastAsia="Times New Roman" w:cs="Times New Roman"/>
                <w:b/>
                <w:bCs/>
                <w:sz w:val="22"/>
                <w:szCs w:val="22"/>
              </w:rPr>
              <w:t>2014</w:t>
            </w:r>
            <w:r>
              <w:rPr>
                <w:rFonts w:asciiTheme="minorEastAsia" w:hAnsiTheme="minorEastAsia" w:eastAsiaTheme="minorEastAsia"/>
                <w:lang w:eastAsia="zh-CN"/>
              </w:rPr>
              <w:t>〕</w:t>
            </w:r>
            <w:r>
              <w:rPr>
                <w:rFonts w:ascii="Times New Roman" w:hAnsi="Times New Roman" w:eastAsia="Times New Roman" w:cs="Times New Roman"/>
                <w:b/>
                <w:bCs/>
                <w:sz w:val="22"/>
                <w:szCs w:val="22"/>
              </w:rPr>
              <w:t xml:space="preserve"> 20</w:t>
            </w:r>
            <w:r>
              <w:t>号）</w:t>
            </w:r>
          </w:p>
          <w:p>
            <w:pPr>
              <w:pStyle w:val="23"/>
              <w:spacing w:line="324" w:lineRule="exact"/>
              <w:ind w:firstLine="620"/>
              <w:jc w:val="both"/>
            </w:pPr>
            <w: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w:t>
            </w:r>
          </w:p>
        </w:tc>
        <w:tc>
          <w:tcPr>
            <w:tcW w:w="19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center"/>
            </w:pPr>
            <w:r>
              <w:t>质检总局</w:t>
            </w:r>
          </w:p>
        </w:tc>
      </w:tr>
    </w:tbl>
    <w:p>
      <w:pPr>
        <w:spacing w:line="1" w:lineRule="exact"/>
        <w:rPr>
          <w:sz w:val="2"/>
          <w:szCs w:val="2"/>
        </w:rPr>
      </w:pPr>
      <w:r>
        <w:br w:type="page"/>
      </w:r>
    </w:p>
    <w:tbl>
      <w:tblPr>
        <w:tblStyle w:val="6"/>
        <w:tblW w:w="0" w:type="auto"/>
        <w:jc w:val="center"/>
        <w:tblLayout w:type="fixed"/>
        <w:tblCellMar>
          <w:top w:w="0" w:type="dxa"/>
          <w:left w:w="10" w:type="dxa"/>
          <w:bottom w:w="0" w:type="dxa"/>
          <w:right w:w="10" w:type="dxa"/>
        </w:tblCellMar>
      </w:tblPr>
      <w:tblGrid>
        <w:gridCol w:w="2094"/>
        <w:gridCol w:w="11076"/>
        <w:gridCol w:w="1920"/>
      </w:tblGrid>
      <w:tr>
        <w:tblPrEx>
          <w:tblCellMar>
            <w:top w:w="0" w:type="dxa"/>
            <w:left w:w="10" w:type="dxa"/>
            <w:bottom w:w="0" w:type="dxa"/>
            <w:right w:w="10" w:type="dxa"/>
          </w:tblCellMar>
        </w:tblPrEx>
        <w:trPr>
          <w:trHeight w:val="402" w:hRule="exact"/>
          <w:jc w:val="center"/>
        </w:trPr>
        <w:tc>
          <w:tcPr>
            <w:tcW w:w="2094" w:type="dxa"/>
            <w:tcBorders>
              <w:top w:val="single" w:color="auto" w:sz="4" w:space="0"/>
              <w:left w:val="single" w:color="auto" w:sz="4" w:space="0"/>
            </w:tcBorders>
            <w:shd w:val="clear" w:color="auto" w:fill="FFFFFF"/>
            <w:vAlign w:val="bottom"/>
          </w:tcPr>
          <w:p>
            <w:pPr>
              <w:pStyle w:val="23"/>
              <w:spacing w:line="240" w:lineRule="auto"/>
              <w:ind w:firstLine="0"/>
              <w:jc w:val="center"/>
            </w:pPr>
            <w:r>
              <w:t>惩戒措施</w:t>
            </w:r>
          </w:p>
        </w:tc>
        <w:tc>
          <w:tcPr>
            <w:tcW w:w="11076" w:type="dxa"/>
            <w:tcBorders>
              <w:top w:val="single" w:color="auto" w:sz="4" w:space="0"/>
              <w:left w:val="single" w:color="auto" w:sz="4" w:space="0"/>
            </w:tcBorders>
            <w:shd w:val="clear" w:color="auto" w:fill="FFFFFF"/>
            <w:vAlign w:val="bottom"/>
          </w:tcPr>
          <w:p>
            <w:pPr>
              <w:pStyle w:val="23"/>
              <w:spacing w:line="240" w:lineRule="auto"/>
              <w:ind w:firstLine="0"/>
              <w:jc w:val="center"/>
            </w:pPr>
            <w:r>
              <w:t>法律及政策依据</w:t>
            </w:r>
          </w:p>
        </w:tc>
        <w:tc>
          <w:tcPr>
            <w:tcW w:w="1920" w:type="dxa"/>
            <w:tcBorders>
              <w:top w:val="single" w:color="auto" w:sz="4" w:space="0"/>
              <w:left w:val="single" w:color="auto" w:sz="4" w:space="0"/>
              <w:right w:val="single" w:color="auto" w:sz="4" w:space="0"/>
            </w:tcBorders>
            <w:shd w:val="clear" w:color="auto" w:fill="FFFFFF"/>
            <w:vAlign w:val="bottom"/>
          </w:tcPr>
          <w:p>
            <w:pPr>
              <w:pStyle w:val="23"/>
              <w:spacing w:line="240" w:lineRule="auto"/>
              <w:ind w:firstLine="0"/>
              <w:jc w:val="center"/>
            </w:pPr>
            <w:r>
              <w:t>实施单位</w:t>
            </w:r>
          </w:p>
        </w:tc>
      </w:tr>
      <w:tr>
        <w:tblPrEx>
          <w:tblCellMar>
            <w:top w:w="0" w:type="dxa"/>
            <w:left w:w="10" w:type="dxa"/>
            <w:bottom w:w="0" w:type="dxa"/>
            <w:right w:w="10" w:type="dxa"/>
          </w:tblCellMar>
        </w:tblPrEx>
        <w:trPr>
          <w:trHeight w:val="3750" w:hRule="exact"/>
          <w:jc w:val="center"/>
        </w:trPr>
        <w:tc>
          <w:tcPr>
            <w:tcW w:w="2094" w:type="dxa"/>
            <w:tcBorders>
              <w:top w:val="single" w:color="auto" w:sz="4" w:space="0"/>
              <w:left w:val="single" w:color="auto" w:sz="4" w:space="0"/>
            </w:tcBorders>
            <w:shd w:val="clear" w:color="auto" w:fill="FFFFFF"/>
          </w:tcPr>
          <w:p>
            <w:pPr>
              <w:pStyle w:val="23"/>
              <w:spacing w:line="307" w:lineRule="exact"/>
              <w:ind w:firstLine="0"/>
              <w:jc w:val="both"/>
            </w:pPr>
            <w:r>
              <w:t>统，依据 《出入境检验检疫 企业信用管理办法》 对其进行信用评级 和监督。</w:t>
            </w:r>
          </w:p>
        </w:tc>
        <w:tc>
          <w:tcPr>
            <w:tcW w:w="11076" w:type="dxa"/>
            <w:tcBorders>
              <w:top w:val="single" w:color="auto" w:sz="4" w:space="0"/>
              <w:left w:val="single" w:color="auto" w:sz="4" w:space="0"/>
            </w:tcBorders>
            <w:shd w:val="clear" w:color="auto" w:fill="FFFFFF"/>
            <w:vAlign w:val="bottom"/>
          </w:tcPr>
          <w:p>
            <w:pPr>
              <w:pStyle w:val="23"/>
              <w:spacing w:line="316" w:lineRule="exact"/>
              <w:ind w:firstLine="0"/>
              <w:jc w:val="both"/>
            </w:pPr>
            <w:r>
              <w:t>建立</w:t>
            </w:r>
            <w:r>
              <w:rPr>
                <w:lang w:val="zh-CN" w:eastAsia="zh-CN" w:bidi="zh-CN"/>
              </w:rPr>
              <w:t>“黑</w:t>
            </w:r>
            <w:r>
              <w:t>名单”制度。（工商总局牵头负责）对守信主体予以支持和激励，对失信主体在经营、投融资、取得政府供应土地、进出口、出入境、注册新公司、工程招投标、政府釆购、获得荣誉、安全许可、生产许可、 从业任职资格、资质审核等方面依法予以限制或禁止，对严重违法失信主体实行市场禁入制度。（各相关市场监管部 门按职责分工分别负责）</w:t>
            </w:r>
          </w:p>
          <w:p>
            <w:pPr>
              <w:pStyle w:val="23"/>
              <w:spacing w:line="316" w:lineRule="exact"/>
              <w:jc w:val="both"/>
            </w:pPr>
            <w:r>
              <w:t>《国务院关于印发社会信用体系建设规划纲要</w:t>
            </w:r>
            <w:r>
              <w:rPr>
                <w:b/>
                <w:bCs/>
                <w:sz w:val="22"/>
                <w:szCs w:val="22"/>
                <w:lang w:val="en-US" w:eastAsia="zh-CN" w:bidi="en-US"/>
              </w:rPr>
              <w:t>（</w:t>
            </w:r>
            <w:r>
              <w:rPr>
                <w:rFonts w:ascii="Times New Roman" w:hAnsi="Times New Roman" w:eastAsia="Times New Roman" w:cs="Times New Roman"/>
                <w:b/>
                <w:bCs/>
                <w:sz w:val="22"/>
                <w:szCs w:val="22"/>
                <w:lang w:val="en-US" w:eastAsia="zh-CN" w:bidi="en-US"/>
              </w:rPr>
              <w:t>2014-2020</w:t>
            </w:r>
            <w:r>
              <w:t>年）的通知》（国发</w:t>
            </w:r>
            <w:r>
              <w:rPr>
                <w:rFonts w:ascii="Times New Roman" w:hAnsi="Times New Roman" w:eastAsia="Times New Roman" w:cs="Times New Roman"/>
                <w:b/>
                <w:bCs/>
                <w:sz w:val="22"/>
                <w:szCs w:val="22"/>
              </w:rPr>
              <w:t>（2014） 21</w:t>
            </w:r>
            <w:r>
              <w:t>号）</w:t>
            </w:r>
          </w:p>
          <w:p>
            <w:pPr>
              <w:pStyle w:val="23"/>
              <w:spacing w:line="316" w:lineRule="exact"/>
              <w:jc w:val="both"/>
            </w:pPr>
            <w: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 政策扶持等方面实施信用分类监管，结合监管对象的失信类别和程度，使失信者受到惩戒。</w:t>
            </w:r>
          </w:p>
          <w:p>
            <w:pPr>
              <w:pStyle w:val="23"/>
              <w:spacing w:line="316" w:lineRule="exact"/>
              <w:ind w:firstLine="600"/>
              <w:jc w:val="both"/>
            </w:pPr>
            <w:r>
              <w:t>《出入境检验检疫企业信用管理办法》（国家质矗监督检验检疫总局公告</w:t>
            </w:r>
            <w:r>
              <w:rPr>
                <w:rFonts w:ascii="Times New Roman" w:hAnsi="Times New Roman" w:eastAsia="Times New Roman" w:cs="Times New Roman"/>
                <w:b/>
                <w:bCs/>
                <w:sz w:val="22"/>
                <w:szCs w:val="22"/>
              </w:rPr>
              <w:t>2013</w:t>
            </w:r>
            <w:r>
              <w:t>年第</w:t>
            </w:r>
            <w:r>
              <w:rPr>
                <w:rFonts w:ascii="Times New Roman" w:hAnsi="Times New Roman" w:eastAsia="Times New Roman" w:cs="Times New Roman"/>
                <w:b/>
                <w:bCs/>
                <w:sz w:val="22"/>
                <w:szCs w:val="22"/>
              </w:rPr>
              <w:t>93</w:t>
            </w:r>
            <w:r>
              <w:t>号）</w:t>
            </w:r>
          </w:p>
          <w:p>
            <w:pPr>
              <w:pStyle w:val="23"/>
              <w:spacing w:line="316" w:lineRule="exact"/>
              <w:jc w:val="both"/>
            </w:pPr>
            <w:r>
              <w:t>第三条 企业信用信息包括企业基本信息、企业守法信息、企业质量管理能力信息、产品质量信息、检验检疫监管信息、社会对企业信用评价信息以及其他相关信息。</w:t>
            </w:r>
          </w:p>
          <w:p>
            <w:pPr>
              <w:pStyle w:val="23"/>
              <w:spacing w:line="316" w:lineRule="exact"/>
              <w:jc w:val="both"/>
            </w:pPr>
            <w:r>
              <w:t>（六）社会对企业信用评价信息包括政府管理部门情况通报、媒体报道及社会公众举报投诉等情况。</w:t>
            </w:r>
          </w:p>
        </w:tc>
        <w:tc>
          <w:tcPr>
            <w:tcW w:w="1920"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4098" w:hRule="exact"/>
          <w:jc w:val="center"/>
        </w:trPr>
        <w:tc>
          <w:tcPr>
            <w:tcW w:w="2094" w:type="dxa"/>
            <w:tcBorders>
              <w:top w:val="single" w:color="auto" w:sz="4" w:space="0"/>
              <w:left w:val="single" w:color="auto" w:sz="4" w:space="0"/>
              <w:bottom w:val="single" w:color="auto" w:sz="4" w:space="0"/>
            </w:tcBorders>
            <w:shd w:val="clear" w:color="auto" w:fill="FFFFFF"/>
            <w:vAlign w:val="center"/>
          </w:tcPr>
          <w:p>
            <w:pPr>
              <w:pStyle w:val="23"/>
              <w:spacing w:line="309" w:lineRule="exact"/>
              <w:ind w:firstLine="220"/>
            </w:pPr>
            <w:r>
              <w:t>（十四）认证机构暂 停或者撤销相关认证证书。</w:t>
            </w:r>
          </w:p>
        </w:tc>
        <w:tc>
          <w:tcPr>
            <w:tcW w:w="11076" w:type="dxa"/>
            <w:tcBorders>
              <w:top w:val="single" w:color="auto" w:sz="4" w:space="0"/>
              <w:left w:val="single" w:color="auto" w:sz="4" w:space="0"/>
              <w:bottom w:val="single" w:color="auto" w:sz="4" w:space="0"/>
            </w:tcBorders>
            <w:shd w:val="clear" w:color="auto" w:fill="FFFFFF"/>
          </w:tcPr>
          <w:p>
            <w:pPr>
              <w:pStyle w:val="23"/>
              <w:spacing w:line="313" w:lineRule="exact"/>
              <w:ind w:firstLine="600"/>
              <w:jc w:val="both"/>
            </w:pPr>
            <w:r>
              <w:t>《国务院关于促进市场公平竞争维护市场正常秩序的若千意见》（国发</w:t>
            </w:r>
            <w:r>
              <w:rPr>
                <w:rFonts w:ascii="Times New Roman" w:hAnsi="Times New Roman" w:eastAsia="Times New Roman" w:cs="Times New Roman"/>
                <w:b/>
                <w:bCs/>
                <w:sz w:val="22"/>
                <w:szCs w:val="22"/>
              </w:rPr>
              <w:t>（2014） 20</w:t>
            </w:r>
            <w:r>
              <w:t>号）</w:t>
            </w:r>
          </w:p>
          <w:p>
            <w:pPr>
              <w:pStyle w:val="23"/>
              <w:spacing w:line="313" w:lineRule="exact"/>
              <w:ind w:firstLine="600"/>
              <w:jc w:val="both"/>
            </w:pPr>
            <w:r>
              <w:t>（十五）建立健全守信激励和失信惩戒机制。将市场主体的信用信息作为实施行政管理的重要参考。根据市场主 体信用状况实行分类分级、动态监管，建立健全经营异常名录制度，对违背市场竞争原则和侵犯消费者、劳动者合法 权益的市场主体建立</w:t>
            </w:r>
            <w:r>
              <w:rPr>
                <w:lang w:val="zh-CN" w:eastAsia="zh-CN" w:bidi="zh-CN"/>
              </w:rPr>
              <w:t>“黑</w:t>
            </w:r>
            <w:r>
              <w:t>名单”制度。（工商总局牵头负责）对守信主体予以支持和激励，对失信主体在经营、投融 资、取得政府供应土地、进出口、出入境、注册新公司、工程招投标、政府釆购、获得荣誉、安全许可、生产许可、 从业任职资格、资质审核等方面依法予以限制或禁止，对严重违法失信主体实行市场禁入制度。（各相关市场监管部 门按职责分工分别负责）</w:t>
            </w:r>
          </w:p>
          <w:p>
            <w:pPr>
              <w:pStyle w:val="23"/>
              <w:spacing w:line="313" w:lineRule="exact"/>
              <w:ind w:firstLine="600"/>
              <w:jc w:val="both"/>
            </w:pPr>
            <w:r>
              <w:t>《国务院关于印发社会信用体系建设规划纲要</w:t>
            </w:r>
            <w:r>
              <w:rPr>
                <w:b/>
                <w:bCs/>
                <w:sz w:val="22"/>
                <w:szCs w:val="22"/>
                <w:lang w:val="en-US" w:eastAsia="zh-CN" w:bidi="en-US"/>
              </w:rPr>
              <w:t>（</w:t>
            </w:r>
            <w:r>
              <w:rPr>
                <w:rFonts w:ascii="Times New Roman" w:hAnsi="Times New Roman" w:eastAsia="Times New Roman" w:cs="Times New Roman"/>
                <w:b/>
                <w:bCs/>
                <w:sz w:val="22"/>
                <w:szCs w:val="22"/>
                <w:lang w:val="en-US" w:eastAsia="zh-CN" w:bidi="en-US"/>
              </w:rPr>
              <w:t>2014—2020</w:t>
            </w:r>
            <w:r>
              <w:t>年）的通知》（国发</w:t>
            </w:r>
            <w:r>
              <w:rPr>
                <w:rFonts w:ascii="Times New Roman" w:hAnsi="Times New Roman" w:eastAsia="Times New Roman" w:cs="Times New Roman"/>
                <w:b/>
                <w:bCs/>
                <w:sz w:val="22"/>
                <w:szCs w:val="22"/>
              </w:rPr>
              <w:t>（2014） 21</w:t>
            </w:r>
            <w:r>
              <w:t>号）</w:t>
            </w:r>
          </w:p>
          <w:p>
            <w:pPr>
              <w:pStyle w:val="23"/>
              <w:spacing w:line="309" w:lineRule="exact"/>
              <w:jc w:val="both"/>
            </w:pPr>
            <w:r>
              <w:t>加强对失信主体的约</w:t>
            </w:r>
            <w:r>
              <w:rPr>
                <w:rFonts w:hint="eastAsia" w:eastAsiaTheme="minorEastAsia"/>
                <w:lang w:eastAsia="zh-CN"/>
              </w:rPr>
              <w:t>束</w:t>
            </w:r>
            <w:r>
              <w:t>和惩戒。强化行政监管性约束和惩戒。在现有行政处罚措施的基础上，健全失信惩戒制度，建立各行业黑名单制度和市场退出机制。推动各级人民政府在市场监管和公共服务的市场准入、资质认定、行政审批、 政策扶持等方面实施信用分类监管，结合监管对象的失信类别和程度，使失信者受到惩戒。</w:t>
            </w:r>
          </w:p>
          <w:p>
            <w:pPr>
              <w:pStyle w:val="23"/>
              <w:spacing w:after="80" w:line="309" w:lineRule="exact"/>
              <w:ind w:firstLine="600"/>
              <w:jc w:val="both"/>
            </w:pPr>
            <w:r>
              <w:t>《质量管理体系认证规则》（国家认监委</w:t>
            </w:r>
            <w:r>
              <w:rPr>
                <w:rFonts w:ascii="Times New Roman" w:hAnsi="Times New Roman" w:eastAsia="Times New Roman" w:cs="Times New Roman"/>
                <w:b/>
                <w:bCs/>
                <w:sz w:val="22"/>
                <w:szCs w:val="22"/>
              </w:rPr>
              <w:t>2014</w:t>
            </w:r>
            <w:r>
              <w:t>年第</w:t>
            </w:r>
            <w:r>
              <w:rPr>
                <w:rFonts w:ascii="Times New Roman" w:hAnsi="Times New Roman" w:eastAsia="Times New Roman" w:cs="Times New Roman"/>
                <w:b/>
                <w:bCs/>
                <w:sz w:val="22"/>
                <w:szCs w:val="22"/>
              </w:rPr>
              <w:t>5</w:t>
            </w:r>
            <w:r>
              <w:t>号公告）</w:t>
            </w:r>
          </w:p>
          <w:p>
            <w:pPr>
              <w:pStyle w:val="23"/>
              <w:spacing w:after="40" w:line="293" w:lineRule="auto"/>
              <w:jc w:val="both"/>
            </w:pPr>
            <w:r>
              <w:rPr>
                <w:rFonts w:ascii="Times New Roman" w:hAnsi="Times New Roman" w:eastAsia="Times New Roman" w:cs="Times New Roman"/>
                <w:b/>
                <w:bCs/>
                <w:sz w:val="22"/>
                <w:szCs w:val="22"/>
                <w:lang w:val="en-US" w:eastAsia="en-US" w:bidi="en-US"/>
              </w:rPr>
              <w:t xml:space="preserve">7. </w:t>
            </w:r>
            <w:r>
              <w:rPr>
                <w:rFonts w:ascii="Times New Roman" w:hAnsi="Times New Roman" w:eastAsia="Times New Roman" w:cs="Times New Roman"/>
                <w:b/>
                <w:bCs/>
                <w:sz w:val="22"/>
                <w:szCs w:val="22"/>
              </w:rPr>
              <w:t>2</w:t>
            </w:r>
            <w:r>
              <w:t>暂停证书</w:t>
            </w:r>
          </w:p>
        </w:tc>
        <w:tc>
          <w:tcPr>
            <w:tcW w:w="192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306" w:lineRule="exact"/>
              <w:ind w:firstLine="0"/>
              <w:jc w:val="center"/>
            </w:pPr>
            <w:r>
              <w:t>质检总局</w:t>
            </w:r>
          </w:p>
          <w:p>
            <w:pPr>
              <w:pStyle w:val="23"/>
              <w:spacing w:line="306" w:lineRule="exact"/>
              <w:ind w:firstLine="0"/>
              <w:jc w:val="center"/>
            </w:pPr>
            <w:r>
              <w:t>（国家认监委）</w:t>
            </w:r>
          </w:p>
        </w:tc>
      </w:tr>
    </w:tbl>
    <w:p>
      <w:pPr>
        <w:spacing w:line="1" w:lineRule="exact"/>
        <w:rPr>
          <w:sz w:val="2"/>
          <w:szCs w:val="2"/>
          <w:lang w:eastAsia="zh-CN"/>
        </w:rPr>
      </w:pPr>
      <w:r>
        <w:rPr>
          <w:lang w:eastAsia="zh-CN"/>
        </w:rPr>
        <w:br w:type="page"/>
      </w:r>
    </w:p>
    <w:tbl>
      <w:tblPr>
        <w:tblStyle w:val="6"/>
        <w:tblW w:w="0" w:type="auto"/>
        <w:jc w:val="center"/>
        <w:tblLayout w:type="fixed"/>
        <w:tblCellMar>
          <w:top w:w="0" w:type="dxa"/>
          <w:left w:w="10" w:type="dxa"/>
          <w:bottom w:w="0" w:type="dxa"/>
          <w:right w:w="10" w:type="dxa"/>
        </w:tblCellMar>
      </w:tblPr>
      <w:tblGrid>
        <w:gridCol w:w="2241"/>
        <w:gridCol w:w="10905"/>
        <w:gridCol w:w="1950"/>
      </w:tblGrid>
      <w:tr>
        <w:tblPrEx>
          <w:tblCellMar>
            <w:top w:w="0" w:type="dxa"/>
            <w:left w:w="10" w:type="dxa"/>
            <w:bottom w:w="0" w:type="dxa"/>
            <w:right w:w="10" w:type="dxa"/>
          </w:tblCellMar>
        </w:tblPrEx>
        <w:trPr>
          <w:trHeight w:val="408" w:hRule="exact"/>
          <w:jc w:val="center"/>
        </w:trPr>
        <w:tc>
          <w:tcPr>
            <w:tcW w:w="2241" w:type="dxa"/>
            <w:tcBorders>
              <w:top w:val="single" w:color="auto" w:sz="4" w:space="0"/>
              <w:left w:val="single" w:color="auto" w:sz="4" w:space="0"/>
            </w:tcBorders>
            <w:shd w:val="clear" w:color="auto" w:fill="FFFFFF"/>
            <w:vAlign w:val="bottom"/>
          </w:tcPr>
          <w:p>
            <w:pPr>
              <w:pStyle w:val="23"/>
              <w:spacing w:line="240" w:lineRule="auto"/>
              <w:ind w:firstLine="0"/>
              <w:jc w:val="center"/>
            </w:pPr>
            <w:r>
              <w:t>惩戒措施</w:t>
            </w:r>
          </w:p>
        </w:tc>
        <w:tc>
          <w:tcPr>
            <w:tcW w:w="10905" w:type="dxa"/>
            <w:tcBorders>
              <w:top w:val="single" w:color="auto" w:sz="4" w:space="0"/>
              <w:left w:val="single" w:color="auto" w:sz="4" w:space="0"/>
            </w:tcBorders>
            <w:shd w:val="clear" w:color="auto" w:fill="FFFFFF"/>
            <w:vAlign w:val="bottom"/>
          </w:tcPr>
          <w:p>
            <w:pPr>
              <w:pStyle w:val="23"/>
              <w:spacing w:line="240" w:lineRule="auto"/>
              <w:ind w:firstLine="0"/>
              <w:jc w:val="center"/>
            </w:pPr>
            <w:r>
              <w:t>法律及政策依据</w:t>
            </w:r>
          </w:p>
        </w:tc>
        <w:tc>
          <w:tcPr>
            <w:tcW w:w="1950" w:type="dxa"/>
            <w:tcBorders>
              <w:top w:val="single" w:color="auto" w:sz="4" w:space="0"/>
              <w:left w:val="single" w:color="auto" w:sz="4" w:space="0"/>
              <w:right w:val="single" w:color="auto" w:sz="4" w:space="0"/>
            </w:tcBorders>
            <w:shd w:val="clear" w:color="auto" w:fill="FFFFFF"/>
            <w:vAlign w:val="bottom"/>
          </w:tcPr>
          <w:p>
            <w:pPr>
              <w:pStyle w:val="23"/>
              <w:spacing w:line="240" w:lineRule="auto"/>
              <w:ind w:firstLine="0"/>
              <w:jc w:val="center"/>
            </w:pPr>
            <w:r>
              <w:t>实施单位</w:t>
            </w:r>
          </w:p>
        </w:tc>
      </w:tr>
      <w:tr>
        <w:tblPrEx>
          <w:tblCellMar>
            <w:top w:w="0" w:type="dxa"/>
            <w:left w:w="10" w:type="dxa"/>
            <w:bottom w:w="0" w:type="dxa"/>
            <w:right w:w="10" w:type="dxa"/>
          </w:tblCellMar>
        </w:tblPrEx>
        <w:trPr>
          <w:trHeight w:val="6234" w:hRule="exact"/>
          <w:jc w:val="center"/>
        </w:trPr>
        <w:tc>
          <w:tcPr>
            <w:tcW w:w="2241" w:type="dxa"/>
            <w:tcBorders>
              <w:top w:val="single" w:color="auto" w:sz="4" w:space="0"/>
              <w:left w:val="single" w:color="auto" w:sz="4" w:space="0"/>
            </w:tcBorders>
            <w:shd w:val="clear" w:color="auto" w:fill="FFFFFF"/>
          </w:tcPr>
          <w:p>
            <w:pPr>
              <w:rPr>
                <w:sz w:val="10"/>
                <w:szCs w:val="10"/>
              </w:rPr>
            </w:pPr>
          </w:p>
        </w:tc>
        <w:tc>
          <w:tcPr>
            <w:tcW w:w="10905" w:type="dxa"/>
            <w:tcBorders>
              <w:top w:val="single" w:color="auto" w:sz="4" w:space="0"/>
              <w:left w:val="single" w:color="auto" w:sz="4" w:space="0"/>
            </w:tcBorders>
            <w:shd w:val="clear" w:color="auto" w:fill="FFFFFF"/>
          </w:tcPr>
          <w:p>
            <w:pPr>
              <w:pStyle w:val="23"/>
              <w:spacing w:line="312" w:lineRule="exact"/>
            </w:pPr>
            <w:r>
              <w:rPr>
                <w:rFonts w:ascii="Times New Roman" w:hAnsi="Times New Roman" w:eastAsia="Times New Roman" w:cs="Times New Roman"/>
                <w:b/>
                <w:bCs/>
                <w:sz w:val="22"/>
                <w:szCs w:val="22"/>
                <w:lang w:val="en-US" w:eastAsia="zh-CN" w:bidi="en-US"/>
              </w:rPr>
              <w:t>7.2.</w:t>
            </w:r>
            <w:r>
              <w:rPr>
                <w:rFonts w:ascii="Times New Roman" w:hAnsi="Times New Roman" w:eastAsia="Times New Roman" w:cs="Times New Roman"/>
                <w:b/>
                <w:bCs/>
                <w:sz w:val="22"/>
                <w:szCs w:val="22"/>
              </w:rPr>
              <w:t>1</w:t>
            </w:r>
            <w:r>
              <w:t>获证组织有以下情形之一的，认证机构应在调查核实后的</w:t>
            </w:r>
            <w:r>
              <w:rPr>
                <w:rFonts w:ascii="Times New Roman" w:hAnsi="Times New Roman" w:eastAsia="Times New Roman" w:cs="Times New Roman"/>
                <w:b/>
                <w:bCs/>
                <w:sz w:val="22"/>
                <w:szCs w:val="22"/>
              </w:rPr>
              <w:t>5</w:t>
            </w:r>
            <w:r>
              <w:t>个工作日内暂停其认证证书。</w:t>
            </w:r>
          </w:p>
          <w:p>
            <w:pPr>
              <w:pStyle w:val="23"/>
              <w:spacing w:line="312" w:lineRule="exact"/>
              <w:ind w:firstLine="600"/>
            </w:pPr>
            <w:r>
              <w:rPr>
                <w:b/>
                <w:bCs/>
                <w:sz w:val="22"/>
                <w:szCs w:val="22"/>
                <w:lang w:val="en-US" w:eastAsia="zh-CN" w:bidi="en-US"/>
              </w:rPr>
              <w:t>(</w:t>
            </w:r>
            <w:r>
              <w:rPr>
                <w:rFonts w:hint="eastAsia" w:ascii="Times New Roman" w:hAnsi="Times New Roman" w:cs="Times New Roman" w:eastAsiaTheme="minorEastAsia"/>
                <w:b/>
                <w:bCs/>
                <w:sz w:val="22"/>
                <w:szCs w:val="22"/>
                <w:lang w:val="en-US" w:eastAsia="zh-CN" w:bidi="en-US"/>
              </w:rPr>
              <w:t xml:space="preserve">1)  </w:t>
            </w:r>
            <w:r>
              <w:t>质量管理体系持续或严重不满足认证要求，包括对质量管理体系运行有效性要求的。</w:t>
            </w:r>
          </w:p>
          <w:p>
            <w:pPr>
              <w:pStyle w:val="23"/>
              <w:numPr>
                <w:ilvl w:val="0"/>
                <w:numId w:val="4"/>
              </w:numPr>
              <w:tabs>
                <w:tab w:val="left" w:pos="1008"/>
              </w:tabs>
              <w:spacing w:line="312" w:lineRule="exact"/>
              <w:ind w:firstLine="600"/>
            </w:pPr>
            <w:r>
              <w:t>不承担、履行认证合同约定的责任和义务的。</w:t>
            </w:r>
          </w:p>
          <w:p>
            <w:pPr>
              <w:pStyle w:val="23"/>
              <w:numPr>
                <w:ilvl w:val="0"/>
                <w:numId w:val="4"/>
              </w:numPr>
              <w:tabs>
                <w:tab w:val="left" w:pos="1002"/>
              </w:tabs>
              <w:spacing w:line="312" w:lineRule="exact"/>
              <w:ind w:firstLine="600"/>
            </w:pPr>
            <w:r>
              <w:t>被有关执法监管部门责令停业整顿的。</w:t>
            </w:r>
          </w:p>
          <w:p>
            <w:pPr>
              <w:pStyle w:val="23"/>
              <w:numPr>
                <w:ilvl w:val="0"/>
                <w:numId w:val="4"/>
              </w:numPr>
              <w:tabs>
                <w:tab w:val="left" w:pos="1008"/>
              </w:tabs>
              <w:spacing w:line="312" w:lineRule="exact"/>
              <w:ind w:firstLine="600"/>
            </w:pPr>
            <w:r>
              <w:t>被地方认证监管部门发现体系运行存在问题，需要暂停证书的。</w:t>
            </w:r>
          </w:p>
          <w:p>
            <w:pPr>
              <w:pStyle w:val="23"/>
              <w:numPr>
                <w:ilvl w:val="0"/>
                <w:numId w:val="4"/>
              </w:numPr>
              <w:tabs>
                <w:tab w:val="left" w:pos="1014"/>
              </w:tabs>
              <w:spacing w:line="312" w:lineRule="exact"/>
              <w:ind w:firstLine="600"/>
            </w:pPr>
            <w:r>
              <w:t>持有的行政许可证明、资质证书、强制性认证证书等过期失效，重新提交的申请已被受理但尚未换证的。</w:t>
            </w:r>
          </w:p>
          <w:p>
            <w:pPr>
              <w:pStyle w:val="23"/>
              <w:numPr>
                <w:ilvl w:val="0"/>
                <w:numId w:val="4"/>
              </w:numPr>
              <w:tabs>
                <w:tab w:val="left" w:pos="1014"/>
              </w:tabs>
              <w:spacing w:line="312" w:lineRule="exact"/>
              <w:ind w:firstLine="600"/>
            </w:pPr>
            <w:r>
              <w:t>主动请求暂停的。</w:t>
            </w:r>
          </w:p>
          <w:p>
            <w:pPr>
              <w:pStyle w:val="23"/>
              <w:numPr>
                <w:ilvl w:val="0"/>
                <w:numId w:val="4"/>
              </w:numPr>
              <w:tabs>
                <w:tab w:val="left" w:pos="1014"/>
              </w:tabs>
              <w:spacing w:line="312" w:lineRule="exact"/>
              <w:ind w:firstLine="600"/>
            </w:pPr>
            <w:r>
              <w:t>其他应当暂停认证证书的。</w:t>
            </w:r>
          </w:p>
          <w:p>
            <w:pPr>
              <w:pStyle w:val="23"/>
              <w:spacing w:line="312" w:lineRule="exact"/>
              <w:jc w:val="both"/>
            </w:pPr>
            <w:r>
              <w:rPr>
                <w:rFonts w:ascii="Times New Roman" w:hAnsi="Times New Roman" w:eastAsia="Times New Roman" w:cs="Times New Roman"/>
                <w:b/>
                <w:bCs/>
                <w:sz w:val="22"/>
                <w:szCs w:val="22"/>
                <w:lang w:val="en-US" w:eastAsia="zh-CN" w:bidi="en-US"/>
              </w:rPr>
              <w:t xml:space="preserve">7. </w:t>
            </w:r>
            <w:r>
              <w:rPr>
                <w:rFonts w:ascii="Times New Roman" w:hAnsi="Times New Roman" w:eastAsia="Times New Roman" w:cs="Times New Roman"/>
                <w:b/>
                <w:bCs/>
                <w:sz w:val="22"/>
                <w:szCs w:val="22"/>
              </w:rPr>
              <w:t>3</w:t>
            </w:r>
            <w:r>
              <w:t>撤销证书</w:t>
            </w:r>
          </w:p>
          <w:p>
            <w:pPr>
              <w:pStyle w:val="23"/>
              <w:spacing w:line="312" w:lineRule="exact"/>
              <w:jc w:val="both"/>
            </w:pPr>
            <w:r>
              <w:rPr>
                <w:rFonts w:ascii="Times New Roman" w:hAnsi="Times New Roman" w:eastAsia="Times New Roman" w:cs="Times New Roman"/>
                <w:b/>
                <w:bCs/>
                <w:sz w:val="22"/>
                <w:szCs w:val="22"/>
                <w:lang w:val="en-US" w:eastAsia="zh-CN" w:bidi="en-US"/>
              </w:rPr>
              <w:t>7. 3.</w:t>
            </w:r>
            <w:r>
              <w:rPr>
                <w:rFonts w:ascii="Times New Roman" w:hAnsi="Times New Roman" w:eastAsia="Times New Roman" w:cs="Times New Roman"/>
                <w:b/>
                <w:bCs/>
                <w:sz w:val="22"/>
                <w:szCs w:val="22"/>
              </w:rPr>
              <w:t>1</w:t>
            </w:r>
            <w:r>
              <w:t>获证组织有以下情形之一的，认证机构应在获得相关信息并调查核实后</w:t>
            </w:r>
            <w:r>
              <w:rPr>
                <w:rFonts w:ascii="Times New Roman" w:hAnsi="Times New Roman" w:eastAsia="Times New Roman" w:cs="Times New Roman"/>
                <w:b/>
                <w:bCs/>
                <w:sz w:val="22"/>
                <w:szCs w:val="22"/>
              </w:rPr>
              <w:t>5</w:t>
            </w:r>
            <w:r>
              <w:t>个工作日内撤销其认证证书。</w:t>
            </w:r>
          </w:p>
          <w:p>
            <w:pPr>
              <w:pStyle w:val="23"/>
              <w:numPr>
                <w:ilvl w:val="0"/>
                <w:numId w:val="5"/>
              </w:numPr>
              <w:tabs>
                <w:tab w:val="left" w:pos="1008"/>
              </w:tabs>
              <w:spacing w:line="312" w:lineRule="exact"/>
              <w:ind w:firstLine="600"/>
            </w:pPr>
            <w:r>
              <w:t>被注销或撤销法律地位证明文件的。</w:t>
            </w:r>
          </w:p>
          <w:p>
            <w:pPr>
              <w:pStyle w:val="23"/>
              <w:numPr>
                <w:ilvl w:val="0"/>
                <w:numId w:val="5"/>
              </w:numPr>
              <w:tabs>
                <w:tab w:val="left" w:pos="1008"/>
              </w:tabs>
              <w:spacing w:line="312" w:lineRule="exact"/>
              <w:ind w:firstLine="600"/>
            </w:pPr>
            <w:r>
              <w:t>拒绝配合认证监管部门实施的监督检查，或者对有关事项的询问和调査提供了虚假材料或信息的。</w:t>
            </w:r>
          </w:p>
          <w:p>
            <w:pPr>
              <w:pStyle w:val="23"/>
              <w:numPr>
                <w:ilvl w:val="0"/>
                <w:numId w:val="5"/>
              </w:numPr>
              <w:tabs>
                <w:tab w:val="left" w:pos="1026"/>
              </w:tabs>
              <w:spacing w:line="312" w:lineRule="exact"/>
              <w:ind w:firstLine="600"/>
            </w:pPr>
            <w:r>
              <w:t>出现重大的产品或服务等质量安全事故，经执法监管部门确认是获证组织违规造成的。</w:t>
            </w:r>
          </w:p>
          <w:p>
            <w:pPr>
              <w:pStyle w:val="23"/>
              <w:numPr>
                <w:ilvl w:val="0"/>
                <w:numId w:val="5"/>
              </w:numPr>
              <w:tabs>
                <w:tab w:val="left" w:pos="1008"/>
              </w:tabs>
              <w:spacing w:line="312" w:lineRule="exact"/>
              <w:ind w:firstLine="600"/>
              <w:jc w:val="both"/>
            </w:pPr>
            <w:r>
              <w:t>有其他严重违反法律法规行为的。</w:t>
            </w:r>
          </w:p>
          <w:p>
            <w:pPr>
              <w:pStyle w:val="23"/>
              <w:numPr>
                <w:ilvl w:val="0"/>
                <w:numId w:val="5"/>
              </w:numPr>
              <w:tabs>
                <w:tab w:val="left" w:pos="930"/>
              </w:tabs>
              <w:spacing w:line="312" w:lineRule="exact"/>
              <w:ind w:firstLine="600"/>
            </w:pPr>
            <w:r>
              <w:t>暂停认证证书的期限已满但导致暂停的问题未得到解决或纠正的(包括持有的行政许可证明、资质证书、 强制性认证证书等已经过期失效但申请未获批准)。</w:t>
            </w:r>
          </w:p>
          <w:p>
            <w:pPr>
              <w:pStyle w:val="23"/>
              <w:numPr>
                <w:ilvl w:val="0"/>
                <w:numId w:val="5"/>
              </w:numPr>
              <w:tabs>
                <w:tab w:val="left" w:pos="1014"/>
              </w:tabs>
              <w:spacing w:line="312" w:lineRule="exact"/>
              <w:ind w:firstLine="600"/>
            </w:pPr>
            <w:r>
              <w:t>没有运行质量管理体系或者已不具备运行条件的。</w:t>
            </w:r>
          </w:p>
          <w:p>
            <w:pPr>
              <w:pStyle w:val="23"/>
              <w:numPr>
                <w:ilvl w:val="0"/>
                <w:numId w:val="5"/>
              </w:numPr>
              <w:tabs>
                <w:tab w:val="left" w:pos="936"/>
              </w:tabs>
              <w:spacing w:line="312" w:lineRule="exact"/>
              <w:ind w:firstLine="600"/>
            </w:pPr>
            <w:r>
              <w:t xml:space="preserve">不按相关规定正确引用和宣传获得的认证信息，造成严重影响或后果，或者认证机构已要求其纠正但超过 </w:t>
            </w:r>
            <w:r>
              <w:rPr>
                <w:rFonts w:ascii="Times New Roman" w:hAnsi="Times New Roman" w:eastAsia="Times New Roman" w:cs="Times New Roman"/>
                <w:b/>
                <w:bCs/>
                <w:sz w:val="22"/>
                <w:szCs w:val="22"/>
              </w:rPr>
              <w:t>6</w:t>
            </w:r>
            <w:r>
              <w:t>个月仍未纠</w:t>
            </w:r>
            <w:r>
              <w:rPr>
                <w:lang w:val="zh-CN" w:eastAsia="zh-CN" w:bidi="zh-CN"/>
              </w:rPr>
              <w:t>正的。</w:t>
            </w:r>
          </w:p>
          <w:p>
            <w:pPr>
              <w:pStyle w:val="23"/>
              <w:numPr>
                <w:ilvl w:val="0"/>
                <w:numId w:val="5"/>
              </w:numPr>
              <w:tabs>
                <w:tab w:val="left" w:pos="1008"/>
              </w:tabs>
              <w:spacing w:line="312" w:lineRule="exact"/>
              <w:ind w:firstLine="600"/>
            </w:pPr>
            <w:r>
              <w:t>其他应当撤销认证证书的。</w:t>
            </w:r>
          </w:p>
        </w:tc>
        <w:tc>
          <w:tcPr>
            <w:tcW w:w="1950"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1620" w:hRule="exact"/>
          <w:jc w:val="center"/>
        </w:trPr>
        <w:tc>
          <w:tcPr>
            <w:tcW w:w="2241" w:type="dxa"/>
            <w:tcBorders>
              <w:top w:val="single" w:color="auto" w:sz="4" w:space="0"/>
              <w:left w:val="single" w:color="auto" w:sz="4" w:space="0"/>
              <w:bottom w:val="single" w:color="auto" w:sz="4" w:space="0"/>
            </w:tcBorders>
            <w:shd w:val="clear" w:color="auto" w:fill="FFFFFF"/>
          </w:tcPr>
          <w:p>
            <w:pPr>
              <w:pStyle w:val="23"/>
              <w:spacing w:line="321" w:lineRule="exact"/>
              <w:ind w:firstLine="0"/>
              <w:jc w:val="both"/>
            </w:pPr>
            <w:r>
              <w:t>(十五)在审批保险公司设立时，将统计领域严重失信企业及其有关人员的失 信状况作为重要参考</w:t>
            </w:r>
            <w:r>
              <w:rPr>
                <w:rFonts w:hint="eastAsia"/>
                <w:lang w:eastAsia="zh-CN"/>
              </w:rPr>
              <w:t>依据</w:t>
            </w:r>
            <w:r>
              <w:t>。</w:t>
            </w:r>
          </w:p>
          <w:p>
            <w:pPr>
              <w:jc w:val="center"/>
              <w:rPr>
                <w:lang w:val="zh-TW" w:eastAsia="zh-TW" w:bidi="zh-TW"/>
              </w:rPr>
            </w:pPr>
          </w:p>
        </w:tc>
        <w:tc>
          <w:tcPr>
            <w:tcW w:w="10905" w:type="dxa"/>
            <w:tcBorders>
              <w:top w:val="single" w:color="auto" w:sz="4" w:space="0"/>
              <w:left w:val="single" w:color="auto" w:sz="4" w:space="0"/>
              <w:bottom w:val="single" w:color="auto" w:sz="4" w:space="0"/>
            </w:tcBorders>
            <w:shd w:val="clear" w:color="auto" w:fill="FFFFFF"/>
            <w:vAlign w:val="center"/>
          </w:tcPr>
          <w:p>
            <w:pPr>
              <w:pStyle w:val="23"/>
              <w:spacing w:after="40" w:line="240" w:lineRule="auto"/>
              <w:ind w:firstLine="600"/>
            </w:pPr>
            <w:r>
              <w:t>《保险法》</w:t>
            </w:r>
          </w:p>
          <w:p>
            <w:pPr>
              <w:pStyle w:val="23"/>
              <w:spacing w:after="40" w:line="240" w:lineRule="auto"/>
              <w:jc w:val="both"/>
            </w:pPr>
            <w:r>
              <w:t>第六十八条设立保险公司应当具备下列条件：</w:t>
            </w:r>
          </w:p>
          <w:p>
            <w:pPr>
              <w:pStyle w:val="23"/>
              <w:spacing w:after="40" w:line="240" w:lineRule="auto"/>
              <w:ind w:firstLine="600"/>
            </w:pPr>
            <w:r>
              <w:rPr>
                <w:rFonts w:ascii="Times New Roman" w:hAnsi="Times New Roman" w:eastAsia="Times New Roman" w:cs="Times New Roman"/>
                <w:b/>
                <w:bCs/>
                <w:sz w:val="22"/>
                <w:szCs w:val="22"/>
              </w:rPr>
              <w:t>(1)</w:t>
            </w:r>
            <w:r>
              <w:t>主要股东具有持续盈利能力，信誉良好，最近三年内无重大违法违规记录，净资产不低于人民币二亿元；</w:t>
            </w:r>
          </w:p>
        </w:tc>
        <w:tc>
          <w:tcPr>
            <w:tcW w:w="19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center"/>
            </w:pPr>
            <w:r>
              <w:t>保监会</w:t>
            </w:r>
          </w:p>
        </w:tc>
      </w:tr>
    </w:tbl>
    <w:p>
      <w:pPr>
        <w:spacing w:line="1" w:lineRule="exact"/>
        <w:rPr>
          <w:sz w:val="2"/>
          <w:szCs w:val="2"/>
        </w:rPr>
      </w:pPr>
      <w:r>
        <w:br w:type="page"/>
      </w:r>
    </w:p>
    <w:tbl>
      <w:tblPr>
        <w:tblStyle w:val="6"/>
        <w:tblW w:w="0" w:type="auto"/>
        <w:jc w:val="center"/>
        <w:tblLayout w:type="fixed"/>
        <w:tblCellMar>
          <w:top w:w="0" w:type="dxa"/>
          <w:left w:w="10" w:type="dxa"/>
          <w:bottom w:w="0" w:type="dxa"/>
          <w:right w:w="10" w:type="dxa"/>
        </w:tblCellMar>
      </w:tblPr>
      <w:tblGrid>
        <w:gridCol w:w="2076"/>
        <w:gridCol w:w="11052"/>
        <w:gridCol w:w="1920"/>
      </w:tblGrid>
      <w:tr>
        <w:tblPrEx>
          <w:tblCellMar>
            <w:top w:w="0" w:type="dxa"/>
            <w:left w:w="10" w:type="dxa"/>
            <w:bottom w:w="0" w:type="dxa"/>
            <w:right w:w="10" w:type="dxa"/>
          </w:tblCellMar>
        </w:tblPrEx>
        <w:trPr>
          <w:trHeight w:val="402" w:hRule="exact"/>
          <w:jc w:val="center"/>
        </w:trPr>
        <w:tc>
          <w:tcPr>
            <w:tcW w:w="2076" w:type="dxa"/>
            <w:tcBorders>
              <w:top w:val="single" w:color="auto" w:sz="4" w:space="0"/>
              <w:left w:val="single" w:color="auto" w:sz="4" w:space="0"/>
            </w:tcBorders>
            <w:shd w:val="clear" w:color="auto" w:fill="FFFFFF"/>
            <w:vAlign w:val="bottom"/>
          </w:tcPr>
          <w:p>
            <w:pPr>
              <w:pStyle w:val="23"/>
              <w:spacing w:line="240" w:lineRule="auto"/>
              <w:ind w:firstLine="0"/>
              <w:jc w:val="center"/>
            </w:pPr>
            <w:r>
              <w:t>惩戒措施</w:t>
            </w:r>
          </w:p>
        </w:tc>
        <w:tc>
          <w:tcPr>
            <w:tcW w:w="11052" w:type="dxa"/>
            <w:tcBorders>
              <w:top w:val="single" w:color="auto" w:sz="4" w:space="0"/>
              <w:left w:val="single" w:color="auto" w:sz="4" w:space="0"/>
            </w:tcBorders>
            <w:shd w:val="clear" w:color="auto" w:fill="FFFFFF"/>
            <w:vAlign w:val="bottom"/>
          </w:tcPr>
          <w:p>
            <w:pPr>
              <w:pStyle w:val="23"/>
              <w:spacing w:line="240" w:lineRule="auto"/>
              <w:ind w:firstLine="0"/>
              <w:jc w:val="center"/>
            </w:pPr>
            <w:r>
              <w:t>法律及政策依据</w:t>
            </w:r>
          </w:p>
        </w:tc>
        <w:tc>
          <w:tcPr>
            <w:tcW w:w="1920" w:type="dxa"/>
            <w:tcBorders>
              <w:top w:val="single" w:color="auto" w:sz="4" w:space="0"/>
              <w:left w:val="single" w:color="auto" w:sz="4" w:space="0"/>
              <w:right w:val="single" w:color="auto" w:sz="4" w:space="0"/>
            </w:tcBorders>
            <w:shd w:val="clear" w:color="auto" w:fill="FFFFFF"/>
            <w:vAlign w:val="bottom"/>
          </w:tcPr>
          <w:p>
            <w:pPr>
              <w:pStyle w:val="23"/>
              <w:spacing w:line="240" w:lineRule="auto"/>
              <w:ind w:firstLine="0"/>
              <w:jc w:val="center"/>
            </w:pPr>
            <w:r>
              <w:t>实施单位</w:t>
            </w:r>
          </w:p>
        </w:tc>
      </w:tr>
      <w:tr>
        <w:tblPrEx>
          <w:tblCellMar>
            <w:top w:w="0" w:type="dxa"/>
            <w:left w:w="10" w:type="dxa"/>
            <w:bottom w:w="0" w:type="dxa"/>
            <w:right w:w="10" w:type="dxa"/>
          </w:tblCellMar>
        </w:tblPrEx>
        <w:trPr>
          <w:trHeight w:val="1098" w:hRule="exact"/>
          <w:jc w:val="center"/>
        </w:trPr>
        <w:tc>
          <w:tcPr>
            <w:tcW w:w="2076" w:type="dxa"/>
            <w:tcBorders>
              <w:top w:val="single" w:color="auto" w:sz="4" w:space="0"/>
              <w:left w:val="single" w:color="auto" w:sz="4" w:space="0"/>
            </w:tcBorders>
            <w:shd w:val="clear" w:color="auto" w:fill="FFFFFF"/>
            <w:vAlign w:val="center"/>
          </w:tcPr>
          <w:p>
            <w:pPr>
              <w:pStyle w:val="23"/>
              <w:spacing w:line="258" w:lineRule="exact"/>
              <w:ind w:firstLine="220"/>
            </w:pPr>
            <w:r>
              <w:t>（十六）在核准与管 理相关外汇额度时作审慎性参考。</w:t>
            </w:r>
          </w:p>
        </w:tc>
        <w:tc>
          <w:tcPr>
            <w:tcW w:w="11052" w:type="dxa"/>
            <w:tcBorders>
              <w:top w:val="single" w:color="auto" w:sz="4" w:space="0"/>
              <w:left w:val="single" w:color="auto" w:sz="4" w:space="0"/>
            </w:tcBorders>
            <w:shd w:val="clear" w:color="auto" w:fill="FFFFFF"/>
          </w:tcPr>
          <w:p>
            <w:pPr>
              <w:pStyle w:val="23"/>
              <w:spacing w:line="276" w:lineRule="exact"/>
              <w:ind w:firstLine="600"/>
              <w:jc w:val="both"/>
            </w:pPr>
            <w:r>
              <w:t>《国务院关于印发社会信用体系建设规划纲要</w:t>
            </w:r>
            <w:r>
              <w:rPr>
                <w:rFonts w:ascii="Times New Roman" w:hAnsi="Times New Roman" w:eastAsia="Times New Roman" w:cs="Times New Roman"/>
                <w:b/>
                <w:bCs/>
                <w:sz w:val="22"/>
                <w:szCs w:val="22"/>
                <w:lang w:val="en-US" w:eastAsia="zh-CN" w:bidi="en-US"/>
              </w:rPr>
              <w:t>（2014-2020</w:t>
            </w:r>
            <w:r>
              <w:t>年）的通知》（国发</w:t>
            </w:r>
            <w:r>
              <w:rPr>
                <w:b/>
                <w:bCs/>
                <w:sz w:val="22"/>
                <w:szCs w:val="22"/>
              </w:rPr>
              <w:t>（</w:t>
            </w:r>
            <w:r>
              <w:rPr>
                <w:rFonts w:ascii="Times New Roman" w:hAnsi="Times New Roman" w:eastAsia="Times New Roman" w:cs="Times New Roman"/>
                <w:b/>
                <w:bCs/>
                <w:sz w:val="22"/>
                <w:szCs w:val="22"/>
              </w:rPr>
              <w:t>2014） 21</w:t>
            </w:r>
            <w:r>
              <w:t>号）</w:t>
            </w:r>
          </w:p>
          <w:p>
            <w:pPr>
              <w:pStyle w:val="23"/>
              <w:spacing w:line="276" w:lineRule="exact"/>
              <w:jc w:val="both"/>
            </w:pPr>
            <w:r>
              <w:t>发挥政府诚信建设示范作用。各级人民政府首先要加强自身诚信建设，以政府的诚信施政，带动全社会诚信意识的树立和诚信水平的提高。在行政许可、政府釆购、招标投标、劳动就业、社会保障、科研管理、干部选拔任用和管 理监督、申请政府资金支持等领域，率先使用信用信息和信用产品，培育信用服务市场发展。</w:t>
            </w:r>
          </w:p>
        </w:tc>
        <w:tc>
          <w:tcPr>
            <w:tcW w:w="1920" w:type="dxa"/>
            <w:tcBorders>
              <w:top w:val="single" w:color="auto" w:sz="4" w:space="0"/>
              <w:left w:val="single" w:color="auto" w:sz="4" w:space="0"/>
              <w:right w:val="single" w:color="auto" w:sz="4" w:space="0"/>
            </w:tcBorders>
            <w:shd w:val="clear" w:color="auto" w:fill="FFFFFF"/>
            <w:vAlign w:val="center"/>
          </w:tcPr>
          <w:p>
            <w:pPr>
              <w:pStyle w:val="23"/>
              <w:spacing w:line="240" w:lineRule="auto"/>
              <w:ind w:firstLine="0"/>
              <w:jc w:val="center"/>
            </w:pPr>
            <w:r>
              <w:t>外汇管理局</w:t>
            </w:r>
          </w:p>
        </w:tc>
      </w:tr>
      <w:tr>
        <w:tblPrEx>
          <w:tblCellMar>
            <w:top w:w="0" w:type="dxa"/>
            <w:left w:w="10" w:type="dxa"/>
            <w:bottom w:w="0" w:type="dxa"/>
            <w:right w:w="10" w:type="dxa"/>
          </w:tblCellMar>
        </w:tblPrEx>
        <w:trPr>
          <w:trHeight w:val="6306" w:hRule="exact"/>
          <w:jc w:val="center"/>
        </w:trPr>
        <w:tc>
          <w:tcPr>
            <w:tcW w:w="2076" w:type="dxa"/>
            <w:tcBorders>
              <w:top w:val="single" w:color="auto" w:sz="4" w:space="0"/>
              <w:left w:val="single" w:color="auto" w:sz="4" w:space="0"/>
              <w:bottom w:val="single" w:color="auto" w:sz="4" w:space="0"/>
            </w:tcBorders>
            <w:shd w:val="clear" w:color="auto" w:fill="FFFFFF"/>
            <w:vAlign w:val="center"/>
          </w:tcPr>
          <w:p>
            <w:pPr>
              <w:pStyle w:val="23"/>
              <w:spacing w:line="274" w:lineRule="exact"/>
              <w:ind w:firstLine="220"/>
            </w:pPr>
            <w:r>
              <w:t>（十七）依法限制招录（聘）为公务 员或事业单位工作人员。</w:t>
            </w:r>
          </w:p>
        </w:tc>
        <w:tc>
          <w:tcPr>
            <w:tcW w:w="11052" w:type="dxa"/>
            <w:tcBorders>
              <w:top w:val="single" w:color="auto" w:sz="4" w:space="0"/>
              <w:left w:val="single" w:color="auto" w:sz="4" w:space="0"/>
              <w:bottom w:val="single" w:color="auto" w:sz="4" w:space="0"/>
            </w:tcBorders>
            <w:shd w:val="clear" w:color="auto" w:fill="FFFFFF"/>
          </w:tcPr>
          <w:p>
            <w:pPr>
              <w:pStyle w:val="23"/>
              <w:spacing w:after="40" w:line="240" w:lineRule="auto"/>
              <w:ind w:firstLine="600"/>
              <w:jc w:val="both"/>
            </w:pPr>
            <w:r>
              <w:t>《中华人民共和国公务员法》</w:t>
            </w:r>
          </w:p>
          <w:p>
            <w:pPr>
              <w:pStyle w:val="23"/>
              <w:spacing w:after="40" w:line="240" w:lineRule="auto"/>
              <w:jc w:val="both"/>
            </w:pPr>
            <w:r>
              <w:t>第十一条</w:t>
            </w:r>
            <w:r>
              <w:rPr>
                <w:rFonts w:hint="eastAsia" w:eastAsiaTheme="minorEastAsia"/>
                <w:lang w:eastAsia="zh-CN"/>
              </w:rPr>
              <w:t xml:space="preserve">  </w:t>
            </w:r>
            <w:r>
              <w:t>公务员应当具备下列条件：</w:t>
            </w:r>
          </w:p>
          <w:p>
            <w:pPr>
              <w:pStyle w:val="23"/>
              <w:spacing w:after="40" w:line="240" w:lineRule="auto"/>
              <w:ind w:firstLine="600"/>
              <w:jc w:val="both"/>
            </w:pPr>
            <w:r>
              <w:rPr>
                <w:lang w:val="en-US" w:eastAsia="zh-CN" w:bidi="en-US"/>
              </w:rPr>
              <w:t>（一）</w:t>
            </w:r>
            <w:r>
              <w:t>具有中华人民共和国国籍；</w:t>
            </w:r>
          </w:p>
          <w:p>
            <w:pPr>
              <w:pStyle w:val="23"/>
              <w:tabs>
                <w:tab w:val="left" w:pos="1122"/>
              </w:tabs>
              <w:spacing w:after="40" w:line="240" w:lineRule="auto"/>
              <w:ind w:firstLine="600"/>
            </w:pPr>
            <w:r>
              <w:t>（二）</w:t>
            </w:r>
            <w:r>
              <w:tab/>
            </w:r>
            <w:r>
              <w:t>年满十八周岁；</w:t>
            </w:r>
          </w:p>
          <w:p>
            <w:pPr>
              <w:pStyle w:val="23"/>
              <w:tabs>
                <w:tab w:val="left" w:pos="1128"/>
              </w:tabs>
              <w:spacing w:after="40" w:line="240" w:lineRule="auto"/>
              <w:ind w:firstLine="600"/>
              <w:jc w:val="both"/>
            </w:pPr>
            <w:r>
              <w:t>（三）</w:t>
            </w:r>
            <w:r>
              <w:tab/>
            </w:r>
            <w:r>
              <w:t>拥护中华人民共和国宪法；</w:t>
            </w:r>
          </w:p>
          <w:p>
            <w:pPr>
              <w:pStyle w:val="23"/>
              <w:tabs>
                <w:tab w:val="left" w:pos="1128"/>
              </w:tabs>
              <w:spacing w:after="40" w:line="240" w:lineRule="auto"/>
              <w:ind w:firstLine="600"/>
            </w:pPr>
            <w:r>
              <w:t>（四）</w:t>
            </w:r>
            <w:r>
              <w:tab/>
            </w:r>
            <w:r>
              <w:t>具有良好的品行：</w:t>
            </w:r>
          </w:p>
          <w:p>
            <w:pPr>
              <w:pStyle w:val="23"/>
              <w:tabs>
                <w:tab w:val="left" w:pos="1128"/>
              </w:tabs>
              <w:spacing w:after="40" w:line="240" w:lineRule="auto"/>
              <w:ind w:firstLine="600"/>
              <w:jc w:val="both"/>
            </w:pPr>
            <w:r>
              <w:t>（五）</w:t>
            </w:r>
            <w:r>
              <w:tab/>
            </w:r>
            <w:r>
              <w:t>具有正常履行职责的身体条件；</w:t>
            </w:r>
          </w:p>
          <w:p>
            <w:pPr>
              <w:pStyle w:val="23"/>
              <w:tabs>
                <w:tab w:val="left" w:pos="1122"/>
              </w:tabs>
              <w:spacing w:after="40" w:line="240" w:lineRule="auto"/>
              <w:ind w:firstLine="600"/>
            </w:pPr>
            <w:r>
              <w:t>（六）</w:t>
            </w:r>
            <w:r>
              <w:tab/>
            </w:r>
            <w:r>
              <w:t>具有符合职位要求的文化程度和工作能力；</w:t>
            </w:r>
          </w:p>
          <w:p>
            <w:pPr>
              <w:pStyle w:val="23"/>
              <w:tabs>
                <w:tab w:val="left" w:pos="1122"/>
              </w:tabs>
              <w:spacing w:after="40" w:line="240" w:lineRule="auto"/>
              <w:ind w:firstLine="600"/>
              <w:jc w:val="both"/>
            </w:pPr>
            <w:r>
              <w:t>（七）</w:t>
            </w:r>
            <w:r>
              <w:tab/>
            </w:r>
            <w:r>
              <w:t>法律规定的其他条件。</w:t>
            </w:r>
          </w:p>
          <w:p>
            <w:pPr>
              <w:pStyle w:val="23"/>
              <w:spacing w:after="40" w:line="240" w:lineRule="auto"/>
              <w:jc w:val="both"/>
            </w:pPr>
            <w:r>
              <w:t>第十二条</w:t>
            </w:r>
            <w:r>
              <w:rPr>
                <w:rFonts w:hint="eastAsia" w:eastAsiaTheme="minorEastAsia"/>
                <w:lang w:eastAsia="zh-CN"/>
              </w:rPr>
              <w:t xml:space="preserve">  </w:t>
            </w:r>
            <w:r>
              <w:t>公务员应当履行下列义务：</w:t>
            </w:r>
          </w:p>
          <w:p>
            <w:pPr>
              <w:pStyle w:val="23"/>
              <w:tabs>
                <w:tab w:val="left" w:pos="1116"/>
              </w:tabs>
              <w:spacing w:after="40" w:line="240" w:lineRule="auto"/>
              <w:ind w:firstLine="600"/>
              <w:jc w:val="both"/>
            </w:pPr>
            <w:r>
              <w:t>（一）</w:t>
            </w:r>
            <w:r>
              <w:tab/>
            </w:r>
            <w:r>
              <w:t>模范遵守宪法和法律；</w:t>
            </w:r>
          </w:p>
          <w:p>
            <w:pPr>
              <w:pStyle w:val="23"/>
              <w:tabs>
                <w:tab w:val="left" w:pos="1116"/>
              </w:tabs>
              <w:spacing w:after="40" w:line="240" w:lineRule="auto"/>
              <w:ind w:firstLine="600"/>
              <w:jc w:val="both"/>
            </w:pPr>
            <w:r>
              <w:t>（二）</w:t>
            </w:r>
            <w:r>
              <w:tab/>
            </w:r>
            <w:r>
              <w:t>按照规定的权限和程序认真履行职责，努力提高工作效率；</w:t>
            </w:r>
          </w:p>
          <w:p>
            <w:pPr>
              <w:pStyle w:val="23"/>
              <w:tabs>
                <w:tab w:val="left" w:pos="1122"/>
              </w:tabs>
              <w:spacing w:after="40" w:line="240" w:lineRule="auto"/>
              <w:ind w:firstLine="600"/>
              <w:jc w:val="both"/>
            </w:pPr>
            <w:r>
              <w:t>（三）</w:t>
            </w:r>
            <w:r>
              <w:tab/>
            </w:r>
            <w:r>
              <w:t>全心全意为人民服务，接受人民监督；</w:t>
            </w:r>
          </w:p>
          <w:p>
            <w:pPr>
              <w:pStyle w:val="23"/>
              <w:tabs>
                <w:tab w:val="left" w:pos="1128"/>
              </w:tabs>
              <w:spacing w:after="40" w:line="240" w:lineRule="auto"/>
              <w:ind w:firstLine="600"/>
              <w:jc w:val="both"/>
            </w:pPr>
            <w:r>
              <w:t>（四）</w:t>
            </w:r>
            <w:r>
              <w:tab/>
            </w:r>
            <w:r>
              <w:t>维护国家的安全、荣誉和利益；</w:t>
            </w:r>
          </w:p>
          <w:p>
            <w:pPr>
              <w:pStyle w:val="23"/>
              <w:tabs>
                <w:tab w:val="left" w:pos="1122"/>
              </w:tabs>
              <w:spacing w:after="40" w:line="240" w:lineRule="auto"/>
              <w:ind w:firstLine="600"/>
              <w:jc w:val="both"/>
            </w:pPr>
            <w:r>
              <w:t>（五）</w:t>
            </w:r>
            <w:r>
              <w:tab/>
            </w:r>
            <w:r>
              <w:t>忠于职守，勤勉尽责，服从和执行上级依法作岀的决定和命令；</w:t>
            </w:r>
          </w:p>
          <w:p>
            <w:pPr>
              <w:pStyle w:val="23"/>
              <w:tabs>
                <w:tab w:val="left" w:pos="1122"/>
              </w:tabs>
              <w:spacing w:after="40" w:line="240" w:lineRule="auto"/>
              <w:ind w:firstLine="600"/>
              <w:jc w:val="both"/>
            </w:pPr>
            <w:r>
              <w:t>（六）</w:t>
            </w:r>
            <w:r>
              <w:tab/>
            </w:r>
            <w:r>
              <w:t>保守国家秘密和工作秘密；</w:t>
            </w:r>
          </w:p>
          <w:p>
            <w:pPr>
              <w:pStyle w:val="23"/>
              <w:tabs>
                <w:tab w:val="left" w:pos="1122"/>
              </w:tabs>
              <w:spacing w:after="40" w:line="240" w:lineRule="auto"/>
              <w:ind w:firstLine="600"/>
              <w:jc w:val="both"/>
            </w:pPr>
            <w:r>
              <w:t>（七）</w:t>
            </w:r>
            <w:r>
              <w:tab/>
            </w:r>
            <w:r>
              <w:t>遵守纪律，恪守职业道德，模范遵守社会公德：</w:t>
            </w:r>
          </w:p>
          <w:p>
            <w:pPr>
              <w:pStyle w:val="23"/>
              <w:tabs>
                <w:tab w:val="left" w:pos="1128"/>
              </w:tabs>
              <w:spacing w:after="40" w:line="240" w:lineRule="auto"/>
              <w:ind w:firstLine="600"/>
              <w:jc w:val="both"/>
            </w:pPr>
            <w:r>
              <w:t>（八）</w:t>
            </w:r>
            <w:r>
              <w:tab/>
            </w:r>
            <w:r>
              <w:t>清正廉洁，公道正派；</w:t>
            </w:r>
          </w:p>
          <w:p>
            <w:pPr>
              <w:pStyle w:val="23"/>
              <w:tabs>
                <w:tab w:val="left" w:pos="1128"/>
              </w:tabs>
              <w:spacing w:after="40" w:line="240" w:lineRule="auto"/>
              <w:ind w:firstLine="600"/>
              <w:jc w:val="both"/>
            </w:pPr>
            <w:r>
              <w:t>（九）</w:t>
            </w:r>
            <w:r>
              <w:tab/>
            </w:r>
            <w:r>
              <w:t>法律规定的其他义务。</w:t>
            </w:r>
          </w:p>
          <w:p>
            <w:pPr>
              <w:pStyle w:val="23"/>
              <w:spacing w:after="40" w:line="240" w:lineRule="auto"/>
              <w:jc w:val="both"/>
            </w:pPr>
            <w:r>
              <w:t>第二十四条</w:t>
            </w:r>
            <w:r>
              <w:rPr>
                <w:rFonts w:hint="eastAsia" w:eastAsiaTheme="minorEastAsia"/>
                <w:lang w:eastAsia="zh-CN"/>
              </w:rPr>
              <w:t xml:space="preserve">  </w:t>
            </w:r>
            <w:r>
              <w:t>下列人员不得录用为公务员：</w:t>
            </w:r>
          </w:p>
          <w:p>
            <w:pPr>
              <w:pStyle w:val="23"/>
              <w:tabs>
                <w:tab w:val="left" w:pos="1146"/>
              </w:tabs>
              <w:spacing w:after="40" w:line="240" w:lineRule="auto"/>
              <w:ind w:firstLine="600"/>
              <w:jc w:val="both"/>
            </w:pPr>
            <w:r>
              <w:t>（一）</w:t>
            </w:r>
            <w:r>
              <w:tab/>
            </w:r>
            <w:r>
              <w:t>曾因犯罪受过刑事处罚的；</w:t>
            </w:r>
          </w:p>
          <w:p>
            <w:pPr>
              <w:pStyle w:val="23"/>
              <w:tabs>
                <w:tab w:val="left" w:pos="1140"/>
              </w:tabs>
              <w:spacing w:after="40" w:line="240" w:lineRule="auto"/>
              <w:ind w:firstLine="600"/>
              <w:jc w:val="both"/>
            </w:pPr>
            <w:r>
              <w:t>（二）</w:t>
            </w:r>
            <w:r>
              <w:tab/>
            </w:r>
            <w:r>
              <w:t>曾被开除公职的；</w:t>
            </w:r>
          </w:p>
          <w:p>
            <w:pPr>
              <w:pStyle w:val="23"/>
              <w:tabs>
                <w:tab w:val="left" w:pos="1122"/>
              </w:tabs>
              <w:spacing w:after="40" w:line="240" w:lineRule="auto"/>
              <w:ind w:firstLine="600"/>
              <w:jc w:val="both"/>
            </w:pPr>
            <w:r>
              <w:t>（三）</w:t>
            </w:r>
            <w:r>
              <w:tab/>
            </w:r>
            <w:r>
              <w:t>有法律规定不得录用为公务员的其他情形的。</w:t>
            </w:r>
          </w:p>
        </w:tc>
        <w:tc>
          <w:tcPr>
            <w:tcW w:w="192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72" w:lineRule="exact"/>
              <w:ind w:firstLine="0"/>
              <w:jc w:val="center"/>
            </w:pPr>
            <w:r>
              <w:t>中组部、人力资源和社会保障部、公务员局等有关部门</w:t>
            </w:r>
          </w:p>
        </w:tc>
      </w:tr>
    </w:tbl>
    <w:p>
      <w:pPr>
        <w:spacing w:line="1" w:lineRule="exact"/>
        <w:rPr>
          <w:sz w:val="2"/>
          <w:szCs w:val="2"/>
          <w:lang w:eastAsia="zh-CN"/>
        </w:rPr>
      </w:pPr>
      <w:r>
        <w:rPr>
          <w:lang w:eastAsia="zh-CN"/>
        </w:rPr>
        <w:br w:type="page"/>
      </w:r>
    </w:p>
    <w:tbl>
      <w:tblPr>
        <w:tblStyle w:val="6"/>
        <w:tblW w:w="0" w:type="auto"/>
        <w:jc w:val="center"/>
        <w:tblLayout w:type="fixed"/>
        <w:tblCellMar>
          <w:top w:w="0" w:type="dxa"/>
          <w:left w:w="10" w:type="dxa"/>
          <w:bottom w:w="0" w:type="dxa"/>
          <w:right w:w="10" w:type="dxa"/>
        </w:tblCellMar>
      </w:tblPr>
      <w:tblGrid>
        <w:gridCol w:w="2088"/>
        <w:gridCol w:w="11052"/>
        <w:gridCol w:w="1950"/>
      </w:tblGrid>
      <w:tr>
        <w:tblPrEx>
          <w:tblCellMar>
            <w:top w:w="0" w:type="dxa"/>
            <w:left w:w="10" w:type="dxa"/>
            <w:bottom w:w="0" w:type="dxa"/>
            <w:right w:w="10" w:type="dxa"/>
          </w:tblCellMar>
        </w:tblPrEx>
        <w:trPr>
          <w:trHeight w:val="408" w:hRule="exact"/>
          <w:jc w:val="center"/>
        </w:trPr>
        <w:tc>
          <w:tcPr>
            <w:tcW w:w="2088" w:type="dxa"/>
            <w:tcBorders>
              <w:top w:val="single" w:color="auto" w:sz="4" w:space="0"/>
              <w:left w:val="single" w:color="auto" w:sz="4" w:space="0"/>
            </w:tcBorders>
            <w:shd w:val="clear" w:color="auto" w:fill="FFFFFF"/>
            <w:vAlign w:val="bottom"/>
          </w:tcPr>
          <w:p>
            <w:pPr>
              <w:pStyle w:val="23"/>
              <w:spacing w:line="240" w:lineRule="auto"/>
              <w:ind w:firstLine="620"/>
              <w:jc w:val="both"/>
            </w:pPr>
            <w:r>
              <w:t>惩戒措施</w:t>
            </w:r>
          </w:p>
        </w:tc>
        <w:tc>
          <w:tcPr>
            <w:tcW w:w="11052" w:type="dxa"/>
            <w:tcBorders>
              <w:top w:val="single" w:color="auto" w:sz="4" w:space="0"/>
              <w:left w:val="single" w:color="auto" w:sz="4" w:space="0"/>
            </w:tcBorders>
            <w:shd w:val="clear" w:color="auto" w:fill="FFFFFF"/>
            <w:vAlign w:val="bottom"/>
          </w:tcPr>
          <w:p>
            <w:pPr>
              <w:pStyle w:val="23"/>
              <w:spacing w:line="240" w:lineRule="auto"/>
              <w:ind w:firstLine="0"/>
              <w:jc w:val="center"/>
            </w:pPr>
            <w:r>
              <w:t>法律及政策依据</w:t>
            </w:r>
          </w:p>
        </w:tc>
        <w:tc>
          <w:tcPr>
            <w:tcW w:w="1950" w:type="dxa"/>
            <w:tcBorders>
              <w:top w:val="single" w:color="auto" w:sz="4" w:space="0"/>
              <w:left w:val="single" w:color="auto" w:sz="4" w:space="0"/>
              <w:right w:val="single" w:color="auto" w:sz="4" w:space="0"/>
            </w:tcBorders>
            <w:shd w:val="clear" w:color="auto" w:fill="FFFFFF"/>
            <w:vAlign w:val="bottom"/>
          </w:tcPr>
          <w:p>
            <w:pPr>
              <w:pStyle w:val="23"/>
              <w:spacing w:line="240" w:lineRule="auto"/>
              <w:ind w:firstLine="0"/>
              <w:jc w:val="center"/>
            </w:pPr>
            <w:r>
              <w:t>实施单位</w:t>
            </w:r>
          </w:p>
        </w:tc>
      </w:tr>
      <w:tr>
        <w:tblPrEx>
          <w:tblCellMar>
            <w:top w:w="0" w:type="dxa"/>
            <w:left w:w="10" w:type="dxa"/>
            <w:bottom w:w="0" w:type="dxa"/>
            <w:right w:w="10" w:type="dxa"/>
          </w:tblCellMar>
        </w:tblPrEx>
        <w:trPr>
          <w:trHeight w:val="2466" w:hRule="exact"/>
          <w:jc w:val="center"/>
        </w:trPr>
        <w:tc>
          <w:tcPr>
            <w:tcW w:w="2088" w:type="dxa"/>
            <w:tcBorders>
              <w:top w:val="single" w:color="auto" w:sz="4" w:space="0"/>
              <w:left w:val="single" w:color="auto" w:sz="4" w:space="0"/>
            </w:tcBorders>
            <w:shd w:val="clear" w:color="auto" w:fill="FFFFFF"/>
          </w:tcPr>
          <w:p>
            <w:pPr>
              <w:rPr>
                <w:sz w:val="10"/>
                <w:szCs w:val="10"/>
              </w:rPr>
            </w:pPr>
          </w:p>
        </w:tc>
        <w:tc>
          <w:tcPr>
            <w:tcW w:w="11052" w:type="dxa"/>
            <w:tcBorders>
              <w:top w:val="single" w:color="auto" w:sz="4" w:space="0"/>
              <w:left w:val="single" w:color="auto" w:sz="4" w:space="0"/>
            </w:tcBorders>
            <w:shd w:val="clear" w:color="auto" w:fill="FFFFFF"/>
          </w:tcPr>
          <w:p>
            <w:pPr>
              <w:pStyle w:val="23"/>
              <w:spacing w:line="270" w:lineRule="exact"/>
              <w:ind w:left="600" w:hanging="80"/>
              <w:jc w:val="both"/>
              <w:rPr>
                <w:rFonts w:hint="eastAsia" w:eastAsiaTheme="minorEastAsia"/>
                <w:lang w:eastAsia="zh-CN"/>
              </w:rPr>
            </w:pPr>
            <w:r>
              <w:t>第三十三条对公务员的考核，按照管理权限，全面考核公务员的德、能、勤、绩、廉，重点考核工作实绩。</w:t>
            </w:r>
          </w:p>
          <w:p>
            <w:pPr>
              <w:pStyle w:val="23"/>
              <w:spacing w:line="270" w:lineRule="exact"/>
              <w:ind w:left="600" w:hanging="80"/>
              <w:jc w:val="both"/>
            </w:pPr>
            <w:r>
              <w:t>《事业单位公开招聘人员暂行规定》</w:t>
            </w:r>
          </w:p>
          <w:p>
            <w:pPr>
              <w:pStyle w:val="23"/>
              <w:spacing w:line="270" w:lineRule="exact"/>
              <w:ind w:left="600" w:hanging="80"/>
              <w:jc w:val="both"/>
            </w:pPr>
            <w:r>
              <w:t>第九条</w:t>
            </w:r>
            <w:r>
              <w:rPr>
                <w:rFonts w:hint="eastAsia" w:eastAsiaTheme="minorEastAsia"/>
                <w:lang w:eastAsia="zh-CN"/>
              </w:rPr>
              <w:t xml:space="preserve">  </w:t>
            </w:r>
            <w:r>
              <w:t>应聘人员必须具备下列条件：</w:t>
            </w:r>
          </w:p>
          <w:p>
            <w:pPr>
              <w:pStyle w:val="23"/>
              <w:tabs>
                <w:tab w:val="left" w:pos="1142"/>
              </w:tabs>
              <w:spacing w:line="270" w:lineRule="exact"/>
              <w:ind w:firstLine="620"/>
              <w:jc w:val="both"/>
            </w:pPr>
            <w:r>
              <w:t>（一）</w:t>
            </w:r>
            <w:r>
              <w:tab/>
            </w:r>
            <w:r>
              <w:t>具有中华人民共和国国籍；</w:t>
            </w:r>
          </w:p>
          <w:p>
            <w:pPr>
              <w:pStyle w:val="23"/>
              <w:tabs>
                <w:tab w:val="left" w:pos="1136"/>
                <w:tab w:val="left" w:pos="4820"/>
              </w:tabs>
              <w:spacing w:line="270" w:lineRule="exact"/>
              <w:ind w:firstLine="620"/>
              <w:jc w:val="both"/>
            </w:pPr>
            <w:r>
              <w:t>（二）遵守宪法和法律；</w:t>
            </w:r>
            <w:r>
              <w:tab/>
            </w:r>
          </w:p>
          <w:p>
            <w:pPr>
              <w:pStyle w:val="23"/>
              <w:tabs>
                <w:tab w:val="left" w:pos="1142"/>
              </w:tabs>
              <w:spacing w:line="270" w:lineRule="exact"/>
              <w:ind w:firstLine="620"/>
              <w:jc w:val="both"/>
            </w:pPr>
            <w:r>
              <w:t>（三）</w:t>
            </w:r>
            <w:r>
              <w:tab/>
            </w:r>
            <w:r>
              <w:t>具有良好的品行；</w:t>
            </w:r>
          </w:p>
          <w:p>
            <w:pPr>
              <w:pStyle w:val="23"/>
              <w:tabs>
                <w:tab w:val="left" w:pos="1154"/>
              </w:tabs>
              <w:spacing w:line="270" w:lineRule="exact"/>
              <w:ind w:firstLine="620"/>
              <w:jc w:val="both"/>
            </w:pPr>
            <w:r>
              <w:t>（四）</w:t>
            </w:r>
            <w:r>
              <w:tab/>
            </w:r>
            <w:r>
              <w:t>岗位所需的专业或技能条件；</w:t>
            </w:r>
          </w:p>
          <w:p>
            <w:pPr>
              <w:pStyle w:val="23"/>
              <w:tabs>
                <w:tab w:val="left" w:pos="1130"/>
              </w:tabs>
              <w:spacing w:line="270" w:lineRule="exact"/>
              <w:ind w:firstLine="620"/>
              <w:jc w:val="both"/>
            </w:pPr>
            <w:r>
              <w:t>（五）</w:t>
            </w:r>
            <w:r>
              <w:tab/>
            </w:r>
            <w:r>
              <w:t>适应岗位要求的身体条件；</w:t>
            </w:r>
          </w:p>
          <w:p>
            <w:pPr>
              <w:pStyle w:val="23"/>
              <w:tabs>
                <w:tab w:val="left" w:pos="1154"/>
              </w:tabs>
              <w:spacing w:line="270" w:lineRule="exact"/>
              <w:ind w:firstLine="620"/>
              <w:jc w:val="both"/>
            </w:pPr>
            <w:r>
              <w:t>（六）</w:t>
            </w:r>
            <w:r>
              <w:tab/>
            </w:r>
            <w:r>
              <w:t>岗位所需要的其他条件。</w:t>
            </w:r>
          </w:p>
        </w:tc>
        <w:tc>
          <w:tcPr>
            <w:tcW w:w="1950"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5340" w:hRule="exact"/>
          <w:jc w:val="center"/>
        </w:trPr>
        <w:tc>
          <w:tcPr>
            <w:tcW w:w="2088" w:type="dxa"/>
            <w:tcBorders>
              <w:top w:val="single" w:color="auto" w:sz="4" w:space="0"/>
              <w:left w:val="single" w:color="auto" w:sz="4" w:space="0"/>
              <w:bottom w:val="single" w:color="auto" w:sz="4" w:space="0"/>
            </w:tcBorders>
            <w:shd w:val="clear" w:color="auto" w:fill="FFFFFF"/>
            <w:vAlign w:val="center"/>
          </w:tcPr>
          <w:p>
            <w:pPr>
              <w:pStyle w:val="23"/>
              <w:spacing w:line="313" w:lineRule="exact"/>
              <w:ind w:firstLine="220"/>
              <w:jc w:val="both"/>
            </w:pPr>
            <w:r>
              <w:t>（十八）对企业和个 人给予表彰奖励、授予荣誉称号时，应当参考其统计信用状况，对失信企业和失信人员，不予颁发政府荣誉；及时撤销失信企业和失信人员获得的荣誉称号。</w:t>
            </w:r>
          </w:p>
        </w:tc>
        <w:tc>
          <w:tcPr>
            <w:tcW w:w="11052" w:type="dxa"/>
            <w:tcBorders>
              <w:top w:val="single" w:color="auto" w:sz="4" w:space="0"/>
              <w:left w:val="single" w:color="auto" w:sz="4" w:space="0"/>
              <w:bottom w:val="single" w:color="auto" w:sz="4" w:space="0"/>
            </w:tcBorders>
            <w:shd w:val="clear" w:color="auto" w:fill="FFFFFF"/>
          </w:tcPr>
          <w:p>
            <w:pPr>
              <w:pStyle w:val="23"/>
              <w:spacing w:line="314" w:lineRule="exact"/>
              <w:ind w:firstLine="620"/>
              <w:jc w:val="both"/>
            </w:pPr>
            <w:r>
              <w:t>《国务院关于建立完善守信联合激励和失信联合惩戒制度加快推进社会诚信建设的指导意见》（国发</w:t>
            </w:r>
            <w:r>
              <w:rPr>
                <w:rFonts w:ascii="Times New Roman" w:hAnsi="Times New Roman" w:eastAsia="Times New Roman" w:cs="Times New Roman"/>
                <w:b/>
                <w:bCs/>
                <w:sz w:val="22"/>
                <w:szCs w:val="22"/>
              </w:rPr>
              <w:t xml:space="preserve">（2016） 33 </w:t>
            </w:r>
            <w:r>
              <w:t>号）</w:t>
            </w:r>
          </w:p>
          <w:p>
            <w:pPr>
              <w:pStyle w:val="23"/>
              <w:spacing w:line="314" w:lineRule="exact"/>
              <w:ind w:firstLine="620"/>
              <w:jc w:val="both"/>
            </w:pPr>
            <w:r>
              <w:t>（十）依法依规加强对失信行为的行政性约束和惩戒。对严重失信主体，各地区、各有关部门应将其列为重点监管对象，依法依规采取行政性约束和惩戒措施。从严审核行政许可审批项目，从严控制生产许可证发放，限制新增项 目审批、核准，限制股票发行上市融资或发行债券，限制在全国股份转让系统挂牌、融资，限制发起设立或参股金融 机构以及小额贷款公司、融资担保公司、创业投资公司、互联网融资平台等机构，限制从事互联网信息服务等。严格 限制申请财政性资金项目，限制参与有关公共资源交易活动，限制参与基础设施和公用事业特许经营。对严重失信企 业及其法定代表人、主要负责人和对失信行为负有直接责任的注册执业人员等实施市场和行业禁入措施。及时撤销严 重失信企业及其法定代表人、负责人、高级管理人员和对失信行为负有直接责任的董事、股东等人员的荣誉称号，取 消参加评先评优资格。</w:t>
            </w:r>
          </w:p>
          <w:p>
            <w:pPr>
              <w:pStyle w:val="23"/>
              <w:spacing w:line="314" w:lineRule="exact"/>
              <w:ind w:firstLine="620"/>
              <w:jc w:val="both"/>
            </w:pPr>
            <w:r>
              <w:t>《国务院关于促进市场公平竞争维护市场正常秩序的若干意见》（国发</w:t>
            </w:r>
            <w:r>
              <w:rPr>
                <w:rFonts w:ascii="Times New Roman" w:hAnsi="Times New Roman" w:eastAsia="Times New Roman" w:cs="Times New Roman"/>
                <w:b/>
                <w:bCs/>
                <w:sz w:val="22"/>
                <w:szCs w:val="22"/>
              </w:rPr>
              <w:t>（2014） 20</w:t>
            </w:r>
            <w:r>
              <w:t>号）</w:t>
            </w:r>
          </w:p>
          <w:p>
            <w:pPr>
              <w:pStyle w:val="23"/>
              <w:spacing w:line="314" w:lineRule="exact"/>
              <w:ind w:firstLine="620"/>
              <w:jc w:val="both"/>
            </w:pPr>
            <w:r>
              <w:t>（十五）建立健全守信激励和失信惩戒机制。将市场主体的信用信息作为实施行政管理的重要参考。根据市场主 体信用状况实行分类分级、动态监管，建立健全经营异常名录制度，对违背市场竞争原则和侵犯消费者、劳动者合法 权益的市场主体建立</w:t>
            </w:r>
            <w:r>
              <w:rPr>
                <w:lang w:val="zh-CN" w:eastAsia="zh-CN" w:bidi="zh-CN"/>
              </w:rPr>
              <w:t>“黑</w:t>
            </w:r>
            <w:r>
              <w:t>名单”制度。（工商总局牵头负责）对守信主体予以支持和激励，对失信主体在经营、投融 资、取得政府供应土地、进岀口、出入境、注册新公司、工程招投标、政府釆购、获得荣誉、安全许可、生产许可、 从业任职资格、资质审核等方面依法予以限制或禁止，对严重违法失信主体实行市场禁入制度。（各相关市场监管部 门按职责分工分别负责）</w:t>
            </w:r>
          </w:p>
        </w:tc>
        <w:tc>
          <w:tcPr>
            <w:tcW w:w="19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311" w:lineRule="exact"/>
              <w:ind w:left="180" w:firstLine="100"/>
              <w:rPr>
                <w:rFonts w:hint="eastAsia" w:eastAsiaTheme="minorEastAsia"/>
                <w:lang w:eastAsia="zh-CN"/>
              </w:rPr>
            </w:pPr>
            <w:r>
              <w:t>中央宣传部、</w:t>
            </w:r>
          </w:p>
          <w:p>
            <w:pPr>
              <w:pStyle w:val="23"/>
              <w:spacing w:line="311" w:lineRule="exact"/>
              <w:ind w:left="180" w:firstLine="100"/>
              <w:rPr>
                <w:rFonts w:hint="eastAsia" w:eastAsiaTheme="minorEastAsia"/>
                <w:lang w:eastAsia="zh-CN"/>
              </w:rPr>
            </w:pPr>
            <w:r>
              <w:t xml:space="preserve"> 中央文明办、</w:t>
            </w:r>
          </w:p>
          <w:p>
            <w:pPr>
              <w:pStyle w:val="23"/>
              <w:spacing w:line="311" w:lineRule="exact"/>
              <w:ind w:left="180" w:firstLine="100"/>
              <w:rPr>
                <w:rFonts w:hint="eastAsia" w:eastAsiaTheme="minorEastAsia"/>
                <w:lang w:eastAsia="zh-CN"/>
              </w:rPr>
            </w:pPr>
            <w:r>
              <w:t xml:space="preserve"> 全国总工会、</w:t>
            </w:r>
          </w:p>
          <w:p>
            <w:pPr>
              <w:pStyle w:val="23"/>
              <w:spacing w:line="311" w:lineRule="exact"/>
              <w:ind w:left="180" w:firstLine="100"/>
              <w:rPr>
                <w:rFonts w:hint="eastAsia" w:eastAsiaTheme="minorEastAsia"/>
                <w:lang w:eastAsia="zh-CN"/>
              </w:rPr>
            </w:pPr>
            <w:r>
              <w:t xml:space="preserve"> 共青团中央、</w:t>
            </w:r>
          </w:p>
          <w:p>
            <w:pPr>
              <w:pStyle w:val="23"/>
              <w:spacing w:line="311" w:lineRule="exact"/>
              <w:ind w:left="180" w:firstLine="100"/>
              <w:rPr>
                <w:rFonts w:hint="eastAsia" w:eastAsiaTheme="minorEastAsia"/>
                <w:lang w:eastAsia="zh-CN"/>
              </w:rPr>
            </w:pPr>
            <w:r>
              <w:t xml:space="preserve"> 全国妇联等，</w:t>
            </w:r>
          </w:p>
          <w:p>
            <w:pPr>
              <w:pStyle w:val="23"/>
              <w:spacing w:line="311" w:lineRule="exact"/>
              <w:ind w:left="180" w:firstLine="100"/>
            </w:pPr>
            <w:r>
              <w:t xml:space="preserve"> 各部门共同实施</w:t>
            </w:r>
          </w:p>
        </w:tc>
      </w:tr>
    </w:tbl>
    <w:p>
      <w:pPr>
        <w:spacing w:line="1" w:lineRule="exact"/>
        <w:rPr>
          <w:sz w:val="2"/>
          <w:szCs w:val="2"/>
          <w:lang w:eastAsia="zh-CN"/>
        </w:rPr>
      </w:pPr>
      <w:r>
        <w:rPr>
          <w:lang w:eastAsia="zh-CN"/>
        </w:rPr>
        <w:br w:type="page"/>
      </w:r>
    </w:p>
    <w:tbl>
      <w:tblPr>
        <w:tblStyle w:val="6"/>
        <w:tblW w:w="0" w:type="auto"/>
        <w:jc w:val="center"/>
        <w:tblLayout w:type="fixed"/>
        <w:tblCellMar>
          <w:top w:w="0" w:type="dxa"/>
          <w:left w:w="10" w:type="dxa"/>
          <w:bottom w:w="0" w:type="dxa"/>
          <w:right w:w="10" w:type="dxa"/>
        </w:tblCellMar>
      </w:tblPr>
      <w:tblGrid>
        <w:gridCol w:w="2100"/>
        <w:gridCol w:w="11040"/>
        <w:gridCol w:w="1920"/>
      </w:tblGrid>
      <w:tr>
        <w:tblPrEx>
          <w:tblCellMar>
            <w:top w:w="0" w:type="dxa"/>
            <w:left w:w="10" w:type="dxa"/>
            <w:bottom w:w="0" w:type="dxa"/>
            <w:right w:w="10" w:type="dxa"/>
          </w:tblCellMar>
        </w:tblPrEx>
        <w:trPr>
          <w:trHeight w:val="402" w:hRule="exact"/>
          <w:jc w:val="center"/>
        </w:trPr>
        <w:tc>
          <w:tcPr>
            <w:tcW w:w="2100" w:type="dxa"/>
            <w:tcBorders>
              <w:top w:val="single" w:color="auto" w:sz="4" w:space="0"/>
              <w:left w:val="single" w:color="auto" w:sz="4" w:space="0"/>
            </w:tcBorders>
            <w:shd w:val="clear" w:color="auto" w:fill="FFFFFF"/>
            <w:vAlign w:val="bottom"/>
          </w:tcPr>
          <w:p>
            <w:pPr>
              <w:pStyle w:val="23"/>
              <w:spacing w:line="240" w:lineRule="auto"/>
              <w:ind w:firstLine="0"/>
              <w:jc w:val="center"/>
            </w:pPr>
            <w:r>
              <w:t>惩戒措施</w:t>
            </w:r>
          </w:p>
        </w:tc>
        <w:tc>
          <w:tcPr>
            <w:tcW w:w="11040" w:type="dxa"/>
            <w:tcBorders>
              <w:top w:val="single" w:color="auto" w:sz="4" w:space="0"/>
              <w:left w:val="single" w:color="auto" w:sz="4" w:space="0"/>
            </w:tcBorders>
            <w:shd w:val="clear" w:color="auto" w:fill="FFFFFF"/>
            <w:vAlign w:val="bottom"/>
          </w:tcPr>
          <w:p>
            <w:pPr>
              <w:pStyle w:val="23"/>
              <w:spacing w:line="240" w:lineRule="auto"/>
              <w:ind w:firstLine="0"/>
              <w:jc w:val="center"/>
            </w:pPr>
            <w:r>
              <w:t>法律及政策依据</w:t>
            </w:r>
          </w:p>
        </w:tc>
        <w:tc>
          <w:tcPr>
            <w:tcW w:w="1920" w:type="dxa"/>
            <w:tcBorders>
              <w:top w:val="single" w:color="auto" w:sz="4" w:space="0"/>
              <w:left w:val="single" w:color="auto" w:sz="4" w:space="0"/>
              <w:right w:val="single" w:color="auto" w:sz="4" w:space="0"/>
            </w:tcBorders>
            <w:shd w:val="clear" w:color="auto" w:fill="FFFFFF"/>
            <w:vAlign w:val="bottom"/>
          </w:tcPr>
          <w:p>
            <w:pPr>
              <w:pStyle w:val="23"/>
              <w:spacing w:line="240" w:lineRule="auto"/>
              <w:ind w:firstLine="0"/>
              <w:jc w:val="center"/>
            </w:pPr>
            <w:r>
              <w:t>实施单位</w:t>
            </w:r>
          </w:p>
        </w:tc>
      </w:tr>
      <w:tr>
        <w:tblPrEx>
          <w:tblCellMar>
            <w:top w:w="0" w:type="dxa"/>
            <w:left w:w="10" w:type="dxa"/>
            <w:bottom w:w="0" w:type="dxa"/>
            <w:right w:w="10" w:type="dxa"/>
          </w:tblCellMar>
        </w:tblPrEx>
        <w:trPr>
          <w:trHeight w:val="3438" w:hRule="exact"/>
          <w:jc w:val="center"/>
        </w:trPr>
        <w:tc>
          <w:tcPr>
            <w:tcW w:w="2100" w:type="dxa"/>
            <w:tcBorders>
              <w:top w:val="single" w:color="auto" w:sz="4" w:space="0"/>
              <w:left w:val="single" w:color="auto" w:sz="4" w:space="0"/>
            </w:tcBorders>
            <w:shd w:val="clear" w:color="auto" w:fill="FFFFFF"/>
            <w:vAlign w:val="center"/>
          </w:tcPr>
          <w:p>
            <w:pPr>
              <w:pStyle w:val="23"/>
              <w:ind w:firstLine="220"/>
              <w:jc w:val="both"/>
            </w:pPr>
            <w:r>
              <w:t>（十九）依法限制登 记为事业单位法定代表人。</w:t>
            </w:r>
          </w:p>
        </w:tc>
        <w:tc>
          <w:tcPr>
            <w:tcW w:w="11040" w:type="dxa"/>
            <w:tcBorders>
              <w:top w:val="single" w:color="auto" w:sz="4" w:space="0"/>
              <w:left w:val="single" w:color="auto" w:sz="4" w:space="0"/>
            </w:tcBorders>
            <w:shd w:val="clear" w:color="auto" w:fill="FFFFFF"/>
            <w:vAlign w:val="bottom"/>
          </w:tcPr>
          <w:p>
            <w:pPr>
              <w:pStyle w:val="23"/>
              <w:spacing w:line="306" w:lineRule="exact"/>
              <w:jc w:val="both"/>
            </w:pPr>
            <w:r>
              <w:t>事业单位登记管理暂行条例实施细则（中央编办发</w:t>
            </w:r>
            <w:r>
              <w:rPr>
                <w:rFonts w:ascii="Times New Roman" w:hAnsi="Times New Roman" w:eastAsia="Times New Roman" w:cs="Times New Roman"/>
                <w:b/>
                <w:bCs/>
                <w:sz w:val="22"/>
                <w:szCs w:val="22"/>
                <w:lang w:val="en-US" w:eastAsia="zh-CN" w:bidi="en-US"/>
              </w:rPr>
              <w:t>[2014]</w:t>
            </w:r>
            <w:r>
              <w:rPr>
                <w:rFonts w:ascii="Times New Roman" w:hAnsi="Times New Roman" w:eastAsia="Times New Roman" w:cs="Times New Roman"/>
                <w:b/>
                <w:bCs/>
                <w:sz w:val="22"/>
                <w:szCs w:val="22"/>
              </w:rPr>
              <w:t>4</w:t>
            </w:r>
            <w:r>
              <w:t>号）</w:t>
            </w:r>
          </w:p>
          <w:p>
            <w:pPr>
              <w:pStyle w:val="23"/>
              <w:spacing w:line="306" w:lineRule="exact"/>
              <w:jc w:val="both"/>
            </w:pPr>
            <w:r>
              <w:t>第三十一条</w:t>
            </w:r>
            <w:r>
              <w:rPr>
                <w:rFonts w:hint="eastAsia" w:asciiTheme="minorEastAsia" w:hAnsiTheme="minorEastAsia" w:eastAsiaTheme="minorEastAsia"/>
                <w:lang w:eastAsia="zh-CN"/>
              </w:rPr>
              <w:t xml:space="preserve"> </w:t>
            </w:r>
            <w:r>
              <w:t>事业单位法定代表人应当具备下列条件：</w:t>
            </w:r>
          </w:p>
          <w:p>
            <w:pPr>
              <w:pStyle w:val="23"/>
              <w:tabs>
                <w:tab w:val="left" w:pos="1122"/>
              </w:tabs>
              <w:spacing w:line="306" w:lineRule="exact"/>
              <w:ind w:firstLine="600"/>
              <w:jc w:val="both"/>
            </w:pPr>
            <w:r>
              <w:t>（一）</w:t>
            </w:r>
            <w:r>
              <w:tab/>
            </w:r>
            <w:r>
              <w:t>具有完全民事行为能力的自然人；</w:t>
            </w:r>
          </w:p>
          <w:p>
            <w:pPr>
              <w:pStyle w:val="23"/>
              <w:tabs>
                <w:tab w:val="left" w:pos="1122"/>
              </w:tabs>
              <w:spacing w:line="306" w:lineRule="exact"/>
              <w:ind w:firstLine="600"/>
              <w:jc w:val="both"/>
            </w:pPr>
            <w:r>
              <w:t>（二）</w:t>
            </w:r>
            <w:r>
              <w:tab/>
            </w:r>
            <w:r>
              <w:t>该事业单位的主要行政负责人。</w:t>
            </w:r>
          </w:p>
          <w:p>
            <w:pPr>
              <w:pStyle w:val="23"/>
              <w:spacing w:line="306" w:lineRule="exact"/>
              <w:jc w:val="both"/>
            </w:pPr>
            <w:r>
              <w:t>违反法律、法规和政策规定产生的事业单位主要行政负责人，不得担任事业单位法定代表人。</w:t>
            </w:r>
          </w:p>
          <w:p>
            <w:pPr>
              <w:pStyle w:val="23"/>
              <w:spacing w:line="306" w:lineRule="exact"/>
              <w:ind w:firstLine="620"/>
              <w:jc w:val="both"/>
            </w:pPr>
            <w:r>
              <w:t>《中央编办关于批转〈事业单位、社会团体及企业等组织利用国有资产举办事业单位设立登记办法（试行）〉的通知》（中央编办发</w:t>
            </w:r>
            <w:r>
              <w:rPr>
                <w:rFonts w:ascii="Times New Roman" w:hAnsi="Times New Roman" w:eastAsia="Times New Roman" w:cs="Times New Roman"/>
                <w:b/>
                <w:bCs/>
                <w:sz w:val="22"/>
                <w:szCs w:val="22"/>
              </w:rPr>
              <w:t>（2015） 132</w:t>
            </w:r>
            <w:r>
              <w:t>号）</w:t>
            </w:r>
          </w:p>
          <w:p>
            <w:pPr>
              <w:pStyle w:val="23"/>
              <w:spacing w:line="306" w:lineRule="exact"/>
              <w:jc w:val="both"/>
            </w:pPr>
            <w:r>
              <w:t>第四条</w:t>
            </w:r>
            <w:r>
              <w:rPr>
                <w:rFonts w:hint="eastAsia" w:asciiTheme="minorEastAsia" w:hAnsiTheme="minorEastAsia" w:eastAsiaTheme="minorEastAsia"/>
                <w:lang w:eastAsia="zh-CN"/>
              </w:rPr>
              <w:t xml:space="preserve"> </w:t>
            </w:r>
            <w:r>
              <w:t xml:space="preserve"> 登记事项要求：</w:t>
            </w:r>
          </w:p>
          <w:p>
            <w:pPr>
              <w:pStyle w:val="23"/>
              <w:spacing w:line="306" w:lineRule="exact"/>
              <w:ind w:firstLine="620"/>
              <w:jc w:val="both"/>
            </w:pPr>
            <w:r>
              <w:t>（四）法定代表人。应当是具有完全民事行为能力的</w:t>
            </w:r>
            <w:r>
              <w:rPr>
                <w:rFonts w:hint="eastAsia" w:asciiTheme="minorEastAsia" w:hAnsiTheme="minorEastAsia" w:eastAsiaTheme="minorEastAsia"/>
                <w:lang w:eastAsia="zh-CN"/>
              </w:rPr>
              <w:t>中</w:t>
            </w:r>
            <w:r>
              <w:t xml:space="preserve">国公民，且为该单位主要行政负责人，年龄一般不超过 </w:t>
            </w:r>
            <w:r>
              <w:rPr>
                <w:rFonts w:ascii="Times New Roman" w:hAnsi="Times New Roman" w:eastAsia="Times New Roman" w:cs="Times New Roman"/>
                <w:b/>
                <w:bCs/>
                <w:sz w:val="22"/>
                <w:szCs w:val="22"/>
              </w:rPr>
              <w:t>70</w:t>
            </w:r>
            <w:r>
              <w:t>周岁，无不良信用记录。担任过其他机构法定代表人的，在任职期间，该机构无不良信用</w:t>
            </w:r>
            <w:r>
              <w:rPr>
                <w:lang w:val="zh-CN" w:eastAsia="zh-CN" w:bidi="zh-CN"/>
              </w:rPr>
              <w:t>记录。</w:t>
            </w:r>
          </w:p>
          <w:p>
            <w:pPr>
              <w:pStyle w:val="23"/>
              <w:spacing w:line="306" w:lineRule="exact"/>
              <w:jc w:val="both"/>
            </w:pPr>
            <w:r>
              <w:t>党政机关领导干部在职或退休后拟担任法定代表人的，应当符合干部管理有关规定。</w:t>
            </w:r>
          </w:p>
        </w:tc>
        <w:tc>
          <w:tcPr>
            <w:tcW w:w="1920" w:type="dxa"/>
            <w:tcBorders>
              <w:top w:val="single" w:color="auto" w:sz="4" w:space="0"/>
              <w:left w:val="single" w:color="auto" w:sz="4" w:space="0"/>
              <w:right w:val="single" w:color="auto" w:sz="4" w:space="0"/>
            </w:tcBorders>
            <w:shd w:val="clear" w:color="auto" w:fill="FFFFFF"/>
            <w:vAlign w:val="center"/>
          </w:tcPr>
          <w:p>
            <w:pPr>
              <w:pStyle w:val="23"/>
              <w:spacing w:line="240" w:lineRule="auto"/>
              <w:ind w:firstLine="0"/>
              <w:jc w:val="center"/>
            </w:pPr>
            <w:r>
              <w:t>中央编办</w:t>
            </w:r>
          </w:p>
        </w:tc>
      </w:tr>
      <w:tr>
        <w:tblPrEx>
          <w:tblCellMar>
            <w:top w:w="0" w:type="dxa"/>
            <w:left w:w="10" w:type="dxa"/>
            <w:bottom w:w="0" w:type="dxa"/>
            <w:right w:w="10" w:type="dxa"/>
          </w:tblCellMar>
        </w:tblPrEx>
        <w:trPr>
          <w:trHeight w:val="2502" w:hRule="exact"/>
          <w:jc w:val="center"/>
        </w:trPr>
        <w:tc>
          <w:tcPr>
            <w:tcW w:w="2100" w:type="dxa"/>
            <w:tcBorders>
              <w:top w:val="single" w:color="auto" w:sz="4" w:space="0"/>
              <w:left w:val="single" w:color="auto" w:sz="4" w:space="0"/>
            </w:tcBorders>
            <w:shd w:val="clear" w:color="auto" w:fill="FFFFFF"/>
            <w:vAlign w:val="center"/>
          </w:tcPr>
          <w:p>
            <w:pPr>
              <w:pStyle w:val="23"/>
              <w:spacing w:line="318" w:lineRule="exact"/>
              <w:ind w:firstLine="220"/>
              <w:jc w:val="both"/>
            </w:pPr>
            <w:r>
              <w:t>（二十）依法限制担 任国有企业法定代表人、董事、监事。</w:t>
            </w:r>
          </w:p>
        </w:tc>
        <w:tc>
          <w:tcPr>
            <w:tcW w:w="11040" w:type="dxa"/>
            <w:tcBorders>
              <w:top w:val="single" w:color="auto" w:sz="4" w:space="0"/>
              <w:left w:val="single" w:color="auto" w:sz="4" w:space="0"/>
            </w:tcBorders>
            <w:shd w:val="clear" w:color="auto" w:fill="FFFFFF"/>
            <w:vAlign w:val="bottom"/>
          </w:tcPr>
          <w:p>
            <w:pPr>
              <w:pStyle w:val="23"/>
              <w:spacing w:line="312" w:lineRule="exact"/>
              <w:ind w:firstLine="600"/>
              <w:jc w:val="both"/>
            </w:pPr>
            <w:r>
              <w:t>《中华人民共和国企业国有资产法》</w:t>
            </w:r>
          </w:p>
          <w:p>
            <w:pPr>
              <w:pStyle w:val="23"/>
              <w:spacing w:line="312" w:lineRule="exact"/>
              <w:jc w:val="both"/>
            </w:pPr>
            <w:r>
              <w:t>第二十三条</w:t>
            </w:r>
            <w:r>
              <w:rPr>
                <w:rFonts w:hint="eastAsia" w:eastAsiaTheme="minorEastAsia"/>
                <w:lang w:eastAsia="zh-CN"/>
              </w:rPr>
              <w:t xml:space="preserve">  </w:t>
            </w:r>
            <w:r>
              <w:t>履行出资人职责的机构任命或者建议任命的董事、监事、高级管理人员，应当具备下列条件：</w:t>
            </w:r>
          </w:p>
          <w:p>
            <w:pPr>
              <w:pStyle w:val="23"/>
              <w:tabs>
                <w:tab w:val="left" w:pos="1128"/>
              </w:tabs>
              <w:spacing w:line="312" w:lineRule="exact"/>
              <w:ind w:firstLine="600"/>
              <w:jc w:val="both"/>
            </w:pPr>
            <w:r>
              <w:t>（一）</w:t>
            </w:r>
            <w:r>
              <w:tab/>
            </w:r>
            <w:r>
              <w:t>有良好的品行；</w:t>
            </w:r>
          </w:p>
          <w:p>
            <w:pPr>
              <w:pStyle w:val="23"/>
              <w:tabs>
                <w:tab w:val="left" w:pos="1116"/>
              </w:tabs>
              <w:spacing w:line="312" w:lineRule="exact"/>
              <w:ind w:firstLine="600"/>
              <w:jc w:val="both"/>
            </w:pPr>
            <w:r>
              <w:t>（二）</w:t>
            </w:r>
            <w:r>
              <w:tab/>
            </w:r>
            <w:r>
              <w:t>有符合职位要求的专业知识和工作能力；</w:t>
            </w:r>
          </w:p>
          <w:p>
            <w:pPr>
              <w:pStyle w:val="23"/>
              <w:tabs>
                <w:tab w:val="left" w:pos="1116"/>
              </w:tabs>
              <w:spacing w:line="312" w:lineRule="exact"/>
              <w:ind w:firstLine="600"/>
              <w:jc w:val="both"/>
            </w:pPr>
            <w:r>
              <w:t>（三）</w:t>
            </w:r>
            <w:r>
              <w:tab/>
            </w:r>
            <w:r>
              <w:t>有能够正常履行职责的身体条件；</w:t>
            </w:r>
          </w:p>
          <w:p>
            <w:pPr>
              <w:pStyle w:val="23"/>
              <w:tabs>
                <w:tab w:val="left" w:pos="1116"/>
              </w:tabs>
              <w:spacing w:line="312" w:lineRule="exact"/>
              <w:ind w:firstLine="600"/>
              <w:jc w:val="both"/>
            </w:pPr>
            <w:r>
              <w:t>（四）</w:t>
            </w:r>
            <w:r>
              <w:tab/>
            </w:r>
            <w:r>
              <w:t>法律、行政法规规定的其他条件。</w:t>
            </w:r>
          </w:p>
          <w:p>
            <w:pPr>
              <w:pStyle w:val="23"/>
              <w:spacing w:line="312" w:lineRule="exact"/>
              <w:jc w:val="both"/>
            </w:pPr>
            <w:r>
              <w:t>董事、监事、高级管理人员在任职期间出现不符合前款规定情形或者出现《中华人民共和国公司法》规定的不得担任公司董事、监事、高级管理人员情形的，履行出资人职责的机构应当依法予以免职或者提出免职建议。</w:t>
            </w:r>
          </w:p>
        </w:tc>
        <w:tc>
          <w:tcPr>
            <w:tcW w:w="1920" w:type="dxa"/>
            <w:tcBorders>
              <w:top w:val="single" w:color="auto" w:sz="4" w:space="0"/>
              <w:left w:val="single" w:color="auto" w:sz="4" w:space="0"/>
              <w:right w:val="single" w:color="auto" w:sz="4" w:space="0"/>
            </w:tcBorders>
            <w:shd w:val="clear" w:color="auto" w:fill="FFFFFF"/>
            <w:vAlign w:val="center"/>
          </w:tcPr>
          <w:p>
            <w:pPr>
              <w:pStyle w:val="23"/>
              <w:spacing w:line="309" w:lineRule="exact"/>
              <w:ind w:firstLine="0"/>
              <w:jc w:val="center"/>
            </w:pPr>
            <w:r>
              <w:t>国资委、</w:t>
            </w:r>
          </w:p>
          <w:p>
            <w:pPr>
              <w:pStyle w:val="23"/>
              <w:spacing w:line="309" w:lineRule="exact"/>
              <w:ind w:firstLine="0"/>
              <w:jc w:val="center"/>
            </w:pPr>
            <w:r>
              <w:t xml:space="preserve"> 财政部等相关部门</w:t>
            </w:r>
          </w:p>
        </w:tc>
      </w:tr>
      <w:tr>
        <w:tblPrEx>
          <w:tblCellMar>
            <w:top w:w="0" w:type="dxa"/>
            <w:left w:w="10" w:type="dxa"/>
            <w:bottom w:w="0" w:type="dxa"/>
            <w:right w:w="10" w:type="dxa"/>
          </w:tblCellMar>
        </w:tblPrEx>
        <w:trPr>
          <w:trHeight w:val="1920" w:hRule="exact"/>
          <w:jc w:val="center"/>
        </w:trPr>
        <w:tc>
          <w:tcPr>
            <w:tcW w:w="2100" w:type="dxa"/>
            <w:tcBorders>
              <w:top w:val="single" w:color="auto" w:sz="4" w:space="0"/>
              <w:left w:val="single" w:color="auto" w:sz="4" w:space="0"/>
              <w:bottom w:val="single" w:color="auto" w:sz="4" w:space="0"/>
            </w:tcBorders>
            <w:shd w:val="clear" w:color="auto" w:fill="FFFFFF"/>
          </w:tcPr>
          <w:p>
            <w:pPr>
              <w:pStyle w:val="23"/>
              <w:spacing w:line="317" w:lineRule="exact"/>
              <w:ind w:firstLine="220"/>
              <w:jc w:val="both"/>
            </w:pPr>
            <w:r>
              <w:t>（二十一）将失信人 员有关信息记入个 人信用记录和统计从业人员诚信档案， 在一定期限内不得从事与会计、统计等</w:t>
            </w:r>
          </w:p>
        </w:tc>
        <w:tc>
          <w:tcPr>
            <w:tcW w:w="11040" w:type="dxa"/>
            <w:tcBorders>
              <w:top w:val="single" w:color="auto" w:sz="4" w:space="0"/>
              <w:left w:val="single" w:color="auto" w:sz="4" w:space="0"/>
              <w:bottom w:val="single" w:color="auto" w:sz="4" w:space="0"/>
            </w:tcBorders>
            <w:shd w:val="clear" w:color="auto" w:fill="FFFFFF"/>
          </w:tcPr>
          <w:p>
            <w:pPr>
              <w:pStyle w:val="23"/>
              <w:spacing w:line="318" w:lineRule="exact"/>
              <w:ind w:firstLine="620"/>
              <w:jc w:val="both"/>
            </w:pPr>
            <w:r>
              <w:t>《国务院关于建立完善守信联合激励和失信联合惩戒制度加快推进社会诚信建设的指导意见》（国发〔</w:t>
            </w:r>
            <w:r>
              <w:rPr>
                <w:rFonts w:ascii="Times New Roman" w:hAnsi="Times New Roman" w:eastAsia="Times New Roman" w:cs="Times New Roman"/>
                <w:b/>
                <w:bCs/>
                <w:sz w:val="22"/>
                <w:szCs w:val="22"/>
              </w:rPr>
              <w:t xml:space="preserve">2016） 33 </w:t>
            </w:r>
            <w:r>
              <w:t>号）</w:t>
            </w:r>
          </w:p>
          <w:p>
            <w:pPr>
              <w:pStyle w:val="23"/>
              <w:spacing w:line="318" w:lineRule="exact"/>
              <w:ind w:firstLine="620"/>
              <w:jc w:val="both"/>
            </w:pPr>
            <w:r>
              <w:t>（十）依法依规加强对失信行为的行政性约束和惩戒。对严重失信主体，各地区、各有关部门应将其列为重点监 管对象，依法依规采取行政性约束和惩戒措施。从严审核行政许可审批项目，从严控制生产许可证发放，限制新增项 目审批、核准，限制股票发行上市融资或发行债券，限制在全国股份转让系统挂牌、融资，限制发起设立或参股金融 机构以及小额贷款公司、融资担保公司、创业投资公司、互联网融资平台等机构，限制从事互联网信息服务等。严格限制申请财政性资金项目，限制参与</w:t>
            </w:r>
          </w:p>
        </w:tc>
        <w:tc>
          <w:tcPr>
            <w:tcW w:w="192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after="80" w:line="240" w:lineRule="auto"/>
              <w:ind w:firstLine="600" w:firstLineChars="300"/>
            </w:pPr>
            <w:r>
              <w:t>财政部、</w:t>
            </w:r>
          </w:p>
          <w:p>
            <w:pPr>
              <w:pStyle w:val="23"/>
              <w:spacing w:line="240" w:lineRule="auto"/>
              <w:ind w:firstLine="0"/>
              <w:jc w:val="center"/>
            </w:pPr>
            <w:r>
              <w:t>统计局</w:t>
            </w:r>
          </w:p>
        </w:tc>
      </w:tr>
    </w:tbl>
    <w:p>
      <w:pPr>
        <w:spacing w:line="1" w:lineRule="exact"/>
        <w:rPr>
          <w:sz w:val="2"/>
          <w:szCs w:val="2"/>
        </w:rPr>
      </w:pPr>
      <w:r>
        <w:br w:type="page"/>
      </w:r>
    </w:p>
    <w:tbl>
      <w:tblPr>
        <w:tblStyle w:val="6"/>
        <w:tblW w:w="0" w:type="auto"/>
        <w:jc w:val="center"/>
        <w:tblLayout w:type="fixed"/>
        <w:tblCellMar>
          <w:top w:w="0" w:type="dxa"/>
          <w:left w:w="10" w:type="dxa"/>
          <w:bottom w:w="0" w:type="dxa"/>
          <w:right w:w="10" w:type="dxa"/>
        </w:tblCellMar>
      </w:tblPr>
      <w:tblGrid>
        <w:gridCol w:w="2088"/>
        <w:gridCol w:w="11076"/>
        <w:gridCol w:w="1962"/>
      </w:tblGrid>
      <w:tr>
        <w:tblPrEx>
          <w:tblCellMar>
            <w:top w:w="0" w:type="dxa"/>
            <w:left w:w="10" w:type="dxa"/>
            <w:bottom w:w="0" w:type="dxa"/>
            <w:right w:w="10" w:type="dxa"/>
          </w:tblCellMar>
        </w:tblPrEx>
        <w:trPr>
          <w:trHeight w:val="402" w:hRule="exact"/>
          <w:jc w:val="center"/>
        </w:trPr>
        <w:tc>
          <w:tcPr>
            <w:tcW w:w="2088" w:type="dxa"/>
            <w:tcBorders>
              <w:top w:val="single" w:color="auto" w:sz="4" w:space="0"/>
              <w:left w:val="single" w:color="auto" w:sz="4" w:space="0"/>
            </w:tcBorders>
            <w:shd w:val="clear" w:color="auto" w:fill="FFFFFF"/>
            <w:vAlign w:val="bottom"/>
          </w:tcPr>
          <w:p>
            <w:pPr>
              <w:pStyle w:val="23"/>
              <w:spacing w:line="240" w:lineRule="auto"/>
              <w:ind w:firstLine="0"/>
              <w:jc w:val="center"/>
            </w:pPr>
            <w:r>
              <w:t>惩戒措施</w:t>
            </w:r>
          </w:p>
        </w:tc>
        <w:tc>
          <w:tcPr>
            <w:tcW w:w="11076" w:type="dxa"/>
            <w:tcBorders>
              <w:top w:val="single" w:color="auto" w:sz="4" w:space="0"/>
              <w:left w:val="single" w:color="auto" w:sz="4" w:space="0"/>
            </w:tcBorders>
            <w:shd w:val="clear" w:color="auto" w:fill="FFFFFF"/>
            <w:vAlign w:val="bottom"/>
          </w:tcPr>
          <w:p>
            <w:pPr>
              <w:pStyle w:val="23"/>
              <w:spacing w:line="240" w:lineRule="auto"/>
              <w:ind w:firstLine="0"/>
              <w:jc w:val="center"/>
            </w:pPr>
            <w:r>
              <w:t>法律及政策依据</w:t>
            </w:r>
          </w:p>
        </w:tc>
        <w:tc>
          <w:tcPr>
            <w:tcW w:w="1962" w:type="dxa"/>
            <w:tcBorders>
              <w:top w:val="single" w:color="auto" w:sz="4" w:space="0"/>
              <w:left w:val="single" w:color="auto" w:sz="4" w:space="0"/>
              <w:right w:val="single" w:color="auto" w:sz="4" w:space="0"/>
            </w:tcBorders>
            <w:shd w:val="clear" w:color="auto" w:fill="FFFFFF"/>
            <w:vAlign w:val="bottom"/>
          </w:tcPr>
          <w:p>
            <w:pPr>
              <w:pStyle w:val="23"/>
              <w:spacing w:line="240" w:lineRule="auto"/>
              <w:ind w:firstLine="0"/>
              <w:jc w:val="center"/>
            </w:pPr>
            <w:r>
              <w:t>实施单位</w:t>
            </w:r>
          </w:p>
        </w:tc>
      </w:tr>
      <w:tr>
        <w:tblPrEx>
          <w:tblCellMar>
            <w:top w:w="0" w:type="dxa"/>
            <w:left w:w="10" w:type="dxa"/>
            <w:bottom w:w="0" w:type="dxa"/>
            <w:right w:w="10" w:type="dxa"/>
          </w:tblCellMar>
        </w:tblPrEx>
        <w:trPr>
          <w:trHeight w:val="5298" w:hRule="exact"/>
          <w:jc w:val="center"/>
        </w:trPr>
        <w:tc>
          <w:tcPr>
            <w:tcW w:w="2088" w:type="dxa"/>
            <w:tcBorders>
              <w:top w:val="single" w:color="auto" w:sz="4" w:space="0"/>
              <w:left w:val="single" w:color="auto" w:sz="4" w:space="0"/>
            </w:tcBorders>
            <w:shd w:val="clear" w:color="auto" w:fill="FFFFFF"/>
          </w:tcPr>
          <w:p>
            <w:pPr>
              <w:pStyle w:val="23"/>
              <w:spacing w:line="318" w:lineRule="exact"/>
              <w:ind w:firstLine="0"/>
              <w:jc w:val="both"/>
            </w:pPr>
            <w:r>
              <w:t>有关的工作，不能取得会计、统计等有关专业职称。</w:t>
            </w:r>
          </w:p>
        </w:tc>
        <w:tc>
          <w:tcPr>
            <w:tcW w:w="11076" w:type="dxa"/>
            <w:tcBorders>
              <w:top w:val="single" w:color="auto" w:sz="4" w:space="0"/>
              <w:left w:val="single" w:color="auto" w:sz="4" w:space="0"/>
            </w:tcBorders>
            <w:shd w:val="clear" w:color="auto" w:fill="FFFFFF"/>
          </w:tcPr>
          <w:p>
            <w:pPr>
              <w:pStyle w:val="23"/>
              <w:spacing w:line="313" w:lineRule="exact"/>
              <w:ind w:firstLine="0"/>
              <w:jc w:val="both"/>
            </w:pPr>
            <w:r>
              <w:t>有关公共资源交易活动，限制参与基础设施和公用事业特许经营。对严重失信企 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 消参加评先评优资格。</w:t>
            </w:r>
          </w:p>
          <w:p>
            <w:pPr>
              <w:pStyle w:val="23"/>
              <w:spacing w:line="313" w:lineRule="exact"/>
              <w:ind w:firstLine="620"/>
              <w:jc w:val="both"/>
            </w:pPr>
            <w:r>
              <w:t>《国务院关于印发社会信用体系建设规划纲要</w:t>
            </w:r>
            <w:r>
              <w:rPr>
                <w:b/>
                <w:bCs/>
                <w:sz w:val="22"/>
                <w:szCs w:val="22"/>
                <w:lang w:val="en-US" w:eastAsia="zh-CN" w:bidi="en-US"/>
              </w:rPr>
              <w:t>（</w:t>
            </w:r>
            <w:r>
              <w:rPr>
                <w:rFonts w:ascii="Times New Roman" w:hAnsi="Times New Roman" w:eastAsia="Times New Roman" w:cs="Times New Roman"/>
                <w:b/>
                <w:bCs/>
                <w:sz w:val="22"/>
                <w:szCs w:val="22"/>
                <w:lang w:val="en-US" w:eastAsia="zh-CN" w:bidi="en-US"/>
              </w:rPr>
              <w:t>2014-2020</w:t>
            </w:r>
            <w:r>
              <w:t>年）的通知》（国发</w:t>
            </w:r>
            <w:r>
              <w:rPr>
                <w:rFonts w:ascii="Times New Roman" w:hAnsi="Times New Roman" w:eastAsia="Times New Roman" w:cs="Times New Roman"/>
                <w:b/>
                <w:bCs/>
                <w:sz w:val="22"/>
                <w:szCs w:val="22"/>
              </w:rPr>
              <w:t>（2014） 21</w:t>
            </w:r>
            <w:r>
              <w:t>号）</w:t>
            </w:r>
          </w:p>
          <w:p>
            <w:pPr>
              <w:pStyle w:val="23"/>
              <w:spacing w:line="313" w:lineRule="exact"/>
              <w:jc w:val="both"/>
            </w:pPr>
            <w:r>
              <w:t>统计领域信用建设。开展企业诚信统计承诺活动，营造诚实报数光荣、失信造假可耻的良好风气。完善统计诚信评价标准体系。建立健全企业统计诚信评价制度和统计从业人员诚信档案。加强执法检査，严厉查处统计领域的弄虚 作假行为，建立统计失信行为通报和公开曝光制度。加大对统计失信企业的联合惩戒力度。将统计失信企业名单档案 及其违法违规信息纳入金融、工商等行业和部门信用信息系统，将统计信用记录与企业融资、政府补贴、工商注册登记等直接挂钩，切实强化对统计失信行为的惩戒和制约。</w:t>
            </w:r>
          </w:p>
          <w:p>
            <w:pPr>
              <w:pStyle w:val="23"/>
              <w:spacing w:line="313" w:lineRule="exact"/>
              <w:ind w:firstLine="620"/>
              <w:jc w:val="both"/>
            </w:pPr>
            <w:r>
              <w:t>《国务院关于促进市场公平竞争维护市场正常秩序的若干意见》（国发</w:t>
            </w:r>
            <w:r>
              <w:rPr>
                <w:rFonts w:ascii="Times New Roman" w:hAnsi="Times New Roman" w:eastAsia="Times New Roman" w:cs="Times New Roman"/>
                <w:b/>
                <w:bCs/>
                <w:sz w:val="22"/>
                <w:szCs w:val="22"/>
              </w:rPr>
              <w:t>（2014） 20</w:t>
            </w:r>
            <w:r>
              <w:t>号）</w:t>
            </w:r>
          </w:p>
          <w:p>
            <w:pPr>
              <w:pStyle w:val="23"/>
              <w:spacing w:line="313" w:lineRule="exact"/>
              <w:ind w:firstLine="620"/>
              <w:jc w:val="both"/>
            </w:pPr>
            <w:r>
              <w:t>（十五）建立健全守信激励和失信惩戒机制。将市场主体的信用信息作为实施行政管理的重要参考。根据市场主 体信用状况实行分类分级、动态监管，建立健全经营异常名录制度，对违背市场竞争原则和侵犯消费者、劳动者合法 权益的市场主体建立</w:t>
            </w:r>
            <w:r>
              <w:rPr>
                <w:lang w:val="zh-CN" w:eastAsia="zh-CN" w:bidi="zh-CN"/>
              </w:rPr>
              <w:t>“黑</w:t>
            </w:r>
            <w:r>
              <w:t>名单”制度。（工商总局牵头负责）对守信主体予以支持和激励，对失信主体在经营、投融资、取得政府供应土地、进出口、出入境、注册新公司、工程招投标、政府釆购、获得荣誉、安全许可、生产许可、 从业任职资格、资质审核等方面依法予以限制或禁止，对严重违法失信主体実行市场禁入制度。（各相关市场监管部 门按职责分工分别负责）</w:t>
            </w:r>
          </w:p>
        </w:tc>
        <w:tc>
          <w:tcPr>
            <w:tcW w:w="1962"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2556" w:hRule="exact"/>
          <w:jc w:val="center"/>
        </w:trPr>
        <w:tc>
          <w:tcPr>
            <w:tcW w:w="2088" w:type="dxa"/>
            <w:tcBorders>
              <w:top w:val="single" w:color="auto" w:sz="4" w:space="0"/>
              <w:left w:val="single" w:color="auto" w:sz="4" w:space="0"/>
              <w:bottom w:val="single" w:color="auto" w:sz="4" w:space="0"/>
            </w:tcBorders>
            <w:shd w:val="clear" w:color="auto" w:fill="FFFFFF"/>
          </w:tcPr>
          <w:p>
            <w:pPr>
              <w:pStyle w:val="23"/>
              <w:spacing w:line="276" w:lineRule="exact"/>
              <w:ind w:firstLine="0"/>
              <w:jc w:val="both"/>
            </w:pPr>
            <w:r>
              <w:t>（二十二）依法限制 设立融资性担保公司；在审批融资性担保公司或金融机构 董事、监事及高级管理人员任职资格时， 将统计领域严重失 信企业及其有关人员失信状况作为重要参考依据。</w:t>
            </w:r>
          </w:p>
        </w:tc>
        <w:tc>
          <w:tcPr>
            <w:tcW w:w="11076" w:type="dxa"/>
            <w:tcBorders>
              <w:top w:val="single" w:color="auto" w:sz="4" w:space="0"/>
              <w:left w:val="single" w:color="auto" w:sz="4" w:space="0"/>
              <w:bottom w:val="single" w:color="auto" w:sz="4" w:space="0"/>
            </w:tcBorders>
            <w:shd w:val="clear" w:color="auto" w:fill="FFFFFF"/>
          </w:tcPr>
          <w:p>
            <w:pPr>
              <w:pStyle w:val="23"/>
              <w:spacing w:line="267" w:lineRule="exact"/>
              <w:ind w:firstLine="620"/>
              <w:jc w:val="both"/>
            </w:pPr>
            <w:r>
              <w:t>《融资性担保公司管理暂行办法》（中国银行业监督管理委员会、中华人民共和国国家发展和改革委员会、中华 人民共和国工业和信息化部、中华人民共和国财政部、中华人民共和国商务部、中国人民银行、国家工商行政管理 总局令</w:t>
            </w:r>
            <w:r>
              <w:rPr>
                <w:rFonts w:ascii="Times New Roman" w:hAnsi="Times New Roman" w:eastAsia="Times New Roman" w:cs="Times New Roman"/>
                <w:b/>
                <w:bCs/>
                <w:sz w:val="22"/>
                <w:szCs w:val="22"/>
              </w:rPr>
              <w:t>2010</w:t>
            </w:r>
            <w:r>
              <w:t>年第</w:t>
            </w:r>
            <w:r>
              <w:rPr>
                <w:rFonts w:ascii="Times New Roman" w:hAnsi="Times New Roman" w:eastAsia="Times New Roman" w:cs="Times New Roman"/>
                <w:b/>
                <w:bCs/>
                <w:sz w:val="22"/>
                <w:szCs w:val="22"/>
              </w:rPr>
              <w:t>3</w:t>
            </w:r>
            <w:r>
              <w:t>号）</w:t>
            </w:r>
          </w:p>
          <w:p>
            <w:pPr>
              <w:pStyle w:val="23"/>
              <w:spacing w:line="267" w:lineRule="exact"/>
              <w:ind w:firstLine="600" w:firstLineChars="300"/>
              <w:jc w:val="both"/>
            </w:pPr>
            <w:r>
              <w:t>第九条</w:t>
            </w:r>
            <w:r>
              <w:rPr>
                <w:rFonts w:hint="eastAsia" w:eastAsiaTheme="minorEastAsia"/>
                <w:lang w:eastAsia="zh-CN"/>
              </w:rPr>
              <w:t xml:space="preserve">  </w:t>
            </w:r>
            <w:r>
              <w:t>设立融资性担保公司，应当具备下列条件：</w:t>
            </w:r>
          </w:p>
          <w:p>
            <w:pPr>
              <w:pStyle w:val="23"/>
              <w:spacing w:line="267" w:lineRule="exact"/>
              <w:ind w:firstLine="620"/>
              <w:jc w:val="both"/>
            </w:pPr>
            <w:r>
              <w:rPr>
                <w:lang w:val="en-US" w:eastAsia="zh-CN" w:bidi="en-US"/>
              </w:rPr>
              <w:t>（</w:t>
            </w:r>
            <w:r>
              <w:rPr>
                <w:rFonts w:hint="eastAsia" w:eastAsiaTheme="minorEastAsia"/>
                <w:lang w:val="en-US" w:eastAsia="zh-CN" w:bidi="en-US"/>
              </w:rPr>
              <w:t>一</w:t>
            </w:r>
            <w:r>
              <w:rPr>
                <w:lang w:val="en-US" w:eastAsia="zh-CN" w:bidi="en-US"/>
              </w:rPr>
              <w:t>）</w:t>
            </w:r>
            <w:r>
              <w:t>有符合《中华人民共和国公司法》规定的章程。</w:t>
            </w:r>
          </w:p>
          <w:p>
            <w:pPr>
              <w:pStyle w:val="23"/>
              <w:tabs>
                <w:tab w:val="left" w:pos="1130"/>
              </w:tabs>
              <w:spacing w:line="267" w:lineRule="exact"/>
              <w:ind w:firstLine="620"/>
              <w:jc w:val="both"/>
            </w:pPr>
            <w:r>
              <w:t>（二）</w:t>
            </w:r>
            <w:r>
              <w:tab/>
            </w:r>
            <w:r>
              <w:t>有具备持续出资能力的股东。</w:t>
            </w:r>
          </w:p>
          <w:p>
            <w:pPr>
              <w:pStyle w:val="23"/>
              <w:tabs>
                <w:tab w:val="left" w:pos="1136"/>
              </w:tabs>
              <w:spacing w:line="267" w:lineRule="exact"/>
              <w:ind w:firstLine="620"/>
              <w:jc w:val="both"/>
            </w:pPr>
            <w:r>
              <w:t>（三）</w:t>
            </w:r>
            <w:r>
              <w:tab/>
            </w:r>
            <w:r>
              <w:t>有符合本办法规定的注册资本。</w:t>
            </w:r>
          </w:p>
          <w:p>
            <w:pPr>
              <w:pStyle w:val="23"/>
              <w:tabs>
                <w:tab w:val="left" w:pos="1136"/>
              </w:tabs>
              <w:spacing w:line="267" w:lineRule="exact"/>
              <w:ind w:firstLine="620"/>
              <w:jc w:val="both"/>
            </w:pPr>
            <w:r>
              <w:t>（四）</w:t>
            </w:r>
            <w:r>
              <w:tab/>
            </w:r>
            <w:r>
              <w:t>有符合任职资格的董事、监事、高级管理人员和合格的从业人员。</w:t>
            </w:r>
          </w:p>
          <w:p>
            <w:pPr>
              <w:pStyle w:val="23"/>
              <w:tabs>
                <w:tab w:val="left" w:pos="1136"/>
              </w:tabs>
              <w:spacing w:line="267" w:lineRule="exact"/>
              <w:ind w:firstLine="620"/>
              <w:jc w:val="both"/>
            </w:pPr>
            <w:r>
              <w:t>（五）</w:t>
            </w:r>
            <w:r>
              <w:tab/>
            </w:r>
            <w:r>
              <w:t>有健全的组织机构、内部控制和风险管理制度。</w:t>
            </w:r>
          </w:p>
        </w:tc>
        <w:tc>
          <w:tcPr>
            <w:tcW w:w="1962" w:type="dxa"/>
            <w:tcBorders>
              <w:top w:val="single" w:color="auto" w:sz="4" w:space="0"/>
              <w:left w:val="single" w:color="auto" w:sz="4" w:space="0"/>
              <w:bottom w:val="single" w:color="auto" w:sz="4" w:space="0"/>
              <w:right w:val="single" w:color="auto" w:sz="4" w:space="0"/>
            </w:tcBorders>
            <w:shd w:val="clear" w:color="auto" w:fill="FFFFFF"/>
          </w:tcPr>
          <w:p>
            <w:pPr>
              <w:pStyle w:val="23"/>
              <w:spacing w:line="312" w:lineRule="exact"/>
              <w:ind w:left="500" w:firstLine="0"/>
            </w:pPr>
            <w:r>
              <w:t>银监会、</w:t>
            </w:r>
          </w:p>
          <w:p>
            <w:pPr>
              <w:pStyle w:val="23"/>
              <w:spacing w:line="312" w:lineRule="exact"/>
              <w:ind w:left="500" w:firstLine="0"/>
            </w:pPr>
            <w:r>
              <w:t xml:space="preserve">证监会、 </w:t>
            </w:r>
          </w:p>
          <w:p>
            <w:pPr>
              <w:pStyle w:val="23"/>
              <w:spacing w:line="312" w:lineRule="exact"/>
              <w:ind w:left="500" w:firstLine="0"/>
            </w:pPr>
            <w:r>
              <w:t>保监会、</w:t>
            </w:r>
          </w:p>
          <w:p>
            <w:pPr>
              <w:pStyle w:val="23"/>
              <w:spacing w:line="312" w:lineRule="exact"/>
              <w:ind w:firstLine="0"/>
              <w:jc w:val="center"/>
            </w:pPr>
            <w:r>
              <w:t>国家发展改革委、</w:t>
            </w:r>
          </w:p>
          <w:p>
            <w:pPr>
              <w:pStyle w:val="23"/>
              <w:spacing w:line="312" w:lineRule="exact"/>
            </w:pPr>
            <w:r>
              <w:t>工信部、</w:t>
            </w:r>
          </w:p>
          <w:p>
            <w:pPr>
              <w:pStyle w:val="23"/>
              <w:spacing w:line="312" w:lineRule="exact"/>
            </w:pPr>
            <w:r>
              <w:t>财政部、</w:t>
            </w:r>
          </w:p>
          <w:p>
            <w:pPr>
              <w:pStyle w:val="23"/>
              <w:spacing w:line="312" w:lineRule="exact"/>
            </w:pPr>
            <w:r>
              <w:t>商务部、</w:t>
            </w:r>
          </w:p>
          <w:p>
            <w:pPr>
              <w:pStyle w:val="23"/>
              <w:spacing w:line="312" w:lineRule="exact"/>
              <w:ind w:firstLine="0"/>
              <w:jc w:val="center"/>
            </w:pPr>
            <w:r>
              <w:t>工商总局等具有</w:t>
            </w:r>
          </w:p>
        </w:tc>
      </w:tr>
    </w:tbl>
    <w:p>
      <w:pPr>
        <w:spacing w:line="1" w:lineRule="exact"/>
        <w:rPr>
          <w:sz w:val="2"/>
          <w:szCs w:val="2"/>
          <w:lang w:eastAsia="zh-CN"/>
        </w:rPr>
      </w:pPr>
      <w:r>
        <w:rPr>
          <w:lang w:eastAsia="zh-CN"/>
        </w:rPr>
        <w:br w:type="page"/>
      </w:r>
    </w:p>
    <w:tbl>
      <w:tblPr>
        <w:tblStyle w:val="6"/>
        <w:tblW w:w="0" w:type="auto"/>
        <w:jc w:val="center"/>
        <w:tblLayout w:type="fixed"/>
        <w:tblCellMar>
          <w:top w:w="0" w:type="dxa"/>
          <w:left w:w="10" w:type="dxa"/>
          <w:bottom w:w="0" w:type="dxa"/>
          <w:right w:w="10" w:type="dxa"/>
        </w:tblCellMar>
      </w:tblPr>
      <w:tblGrid>
        <w:gridCol w:w="2082"/>
        <w:gridCol w:w="11058"/>
        <w:gridCol w:w="1932"/>
      </w:tblGrid>
      <w:tr>
        <w:tblPrEx>
          <w:tblCellMar>
            <w:top w:w="0" w:type="dxa"/>
            <w:left w:w="10" w:type="dxa"/>
            <w:bottom w:w="0" w:type="dxa"/>
            <w:right w:w="10" w:type="dxa"/>
          </w:tblCellMar>
        </w:tblPrEx>
        <w:trPr>
          <w:trHeight w:val="402" w:hRule="exact"/>
          <w:jc w:val="center"/>
        </w:trPr>
        <w:tc>
          <w:tcPr>
            <w:tcW w:w="2082" w:type="dxa"/>
            <w:tcBorders>
              <w:top w:val="single" w:color="auto" w:sz="4" w:space="0"/>
              <w:left w:val="single" w:color="auto" w:sz="4" w:space="0"/>
            </w:tcBorders>
            <w:shd w:val="clear" w:color="auto" w:fill="FFFFFF"/>
            <w:vAlign w:val="bottom"/>
          </w:tcPr>
          <w:p>
            <w:pPr>
              <w:pStyle w:val="23"/>
              <w:spacing w:line="240" w:lineRule="auto"/>
              <w:ind w:firstLine="0"/>
              <w:jc w:val="center"/>
            </w:pPr>
            <w:r>
              <w:t>惩戒措施</w:t>
            </w:r>
          </w:p>
        </w:tc>
        <w:tc>
          <w:tcPr>
            <w:tcW w:w="11058" w:type="dxa"/>
            <w:tcBorders>
              <w:top w:val="single" w:color="auto" w:sz="4" w:space="0"/>
              <w:left w:val="single" w:color="auto" w:sz="4" w:space="0"/>
            </w:tcBorders>
            <w:shd w:val="clear" w:color="auto" w:fill="FFFFFF"/>
            <w:vAlign w:val="bottom"/>
          </w:tcPr>
          <w:p>
            <w:pPr>
              <w:pStyle w:val="23"/>
              <w:spacing w:line="240" w:lineRule="auto"/>
              <w:ind w:firstLine="0"/>
              <w:jc w:val="center"/>
            </w:pPr>
            <w:r>
              <w:t>法律及政策依据</w:t>
            </w:r>
          </w:p>
        </w:tc>
        <w:tc>
          <w:tcPr>
            <w:tcW w:w="1932" w:type="dxa"/>
            <w:tcBorders>
              <w:top w:val="single" w:color="auto" w:sz="4" w:space="0"/>
              <w:left w:val="single" w:color="auto" w:sz="4" w:space="0"/>
              <w:right w:val="single" w:color="auto" w:sz="4" w:space="0"/>
            </w:tcBorders>
            <w:shd w:val="clear" w:color="auto" w:fill="FFFFFF"/>
            <w:vAlign w:val="bottom"/>
          </w:tcPr>
          <w:p>
            <w:pPr>
              <w:pStyle w:val="23"/>
              <w:spacing w:line="240" w:lineRule="auto"/>
              <w:ind w:firstLine="0"/>
              <w:jc w:val="center"/>
            </w:pPr>
            <w:r>
              <w:t>实施单位</w:t>
            </w:r>
          </w:p>
        </w:tc>
      </w:tr>
      <w:tr>
        <w:tblPrEx>
          <w:tblCellMar>
            <w:top w:w="0" w:type="dxa"/>
            <w:left w:w="10" w:type="dxa"/>
            <w:bottom w:w="0" w:type="dxa"/>
            <w:right w:w="10" w:type="dxa"/>
          </w:tblCellMar>
        </w:tblPrEx>
        <w:trPr>
          <w:trHeight w:val="7938" w:hRule="exact"/>
          <w:jc w:val="center"/>
        </w:trPr>
        <w:tc>
          <w:tcPr>
            <w:tcW w:w="2082" w:type="dxa"/>
            <w:tcBorders>
              <w:top w:val="single" w:color="auto" w:sz="4" w:space="0"/>
              <w:left w:val="single" w:color="auto" w:sz="4" w:space="0"/>
              <w:bottom w:val="single" w:color="auto" w:sz="4" w:space="0"/>
            </w:tcBorders>
            <w:shd w:val="clear" w:color="auto" w:fill="FFFFFF"/>
          </w:tcPr>
          <w:p>
            <w:pPr>
              <w:pStyle w:val="23"/>
              <w:spacing w:line="240" w:lineRule="auto"/>
              <w:ind w:firstLine="0"/>
            </w:pPr>
          </w:p>
        </w:tc>
        <w:tc>
          <w:tcPr>
            <w:tcW w:w="11058" w:type="dxa"/>
            <w:tcBorders>
              <w:top w:val="single" w:color="auto" w:sz="4" w:space="0"/>
              <w:left w:val="single" w:color="auto" w:sz="4" w:space="0"/>
              <w:bottom w:val="single" w:color="auto" w:sz="4" w:space="0"/>
            </w:tcBorders>
            <w:shd w:val="clear" w:color="auto" w:fill="FFFFFF"/>
          </w:tcPr>
          <w:p>
            <w:pPr>
              <w:pStyle w:val="23"/>
              <w:tabs>
                <w:tab w:val="left" w:pos="1128"/>
              </w:tabs>
              <w:spacing w:line="264" w:lineRule="exact"/>
              <w:ind w:firstLine="600"/>
              <w:jc w:val="both"/>
            </w:pPr>
            <w:r>
              <w:t>（六）</w:t>
            </w:r>
            <w:r>
              <w:tab/>
            </w:r>
            <w:r>
              <w:t>有符合要求的营业场所。</w:t>
            </w:r>
          </w:p>
          <w:p>
            <w:pPr>
              <w:pStyle w:val="23"/>
              <w:tabs>
                <w:tab w:val="left" w:pos="1122"/>
              </w:tabs>
              <w:spacing w:line="264" w:lineRule="exact"/>
              <w:ind w:firstLine="600"/>
              <w:jc w:val="both"/>
            </w:pPr>
            <w:r>
              <w:t>（七）</w:t>
            </w:r>
            <w:r>
              <w:tab/>
            </w:r>
            <w:r>
              <w:t>监管部门规定的其他审慎性条件。</w:t>
            </w:r>
          </w:p>
          <w:p>
            <w:pPr>
              <w:pStyle w:val="23"/>
              <w:spacing w:line="264" w:lineRule="exact"/>
              <w:ind w:firstLine="700" w:firstLineChars="350"/>
              <w:jc w:val="both"/>
            </w:pPr>
            <w:r>
              <w:t>董事、监事、高级管理人员和从业人员的资格管理办法由融资性担保业务监管部际联席会议另行制定。</w:t>
            </w:r>
          </w:p>
          <w:p>
            <w:pPr>
              <w:pStyle w:val="23"/>
              <w:spacing w:line="264" w:lineRule="exact"/>
              <w:ind w:firstLine="620"/>
              <w:jc w:val="both"/>
            </w:pPr>
            <w:r>
              <w:t>《融资性担保公司董事、监事、高级管理人员任职资格管理暂行办法》（中国银行业监督管理委员会令</w:t>
            </w:r>
            <w:r>
              <w:rPr>
                <w:rFonts w:ascii="Times New Roman" w:hAnsi="Times New Roman" w:eastAsia="Times New Roman" w:cs="Times New Roman"/>
                <w:b/>
                <w:bCs/>
                <w:sz w:val="22"/>
                <w:szCs w:val="22"/>
              </w:rPr>
              <w:t>2010</w:t>
            </w:r>
            <w:r>
              <w:t>年 第</w:t>
            </w:r>
            <w:r>
              <w:rPr>
                <w:rFonts w:ascii="Times New Roman" w:hAnsi="Times New Roman" w:eastAsia="Times New Roman" w:cs="Times New Roman"/>
                <w:b/>
                <w:bCs/>
                <w:sz w:val="22"/>
                <w:szCs w:val="22"/>
              </w:rPr>
              <w:t>6</w:t>
            </w:r>
            <w:r>
              <w:t>号）</w:t>
            </w:r>
          </w:p>
          <w:p>
            <w:pPr>
              <w:pStyle w:val="23"/>
              <w:spacing w:line="277" w:lineRule="exact"/>
              <w:ind w:firstLine="700" w:firstLineChars="350"/>
              <w:jc w:val="both"/>
            </w:pPr>
            <w:r>
              <w:t>第五条</w:t>
            </w:r>
            <w:r>
              <w:rPr>
                <w:rFonts w:hint="eastAsia" w:eastAsiaTheme="minorEastAsia"/>
                <w:lang w:eastAsia="zh-CN"/>
              </w:rPr>
              <w:t xml:space="preserve">   </w:t>
            </w:r>
            <w:r>
              <w:t>融资性担保公司董事、监事、高级管理人员应当具备以下条件：</w:t>
            </w:r>
          </w:p>
          <w:p>
            <w:pPr>
              <w:pStyle w:val="23"/>
              <w:tabs>
                <w:tab w:val="left" w:pos="1128"/>
              </w:tabs>
              <w:spacing w:line="277" w:lineRule="exact"/>
              <w:ind w:firstLine="600"/>
              <w:jc w:val="both"/>
            </w:pPr>
            <w:r>
              <w:t>（一）</w:t>
            </w:r>
            <w:r>
              <w:tab/>
            </w:r>
            <w:r>
              <w:t>具有完全民事行为能力；</w:t>
            </w:r>
          </w:p>
          <w:p>
            <w:pPr>
              <w:pStyle w:val="23"/>
              <w:tabs>
                <w:tab w:val="left" w:pos="1128"/>
              </w:tabs>
              <w:spacing w:line="277" w:lineRule="exact"/>
              <w:ind w:firstLine="600"/>
              <w:jc w:val="both"/>
            </w:pPr>
            <w:r>
              <w:t>（二）</w:t>
            </w:r>
            <w:r>
              <w:tab/>
            </w:r>
            <w:r>
              <w:t>遵纪守法，诚实守信，勤勉尽职，具有良好的职业操守、品行和声誉；</w:t>
            </w:r>
          </w:p>
          <w:p>
            <w:pPr>
              <w:pStyle w:val="23"/>
              <w:tabs>
                <w:tab w:val="left" w:pos="1128"/>
              </w:tabs>
              <w:spacing w:line="277" w:lineRule="exact"/>
              <w:ind w:firstLine="600"/>
              <w:jc w:val="both"/>
            </w:pPr>
            <w:r>
              <w:t>（三）</w:t>
            </w:r>
            <w:r>
              <w:tab/>
            </w:r>
            <w:r>
              <w:t>熟悉经济、金融、担保的法律法规，具有良好的合规意识和审慎经营意识；</w:t>
            </w:r>
          </w:p>
          <w:p>
            <w:pPr>
              <w:pStyle w:val="23"/>
              <w:tabs>
                <w:tab w:val="left" w:pos="1128"/>
              </w:tabs>
              <w:spacing w:line="277" w:lineRule="exact"/>
              <w:ind w:firstLine="600"/>
              <w:jc w:val="both"/>
            </w:pPr>
            <w:r>
              <w:t>（四）</w:t>
            </w:r>
            <w:r>
              <w:tab/>
            </w:r>
            <w:r>
              <w:t>具备与拟任职务相适应的知识、经验和能力。</w:t>
            </w:r>
          </w:p>
          <w:p>
            <w:pPr>
              <w:pStyle w:val="23"/>
              <w:spacing w:line="277" w:lineRule="exact"/>
              <w:ind w:firstLine="700" w:firstLineChars="350"/>
              <w:jc w:val="both"/>
            </w:pPr>
            <w:r>
              <w:t>第六条</w:t>
            </w:r>
            <w:r>
              <w:rPr>
                <w:rFonts w:hint="eastAsia" w:eastAsiaTheme="minorEastAsia"/>
                <w:lang w:eastAsia="zh-CN"/>
              </w:rPr>
              <w:t xml:space="preserve">  </w:t>
            </w:r>
            <w:r>
              <w:t>下列人员不得担任融资性担保公司董事、监事、高级管理人员：</w:t>
            </w:r>
          </w:p>
          <w:p>
            <w:pPr>
              <w:pStyle w:val="23"/>
              <w:tabs>
                <w:tab w:val="left" w:pos="1122"/>
              </w:tabs>
              <w:spacing w:line="277" w:lineRule="exact"/>
              <w:ind w:firstLine="600"/>
            </w:pPr>
            <w:r>
              <w:t>（一）</w:t>
            </w:r>
            <w:r>
              <w:tab/>
            </w:r>
            <w:r>
              <w:t>有故意或重大过失犯罪记录的；</w:t>
            </w:r>
          </w:p>
          <w:p>
            <w:pPr>
              <w:pStyle w:val="23"/>
              <w:tabs>
                <w:tab w:val="left" w:pos="1140"/>
              </w:tabs>
              <w:spacing w:line="277" w:lineRule="exact"/>
              <w:ind w:firstLine="600"/>
            </w:pPr>
            <w:r>
              <w:t>（二）</w:t>
            </w:r>
            <w:r>
              <w:tab/>
            </w:r>
            <w:r>
              <w:t>因违反职业操守或者工作严重失职给所任职的机构造成重大损失或者恶劣影响的；</w:t>
            </w:r>
          </w:p>
          <w:p>
            <w:pPr>
              <w:pStyle w:val="23"/>
              <w:tabs>
                <w:tab w:val="left" w:pos="1032"/>
              </w:tabs>
              <w:spacing w:line="277" w:lineRule="exact"/>
              <w:ind w:firstLine="620"/>
              <w:jc w:val="both"/>
            </w:pPr>
            <w:r>
              <w:t>（三）</w:t>
            </w:r>
            <w:r>
              <w:tab/>
            </w:r>
            <w:r>
              <w:t>最近五年担任因违法经营而被撤销、接管、合并、宣告破产或者吊销营业执照的机构的董事、监事、高级管理人员，并负有个人责任的；</w:t>
            </w:r>
          </w:p>
          <w:p>
            <w:pPr>
              <w:pStyle w:val="23"/>
              <w:tabs>
                <w:tab w:val="left" w:pos="1032"/>
              </w:tabs>
              <w:spacing w:line="277" w:lineRule="exact"/>
              <w:ind w:firstLine="620"/>
              <w:jc w:val="both"/>
            </w:pPr>
            <w:r>
              <w:t>（四）</w:t>
            </w:r>
            <w:r>
              <w:tab/>
            </w:r>
            <w:r>
              <w:t>曾在履行工作职责时有提供虚假信息等违反诚信原则行为，或指使、参与所任职机构对抗依法监管或案件查处，情节严重的；</w:t>
            </w:r>
          </w:p>
          <w:p>
            <w:pPr>
              <w:pStyle w:val="23"/>
              <w:tabs>
                <w:tab w:val="left" w:pos="1142"/>
              </w:tabs>
              <w:spacing w:line="277" w:lineRule="exact"/>
              <w:ind w:firstLine="620"/>
              <w:jc w:val="both"/>
            </w:pPr>
            <w:r>
              <w:t>（五）</w:t>
            </w:r>
            <w:r>
              <w:tab/>
            </w:r>
            <w:r>
              <w:t>被取消董事、监事、高级管理人员任职资格或禁止从事担保或金融行业工作的年限未满的；</w:t>
            </w:r>
          </w:p>
          <w:p>
            <w:pPr>
              <w:pStyle w:val="23"/>
              <w:tabs>
                <w:tab w:val="left" w:pos="1020"/>
              </w:tabs>
              <w:spacing w:line="277" w:lineRule="exact"/>
              <w:ind w:firstLine="620"/>
              <w:jc w:val="both"/>
            </w:pPr>
            <w:r>
              <w:t>（六）</w:t>
            </w:r>
            <w:r>
              <w:tab/>
            </w:r>
            <w:r>
              <w:t>提交虚假申请材料或明知不具备本办法规定的任职资格条件，采用欺骗、贿赂等不正当手段获得任职资格核准的；</w:t>
            </w:r>
          </w:p>
          <w:p>
            <w:pPr>
              <w:pStyle w:val="23"/>
              <w:tabs>
                <w:tab w:val="left" w:pos="1142"/>
              </w:tabs>
              <w:spacing w:line="277" w:lineRule="exact"/>
              <w:ind w:firstLine="620"/>
              <w:jc w:val="both"/>
            </w:pPr>
            <w:r>
              <w:t>（七）</w:t>
            </w:r>
            <w:r>
              <w:tab/>
            </w:r>
            <w:r>
              <w:t>个人或配偶有数额较大的到期未偿还债务的；</w:t>
            </w:r>
          </w:p>
          <w:p>
            <w:pPr>
              <w:pStyle w:val="23"/>
              <w:tabs>
                <w:tab w:val="left" w:pos="1142"/>
              </w:tabs>
              <w:spacing w:line="277" w:lineRule="exact"/>
              <w:ind w:firstLine="620"/>
              <w:jc w:val="both"/>
            </w:pPr>
            <w:r>
              <w:t>（八）</w:t>
            </w:r>
            <w:r>
              <w:tab/>
            </w:r>
            <w:r>
              <w:t>法律、法规规定的其他情形。</w:t>
            </w:r>
          </w:p>
          <w:p>
            <w:pPr>
              <w:pStyle w:val="23"/>
              <w:spacing w:line="277" w:lineRule="exact"/>
              <w:ind w:firstLine="620"/>
              <w:jc w:val="both"/>
            </w:pPr>
            <w:r>
              <w:t>《银行业金融机构董事（理事）和高级管理人员任职资格管理办法》（中国银行业监督管理委员会令</w:t>
            </w:r>
            <w:r>
              <w:rPr>
                <w:rFonts w:ascii="Times New Roman" w:hAnsi="Times New Roman" w:eastAsia="Times New Roman" w:cs="Times New Roman"/>
                <w:b/>
                <w:bCs/>
                <w:sz w:val="22"/>
                <w:szCs w:val="22"/>
              </w:rPr>
              <w:t>2013</w:t>
            </w:r>
            <w:r>
              <w:t>年第</w:t>
            </w:r>
            <w:r>
              <w:rPr>
                <w:rFonts w:ascii="Times New Roman" w:hAnsi="Times New Roman" w:eastAsia="Times New Roman" w:cs="Times New Roman"/>
                <w:b/>
                <w:bCs/>
                <w:sz w:val="22"/>
                <w:szCs w:val="22"/>
              </w:rPr>
              <w:t xml:space="preserve">3 </w:t>
            </w:r>
            <w:r>
              <w:t>号）</w:t>
            </w:r>
          </w:p>
          <w:p>
            <w:pPr>
              <w:pStyle w:val="23"/>
              <w:spacing w:line="282" w:lineRule="exact"/>
              <w:ind w:firstLine="520"/>
              <w:jc w:val="both"/>
            </w:pPr>
            <w:r>
              <w:t>第二条</w:t>
            </w:r>
            <w:r>
              <w:rPr>
                <w:rFonts w:hint="eastAsia" w:eastAsiaTheme="minorEastAsia"/>
                <w:lang w:eastAsia="zh-CN"/>
              </w:rPr>
              <w:t xml:space="preserve">  </w:t>
            </w:r>
            <w:r>
              <w:t>本办法所称银行业金融机构（以下简称金融机构），是指在中华人民共和国境内设立的商业银行、农村合作银行、村镇银行、农村信用合作社、农村信用合作联社、外国银行分行等吸收公众存款的金融机构以及政策性银 行。</w:t>
            </w:r>
          </w:p>
          <w:p>
            <w:pPr>
              <w:pStyle w:val="23"/>
              <w:spacing w:line="274" w:lineRule="exact"/>
              <w:ind w:firstLine="0"/>
              <w:jc w:val="both"/>
            </w:pPr>
            <w:r>
              <w:t>在中华人民共和国境内设立的金融资产管理公司、信托公司、企业集团财务公司、金融租赁公司、汽车金融公司、货币经纪公司、消费金融公司、贷款公司、农村信用合作社联合社、省（自治区）农村信用社联合社、农村资金互助社、外资金融机构驻华代表机构以及经监管机构批准设立的其他金融机构的董事（理事）和高级管理人员的任职资格 管理，适用本办法。</w:t>
            </w:r>
          </w:p>
          <w:p>
            <w:pPr>
              <w:pStyle w:val="23"/>
              <w:spacing w:line="318" w:lineRule="exact"/>
              <w:ind w:firstLine="520"/>
              <w:jc w:val="both"/>
            </w:pPr>
          </w:p>
        </w:tc>
        <w:tc>
          <w:tcPr>
            <w:tcW w:w="1932" w:type="dxa"/>
            <w:tcBorders>
              <w:top w:val="single" w:color="auto" w:sz="4" w:space="0"/>
              <w:left w:val="single" w:color="auto" w:sz="4" w:space="0"/>
              <w:bottom w:val="single" w:color="auto" w:sz="4" w:space="0"/>
              <w:right w:val="single" w:color="auto" w:sz="4" w:space="0"/>
            </w:tcBorders>
            <w:shd w:val="clear" w:color="auto" w:fill="FFFFFF"/>
          </w:tcPr>
          <w:p>
            <w:pPr>
              <w:pStyle w:val="23"/>
              <w:spacing w:line="318" w:lineRule="exact"/>
              <w:ind w:firstLine="0"/>
              <w:jc w:val="center"/>
            </w:pPr>
          </w:p>
          <w:p>
            <w:pPr>
              <w:pStyle w:val="23"/>
              <w:spacing w:line="318" w:lineRule="exact"/>
              <w:ind w:firstLine="0"/>
              <w:jc w:val="center"/>
            </w:pPr>
          </w:p>
          <w:p>
            <w:pPr>
              <w:pStyle w:val="23"/>
              <w:spacing w:line="318" w:lineRule="exact"/>
              <w:ind w:firstLine="0"/>
              <w:jc w:val="center"/>
            </w:pPr>
            <w:r>
              <w:t>金融机构任职资格核准职能的部门</w:t>
            </w:r>
          </w:p>
        </w:tc>
      </w:tr>
    </w:tbl>
    <w:p>
      <w:pPr>
        <w:spacing w:line="1" w:lineRule="exact"/>
        <w:rPr>
          <w:sz w:val="2"/>
          <w:szCs w:val="2"/>
          <w:lang w:eastAsia="zh-CN"/>
        </w:rPr>
      </w:pPr>
      <w:r>
        <w:rPr>
          <w:lang w:eastAsia="zh-CN"/>
        </w:rPr>
        <w:br w:type="page"/>
      </w:r>
    </w:p>
    <w:tbl>
      <w:tblPr>
        <w:tblStyle w:val="6"/>
        <w:tblW w:w="0" w:type="auto"/>
        <w:jc w:val="center"/>
        <w:tblLayout w:type="fixed"/>
        <w:tblCellMar>
          <w:top w:w="0" w:type="dxa"/>
          <w:left w:w="10" w:type="dxa"/>
          <w:bottom w:w="0" w:type="dxa"/>
          <w:right w:w="10" w:type="dxa"/>
        </w:tblCellMar>
      </w:tblPr>
      <w:tblGrid>
        <w:gridCol w:w="2082"/>
        <w:gridCol w:w="11040"/>
        <w:gridCol w:w="1950"/>
      </w:tblGrid>
      <w:tr>
        <w:tblPrEx>
          <w:tblCellMar>
            <w:top w:w="0" w:type="dxa"/>
            <w:left w:w="10" w:type="dxa"/>
            <w:bottom w:w="0" w:type="dxa"/>
            <w:right w:w="10" w:type="dxa"/>
          </w:tblCellMar>
        </w:tblPrEx>
        <w:trPr>
          <w:trHeight w:val="402" w:hRule="exact"/>
          <w:jc w:val="center"/>
        </w:trPr>
        <w:tc>
          <w:tcPr>
            <w:tcW w:w="2082" w:type="dxa"/>
            <w:tcBorders>
              <w:top w:val="single" w:color="auto" w:sz="4" w:space="0"/>
              <w:left w:val="single" w:color="auto" w:sz="4" w:space="0"/>
            </w:tcBorders>
            <w:shd w:val="clear" w:color="auto" w:fill="FFFFFF"/>
            <w:vAlign w:val="bottom"/>
          </w:tcPr>
          <w:p>
            <w:pPr>
              <w:pStyle w:val="23"/>
              <w:spacing w:line="240" w:lineRule="auto"/>
              <w:ind w:firstLine="0"/>
              <w:jc w:val="center"/>
            </w:pPr>
            <w:r>
              <w:t>惩戒措施</w:t>
            </w:r>
          </w:p>
        </w:tc>
        <w:tc>
          <w:tcPr>
            <w:tcW w:w="11040" w:type="dxa"/>
            <w:tcBorders>
              <w:top w:val="single" w:color="auto" w:sz="4" w:space="0"/>
              <w:left w:val="single" w:color="auto" w:sz="4" w:space="0"/>
            </w:tcBorders>
            <w:shd w:val="clear" w:color="auto" w:fill="FFFFFF"/>
            <w:vAlign w:val="bottom"/>
          </w:tcPr>
          <w:p>
            <w:pPr>
              <w:pStyle w:val="23"/>
              <w:spacing w:line="240" w:lineRule="auto"/>
              <w:ind w:firstLine="0"/>
              <w:jc w:val="center"/>
            </w:pPr>
            <w:r>
              <w:t>法律及政策依据</w:t>
            </w:r>
          </w:p>
        </w:tc>
        <w:tc>
          <w:tcPr>
            <w:tcW w:w="1950" w:type="dxa"/>
            <w:tcBorders>
              <w:top w:val="single" w:color="auto" w:sz="4" w:space="0"/>
              <w:left w:val="single" w:color="auto" w:sz="4" w:space="0"/>
              <w:right w:val="single" w:color="auto" w:sz="4" w:space="0"/>
            </w:tcBorders>
            <w:shd w:val="clear" w:color="auto" w:fill="FFFFFF"/>
            <w:vAlign w:val="bottom"/>
          </w:tcPr>
          <w:p>
            <w:pPr>
              <w:pStyle w:val="23"/>
              <w:spacing w:line="240" w:lineRule="auto"/>
            </w:pPr>
            <w:r>
              <w:t>实施单位</w:t>
            </w:r>
          </w:p>
        </w:tc>
      </w:tr>
      <w:tr>
        <w:tblPrEx>
          <w:tblCellMar>
            <w:top w:w="0" w:type="dxa"/>
            <w:left w:w="10" w:type="dxa"/>
            <w:bottom w:w="0" w:type="dxa"/>
            <w:right w:w="10" w:type="dxa"/>
          </w:tblCellMar>
        </w:tblPrEx>
        <w:trPr>
          <w:trHeight w:val="5279" w:hRule="exact"/>
          <w:jc w:val="center"/>
        </w:trPr>
        <w:tc>
          <w:tcPr>
            <w:tcW w:w="2082" w:type="dxa"/>
            <w:tcBorders>
              <w:top w:val="single" w:color="auto" w:sz="4" w:space="0"/>
              <w:left w:val="single" w:color="auto" w:sz="4" w:space="0"/>
            </w:tcBorders>
            <w:shd w:val="clear" w:color="auto" w:fill="FFFFFF"/>
          </w:tcPr>
          <w:p>
            <w:pPr>
              <w:rPr>
                <w:sz w:val="10"/>
                <w:szCs w:val="10"/>
              </w:rPr>
            </w:pPr>
          </w:p>
        </w:tc>
        <w:tc>
          <w:tcPr>
            <w:tcW w:w="11040" w:type="dxa"/>
            <w:tcBorders>
              <w:top w:val="single" w:color="auto" w:sz="4" w:space="0"/>
              <w:left w:val="single" w:color="auto" w:sz="4" w:space="0"/>
            </w:tcBorders>
            <w:shd w:val="clear" w:color="auto" w:fill="FFFFFF"/>
          </w:tcPr>
          <w:p>
            <w:pPr>
              <w:pStyle w:val="23"/>
              <w:spacing w:line="274" w:lineRule="exact"/>
              <w:jc w:val="both"/>
            </w:pPr>
            <w:r>
              <w:rPr>
                <w:rFonts w:hint="eastAsia" w:eastAsiaTheme="minorEastAsia"/>
                <w:lang w:val="zh-CN" w:eastAsia="zh-CN" w:bidi="zh-CN"/>
              </w:rPr>
              <w:t>第</w:t>
            </w:r>
            <w:r>
              <w:rPr>
                <w:lang w:val="zh-CN" w:eastAsia="zh-CN" w:bidi="zh-CN"/>
              </w:rPr>
              <w:t>三条</w:t>
            </w:r>
            <w:r>
              <w:rPr>
                <w:rFonts w:hint="eastAsia" w:eastAsiaTheme="minorEastAsia"/>
                <w:lang w:val="zh-CN" w:eastAsia="zh-CN" w:bidi="zh-CN"/>
              </w:rPr>
              <w:t xml:space="preserve">  </w:t>
            </w:r>
            <w:r>
              <w:rPr>
                <w:rFonts w:hint="eastAsia" w:eastAsiaTheme="minorEastAsia"/>
                <w:lang w:eastAsia="zh-CN"/>
              </w:rPr>
              <w:t>本</w:t>
            </w:r>
            <w:r>
              <w:t>办法所称高级管理人员，是指金融机构总部及分支机构管理层中对该机构经营管理、风险控制有决策 权或重要影响力的各类人员。</w:t>
            </w:r>
          </w:p>
          <w:p>
            <w:pPr>
              <w:pStyle w:val="23"/>
              <w:spacing w:line="274" w:lineRule="exact"/>
              <w:jc w:val="both"/>
            </w:pPr>
            <w:r>
              <w:t>第九条</w:t>
            </w:r>
            <w:r>
              <w:rPr>
                <w:rFonts w:hint="eastAsia" w:eastAsiaTheme="minorEastAsia"/>
                <w:lang w:eastAsia="zh-CN"/>
              </w:rPr>
              <w:t xml:space="preserve">  </w:t>
            </w:r>
            <w:r>
              <w:t>金融机构拟任、现任董事（理事）和高级管理人员出现下列情形之一的，视为不符合本办法第八条第（二）项、第（三）项、第（五）项规定之条件：</w:t>
            </w:r>
          </w:p>
          <w:p>
            <w:pPr>
              <w:pStyle w:val="23"/>
              <w:tabs>
                <w:tab w:val="left" w:pos="1116"/>
              </w:tabs>
              <w:spacing w:line="274" w:lineRule="exact"/>
              <w:ind w:firstLine="600"/>
              <w:jc w:val="both"/>
            </w:pPr>
            <w:r>
              <w:t>（一）</w:t>
            </w:r>
            <w:r>
              <w:tab/>
            </w:r>
            <w:r>
              <w:t>有故意或重大过失犯罪记录的；</w:t>
            </w:r>
          </w:p>
          <w:p>
            <w:pPr>
              <w:pStyle w:val="23"/>
              <w:tabs>
                <w:tab w:val="left" w:pos="1116"/>
              </w:tabs>
              <w:spacing w:line="274" w:lineRule="exact"/>
              <w:ind w:firstLine="600"/>
              <w:jc w:val="both"/>
            </w:pPr>
            <w:r>
              <w:t>（二）</w:t>
            </w:r>
            <w:r>
              <w:tab/>
            </w:r>
            <w:r>
              <w:t>有违反社会公德的不良行为，造成恶劣影响的；</w:t>
            </w:r>
          </w:p>
          <w:p>
            <w:pPr>
              <w:pStyle w:val="23"/>
              <w:tabs>
                <w:tab w:val="left" w:pos="1116"/>
              </w:tabs>
              <w:spacing w:line="274" w:lineRule="exact"/>
              <w:ind w:firstLine="600"/>
              <w:jc w:val="both"/>
            </w:pPr>
            <w:r>
              <w:t>（三）</w:t>
            </w:r>
            <w:r>
              <w:tab/>
            </w:r>
            <w:r>
              <w:t>对曾任职机构违法违规经营活动或重大损失负有个人责任或直接领导责任，情节严重的；</w:t>
            </w:r>
          </w:p>
          <w:p>
            <w:pPr>
              <w:pStyle w:val="23"/>
              <w:tabs>
                <w:tab w:val="left" w:pos="1026"/>
              </w:tabs>
              <w:spacing w:line="274" w:lineRule="exact"/>
              <w:ind w:firstLine="600"/>
              <w:jc w:val="both"/>
            </w:pPr>
            <w:r>
              <w:t>（四）</w:t>
            </w:r>
            <w:r>
              <w:tab/>
            </w:r>
            <w:r>
              <w:t>担任或曾任被接管、撤销、宣告破产或吊销营业执照机构的董事（理事）或高级管理人员的，但能够证明本人对曾任职机构被接管、撤销、宣告破产或吊销营业执照不负有个人责任的除外；</w:t>
            </w:r>
          </w:p>
          <w:p>
            <w:pPr>
              <w:pStyle w:val="23"/>
              <w:tabs>
                <w:tab w:val="left" w:pos="1134"/>
              </w:tabs>
              <w:spacing w:line="274" w:lineRule="exact"/>
              <w:ind w:firstLine="600"/>
              <w:jc w:val="both"/>
            </w:pPr>
            <w:r>
              <w:t>（五）</w:t>
            </w:r>
            <w:r>
              <w:tab/>
            </w:r>
            <w:r>
              <w:t>因违反职业道德、操守或者工作严重失职，造成重大损失或者恶劣影响的；</w:t>
            </w:r>
          </w:p>
          <w:p>
            <w:pPr>
              <w:pStyle w:val="23"/>
              <w:tabs>
                <w:tab w:val="left" w:pos="1116"/>
              </w:tabs>
              <w:spacing w:line="274" w:lineRule="exact"/>
              <w:ind w:firstLine="600"/>
              <w:jc w:val="both"/>
            </w:pPr>
            <w:r>
              <w:t>（六）</w:t>
            </w:r>
            <w:r>
              <w:tab/>
            </w:r>
            <w:r>
              <w:t>指使、参与所任职机构不配合依法监管或案件查处的；</w:t>
            </w:r>
          </w:p>
          <w:p>
            <w:pPr>
              <w:pStyle w:val="23"/>
              <w:tabs>
                <w:tab w:val="left" w:pos="1008"/>
              </w:tabs>
              <w:spacing w:line="274" w:lineRule="exact"/>
              <w:ind w:firstLine="600"/>
              <w:jc w:val="both"/>
            </w:pPr>
            <w:r>
              <w:t>（七）</w:t>
            </w:r>
            <w:r>
              <w:tab/>
            </w:r>
            <w:r>
              <w:t>被取消终身的董事（理事）和高级管理人员任职资格，或受到监管机构或其他金融管理部门处罚累计达到两次以上的；</w:t>
            </w:r>
          </w:p>
          <w:p>
            <w:pPr>
              <w:pStyle w:val="23"/>
              <w:tabs>
                <w:tab w:val="left" w:pos="1122"/>
              </w:tabs>
              <w:spacing w:line="274" w:lineRule="exact"/>
              <w:ind w:firstLine="600"/>
              <w:jc w:val="both"/>
            </w:pPr>
            <w:r>
              <w:t>（八）</w:t>
            </w:r>
            <w:r>
              <w:tab/>
            </w:r>
            <w:r>
              <w:t>有本办法规定的不具备任职资格条件的情形，釆用不正当手段获得任职资格核准的。</w:t>
            </w:r>
          </w:p>
          <w:p>
            <w:pPr>
              <w:pStyle w:val="23"/>
              <w:spacing w:line="274" w:lineRule="exact"/>
              <w:ind w:firstLine="600"/>
            </w:pPr>
            <w:r>
              <w:t>《保险公司董事、监事和高级管理人员任职资格管理规定》（保监会令</w:t>
            </w:r>
            <w:r>
              <w:rPr>
                <w:rFonts w:ascii="Times New Roman" w:hAnsi="Times New Roman" w:eastAsia="Times New Roman" w:cs="Times New Roman"/>
                <w:b/>
                <w:bCs/>
                <w:sz w:val="22"/>
                <w:szCs w:val="22"/>
              </w:rPr>
              <w:t>2014</w:t>
            </w:r>
            <w:r>
              <w:t>年第</w:t>
            </w:r>
            <w:r>
              <w:rPr>
                <w:rFonts w:ascii="Times New Roman" w:hAnsi="Times New Roman" w:eastAsia="Times New Roman" w:cs="Times New Roman"/>
                <w:b/>
                <w:bCs/>
                <w:sz w:val="22"/>
                <w:szCs w:val="22"/>
              </w:rPr>
              <w:t>1</w:t>
            </w:r>
            <w:r>
              <w:t>号）</w:t>
            </w:r>
          </w:p>
          <w:p>
            <w:pPr>
              <w:pStyle w:val="23"/>
              <w:spacing w:line="274" w:lineRule="exact"/>
              <w:jc w:val="both"/>
            </w:pPr>
            <w:r>
              <w:t>第七条</w:t>
            </w:r>
            <w:r>
              <w:rPr>
                <w:rFonts w:hint="eastAsia" w:eastAsiaTheme="minorEastAsia"/>
                <w:lang w:eastAsia="zh-CN"/>
              </w:rPr>
              <w:t xml:space="preserve">  </w:t>
            </w:r>
            <w:r>
              <w:t>保险机构董事、监事和高级管理人员应当具有诚实信用的品行、良好的合规经营意识和履行职务必需的经营管理能力。</w:t>
            </w:r>
          </w:p>
        </w:tc>
        <w:tc>
          <w:tcPr>
            <w:tcW w:w="1950"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2550" w:hRule="exact"/>
          <w:jc w:val="center"/>
        </w:trPr>
        <w:tc>
          <w:tcPr>
            <w:tcW w:w="2082" w:type="dxa"/>
            <w:tcBorders>
              <w:top w:val="single" w:color="auto" w:sz="4" w:space="0"/>
              <w:left w:val="single" w:color="auto" w:sz="4" w:space="0"/>
              <w:bottom w:val="single" w:color="auto" w:sz="4" w:space="0"/>
            </w:tcBorders>
            <w:shd w:val="clear" w:color="auto" w:fill="FFFFFF"/>
          </w:tcPr>
          <w:p>
            <w:pPr>
              <w:pStyle w:val="23"/>
              <w:spacing w:line="277" w:lineRule="exact"/>
              <w:ind w:firstLine="0"/>
              <w:jc w:val="left"/>
            </w:pPr>
            <w:r>
              <w:t>（二十三）将统计上严重失信行为作为投资等优惠性政策 认定，金融机构评级授信、信贷融资、管理和退出，审批证券、证券投资基金及 期货公司设立、变更，私募基金管理人登记、</w:t>
            </w:r>
          </w:p>
        </w:tc>
        <w:tc>
          <w:tcPr>
            <w:tcW w:w="11040" w:type="dxa"/>
            <w:tcBorders>
              <w:top w:val="single" w:color="auto" w:sz="4" w:space="0"/>
              <w:left w:val="single" w:color="auto" w:sz="4" w:space="0"/>
              <w:bottom w:val="single" w:color="auto" w:sz="4" w:space="0"/>
            </w:tcBorders>
            <w:shd w:val="clear" w:color="auto" w:fill="FFFFFF"/>
          </w:tcPr>
          <w:p>
            <w:pPr>
              <w:pStyle w:val="23"/>
              <w:spacing w:line="312" w:lineRule="exact"/>
              <w:ind w:firstLine="600"/>
              <w:jc w:val="both"/>
            </w:pPr>
            <w:r>
              <w:t>《中华人民共和国统计法》</w:t>
            </w:r>
          </w:p>
          <w:p>
            <w:pPr>
              <w:pStyle w:val="23"/>
              <w:spacing w:line="312" w:lineRule="exact"/>
              <w:jc w:val="both"/>
            </w:pPr>
            <w:r>
              <w:t>第四十一条</w:t>
            </w:r>
            <w:r>
              <w:rPr>
                <w:rFonts w:hint="eastAsia" w:eastAsiaTheme="minorEastAsia"/>
                <w:lang w:eastAsia="zh-CN"/>
              </w:rPr>
              <w:t xml:space="preserve">  </w:t>
            </w:r>
            <w:r>
              <w:t>作为统计调査对象的国家机关、企业事业单位或者其他组织有下列行为之一的，由县级以上人民政府统计机构责令改正，给予警告，可以予以通报；其直接负责的主管人员和其他直接责任人员属于国家工作人员的， 由任免机关或者监察机关依法给予处分：</w:t>
            </w:r>
          </w:p>
          <w:p>
            <w:pPr>
              <w:pStyle w:val="23"/>
              <w:spacing w:line="312" w:lineRule="exact"/>
              <w:ind w:firstLine="600"/>
              <w:jc w:val="both"/>
            </w:pPr>
            <w:r>
              <w:rPr>
                <w:lang w:val="en-US" w:eastAsia="zh-CN" w:bidi="en-US"/>
              </w:rPr>
              <w:t>（</w:t>
            </w:r>
            <w:r>
              <w:rPr>
                <w:rFonts w:hint="eastAsia" w:eastAsiaTheme="minorEastAsia"/>
                <w:lang w:val="en-US" w:eastAsia="zh-CN" w:bidi="en-US"/>
              </w:rPr>
              <w:t>一</w:t>
            </w:r>
            <w:r>
              <w:rPr>
                <w:lang w:val="en-US" w:eastAsia="zh-CN" w:bidi="en-US"/>
              </w:rPr>
              <w:t>）</w:t>
            </w:r>
            <w:r>
              <w:t>拒绝提供统计资料或者经催报后仍未按时提供统计资料的；</w:t>
            </w:r>
          </w:p>
          <w:p>
            <w:pPr>
              <w:pStyle w:val="23"/>
              <w:tabs>
                <w:tab w:val="left" w:pos="1116"/>
              </w:tabs>
              <w:spacing w:line="312" w:lineRule="exact"/>
              <w:ind w:firstLine="600"/>
              <w:jc w:val="both"/>
            </w:pPr>
            <w:r>
              <w:t>（二）</w:t>
            </w:r>
            <w:r>
              <w:tab/>
            </w:r>
            <w:r>
              <w:t>提供不真实或者不完整的统计资料的；</w:t>
            </w:r>
          </w:p>
          <w:p>
            <w:pPr>
              <w:pStyle w:val="23"/>
              <w:tabs>
                <w:tab w:val="left" w:pos="1122"/>
              </w:tabs>
              <w:spacing w:line="312" w:lineRule="exact"/>
              <w:ind w:firstLine="600"/>
              <w:jc w:val="both"/>
            </w:pPr>
            <w:r>
              <w:t>（三）</w:t>
            </w:r>
            <w:r>
              <w:tab/>
            </w:r>
            <w:r>
              <w:t>拒绝答复或者不如实答复统计检查查询书的；</w:t>
            </w:r>
          </w:p>
          <w:p>
            <w:pPr>
              <w:pStyle w:val="23"/>
              <w:tabs>
                <w:tab w:val="left" w:pos="1116"/>
              </w:tabs>
              <w:spacing w:line="312" w:lineRule="exact"/>
              <w:ind w:firstLine="600"/>
              <w:jc w:val="both"/>
            </w:pPr>
            <w:r>
              <w:t>（四）</w:t>
            </w:r>
            <w:r>
              <w:tab/>
            </w:r>
            <w:r>
              <w:t>拒绝、阻碍统计调査、统计检查的；</w:t>
            </w:r>
          </w:p>
        </w:tc>
        <w:tc>
          <w:tcPr>
            <w:tcW w:w="1950" w:type="dxa"/>
            <w:tcBorders>
              <w:top w:val="single" w:color="auto" w:sz="4" w:space="0"/>
              <w:left w:val="single" w:color="auto" w:sz="4" w:space="0"/>
              <w:bottom w:val="single" w:color="auto" w:sz="4" w:space="0"/>
              <w:right w:val="single" w:color="auto" w:sz="4" w:space="0"/>
            </w:tcBorders>
            <w:shd w:val="clear" w:color="auto" w:fill="FFFFFF"/>
          </w:tcPr>
          <w:p>
            <w:pPr>
              <w:pStyle w:val="23"/>
              <w:spacing w:line="317" w:lineRule="exact"/>
              <w:ind w:firstLine="0"/>
              <w:jc w:val="center"/>
              <w:rPr>
                <w:rFonts w:hint="eastAsia" w:eastAsiaTheme="minorEastAsia"/>
                <w:lang w:eastAsia="zh-CN"/>
              </w:rPr>
            </w:pPr>
            <w:r>
              <w:t>中组部、</w:t>
            </w:r>
          </w:p>
          <w:p>
            <w:pPr>
              <w:pStyle w:val="23"/>
              <w:spacing w:line="317" w:lineRule="exact"/>
              <w:ind w:firstLine="0"/>
              <w:jc w:val="center"/>
              <w:rPr>
                <w:rFonts w:hint="eastAsia" w:eastAsiaTheme="minorEastAsia"/>
                <w:lang w:eastAsia="zh-CN"/>
              </w:rPr>
            </w:pPr>
            <w:r>
              <w:t xml:space="preserve"> 国家发展改革委、</w:t>
            </w:r>
          </w:p>
          <w:p>
            <w:pPr>
              <w:pStyle w:val="23"/>
              <w:spacing w:line="317" w:lineRule="exact"/>
              <w:ind w:firstLine="0"/>
              <w:jc w:val="center"/>
              <w:rPr>
                <w:rFonts w:hint="eastAsia" w:eastAsiaTheme="minorEastAsia"/>
                <w:lang w:eastAsia="zh-CN"/>
              </w:rPr>
            </w:pPr>
            <w:r>
              <w:t xml:space="preserve"> 人力资源和社会</w:t>
            </w:r>
          </w:p>
          <w:p>
            <w:pPr>
              <w:pStyle w:val="23"/>
              <w:spacing w:line="317" w:lineRule="exact"/>
              <w:ind w:firstLine="200" w:firstLineChars="100"/>
              <w:jc w:val="both"/>
            </w:pPr>
            <w:r>
              <w:t>保障部、商务部、</w:t>
            </w:r>
          </w:p>
          <w:p>
            <w:pPr>
              <w:pStyle w:val="23"/>
              <w:spacing w:line="317" w:lineRule="exact"/>
              <w:ind w:left="400" w:hanging="400" w:hangingChars="200"/>
              <w:jc w:val="both"/>
            </w:pPr>
            <w:r>
              <w:t xml:space="preserve"> 人民银行、海关总署、 税务总局、</w:t>
            </w:r>
          </w:p>
        </w:tc>
      </w:tr>
    </w:tbl>
    <w:p>
      <w:pPr>
        <w:spacing w:line="1" w:lineRule="exact"/>
        <w:rPr>
          <w:sz w:val="2"/>
          <w:szCs w:val="2"/>
          <w:lang w:eastAsia="zh-CN"/>
        </w:rPr>
      </w:pPr>
      <w:r>
        <w:rPr>
          <w:lang w:eastAsia="zh-CN"/>
        </w:rPr>
        <w:br w:type="page"/>
      </w:r>
    </w:p>
    <w:tbl>
      <w:tblPr>
        <w:tblStyle w:val="6"/>
        <w:tblW w:w="0" w:type="auto"/>
        <w:jc w:val="center"/>
        <w:tblLayout w:type="fixed"/>
        <w:tblCellMar>
          <w:top w:w="0" w:type="dxa"/>
          <w:left w:w="10" w:type="dxa"/>
          <w:bottom w:w="0" w:type="dxa"/>
          <w:right w:w="10" w:type="dxa"/>
        </w:tblCellMar>
      </w:tblPr>
      <w:tblGrid>
        <w:gridCol w:w="2088"/>
        <w:gridCol w:w="11034"/>
        <w:gridCol w:w="1932"/>
      </w:tblGrid>
      <w:tr>
        <w:tblPrEx>
          <w:tblCellMar>
            <w:top w:w="0" w:type="dxa"/>
            <w:left w:w="10" w:type="dxa"/>
            <w:bottom w:w="0" w:type="dxa"/>
            <w:right w:w="10" w:type="dxa"/>
          </w:tblCellMar>
        </w:tblPrEx>
        <w:trPr>
          <w:trHeight w:val="396" w:hRule="exact"/>
          <w:jc w:val="center"/>
        </w:trPr>
        <w:tc>
          <w:tcPr>
            <w:tcW w:w="2088" w:type="dxa"/>
            <w:tcBorders>
              <w:top w:val="single" w:color="auto" w:sz="4" w:space="0"/>
              <w:left w:val="single" w:color="auto" w:sz="4" w:space="0"/>
            </w:tcBorders>
            <w:shd w:val="clear" w:color="auto" w:fill="FFFFFF"/>
            <w:vAlign w:val="bottom"/>
          </w:tcPr>
          <w:p>
            <w:pPr>
              <w:pStyle w:val="23"/>
              <w:spacing w:line="240" w:lineRule="auto"/>
              <w:ind w:firstLine="0"/>
              <w:jc w:val="center"/>
            </w:pPr>
            <w:r>
              <w:t>惩戒措施</w:t>
            </w:r>
          </w:p>
        </w:tc>
        <w:tc>
          <w:tcPr>
            <w:tcW w:w="11034" w:type="dxa"/>
            <w:tcBorders>
              <w:top w:val="single" w:color="auto" w:sz="4" w:space="0"/>
              <w:left w:val="single" w:color="auto" w:sz="4" w:space="0"/>
            </w:tcBorders>
            <w:shd w:val="clear" w:color="auto" w:fill="FFFFFF"/>
            <w:vAlign w:val="bottom"/>
          </w:tcPr>
          <w:p>
            <w:pPr>
              <w:pStyle w:val="23"/>
              <w:spacing w:line="240" w:lineRule="auto"/>
              <w:ind w:firstLine="0"/>
              <w:jc w:val="center"/>
            </w:pPr>
            <w:r>
              <w:t>法律及政策依据</w:t>
            </w:r>
          </w:p>
        </w:tc>
        <w:tc>
          <w:tcPr>
            <w:tcW w:w="1932" w:type="dxa"/>
            <w:tcBorders>
              <w:top w:val="single" w:color="auto" w:sz="4" w:space="0"/>
              <w:left w:val="single" w:color="auto" w:sz="4" w:space="0"/>
              <w:right w:val="single" w:color="auto" w:sz="4" w:space="0"/>
            </w:tcBorders>
            <w:shd w:val="clear" w:color="auto" w:fill="FFFFFF"/>
            <w:vAlign w:val="bottom"/>
          </w:tcPr>
          <w:p>
            <w:pPr>
              <w:pStyle w:val="23"/>
              <w:spacing w:line="240" w:lineRule="auto"/>
              <w:ind w:firstLine="0"/>
              <w:jc w:val="center"/>
            </w:pPr>
            <w:r>
              <w:t>实施单位</w:t>
            </w:r>
          </w:p>
        </w:tc>
      </w:tr>
      <w:tr>
        <w:tblPrEx>
          <w:tblCellMar>
            <w:top w:w="0" w:type="dxa"/>
            <w:left w:w="10" w:type="dxa"/>
            <w:bottom w:w="0" w:type="dxa"/>
            <w:right w:w="10" w:type="dxa"/>
          </w:tblCellMar>
        </w:tblPrEx>
        <w:trPr>
          <w:trHeight w:val="7824" w:hRule="exact"/>
          <w:jc w:val="center"/>
        </w:trPr>
        <w:tc>
          <w:tcPr>
            <w:tcW w:w="2088" w:type="dxa"/>
            <w:tcBorders>
              <w:top w:val="single" w:color="auto" w:sz="4" w:space="0"/>
              <w:left w:val="single" w:color="auto" w:sz="4" w:space="0"/>
              <w:bottom w:val="single" w:color="auto" w:sz="4" w:space="0"/>
            </w:tcBorders>
            <w:shd w:val="clear" w:color="auto" w:fill="FFFFFF"/>
          </w:tcPr>
          <w:p>
            <w:pPr>
              <w:pStyle w:val="23"/>
              <w:spacing w:line="274" w:lineRule="exact"/>
              <w:ind w:firstLine="0"/>
              <w:jc w:val="both"/>
            </w:pPr>
            <w:r>
              <w:t>重大事项变更以及基金备案，相关责任人考核、干部选任等的重要参考。</w:t>
            </w:r>
          </w:p>
        </w:tc>
        <w:tc>
          <w:tcPr>
            <w:tcW w:w="11034" w:type="dxa"/>
            <w:tcBorders>
              <w:top w:val="single" w:color="auto" w:sz="4" w:space="0"/>
              <w:left w:val="single" w:color="auto" w:sz="4" w:space="0"/>
              <w:bottom w:val="single" w:color="auto" w:sz="4" w:space="0"/>
            </w:tcBorders>
            <w:shd w:val="clear" w:color="auto" w:fill="FFFFFF"/>
          </w:tcPr>
          <w:p>
            <w:pPr>
              <w:pStyle w:val="23"/>
              <w:spacing w:line="310" w:lineRule="exact"/>
              <w:ind w:firstLine="620"/>
              <w:jc w:val="both"/>
            </w:pPr>
            <w:r>
              <w:t>（五）转移、隐匿、篡改、毁弃或者拒绝提供原始记录和凭证、统计台账、统计调查表及其他相关证明和资料的。企业事业单位或者其他组织有前款所列行为之一的，可以并处五万元以下的罚款；情节严重的，并处五万元以上 二十万元以下的罚款。</w:t>
            </w:r>
          </w:p>
          <w:p>
            <w:pPr>
              <w:pStyle w:val="23"/>
              <w:spacing w:line="310" w:lineRule="exact"/>
              <w:jc w:val="both"/>
            </w:pPr>
            <w:r>
              <w:t>个体工商户有本条第一款所列行为之一的，由县级以上人民政府统计机构责令改正，给予警告，可以并处一万元以下的罚款。</w:t>
            </w:r>
          </w:p>
          <w:p>
            <w:pPr>
              <w:pStyle w:val="23"/>
              <w:spacing w:line="310" w:lineRule="exact"/>
            </w:pPr>
            <w:r>
              <w:t>第四十三条</w:t>
            </w:r>
            <w:r>
              <w:rPr>
                <w:rFonts w:hint="eastAsia" w:eastAsiaTheme="minorEastAsia"/>
                <w:lang w:eastAsia="zh-CN"/>
              </w:rPr>
              <w:t xml:space="preserve">  </w:t>
            </w:r>
            <w:r>
              <w:t>县级以上人民政府统计机构查处统计违法行为时，认为对有关国家工作人员依法应当给予处分的，应当提出给予处分的建议；该国家工作人员的任免机关或者监察机关应当依法及时作岀决定，并将结果书面通知县级 以上人民政府统计机构。</w:t>
            </w:r>
          </w:p>
          <w:p>
            <w:pPr>
              <w:pStyle w:val="23"/>
              <w:spacing w:line="310" w:lineRule="exact"/>
            </w:pPr>
            <w:r>
              <w:t xml:space="preserve">第四十五条 </w:t>
            </w:r>
            <w:r>
              <w:rPr>
                <w:rFonts w:hint="eastAsia" w:eastAsiaTheme="minorEastAsia"/>
                <w:lang w:eastAsia="zh-CN"/>
              </w:rPr>
              <w:t xml:space="preserve"> </w:t>
            </w:r>
            <w:r>
              <w:t>违反本法规定，利用虚假统计资料骗取荣誉称号、物质利益或者职务晋升的，除对其编造虚假统计资料或者要求他人编造虚假统计资料的行为依法追究法律责任外，由作出有关决定的单位或者其上级单位、监察机关取消其荣誉称号，追缴获得的物质利益，撤销晋升的职务。</w:t>
            </w:r>
          </w:p>
          <w:p>
            <w:pPr>
              <w:pStyle w:val="23"/>
              <w:spacing w:line="310" w:lineRule="exact"/>
              <w:ind w:firstLine="600"/>
              <w:jc w:val="both"/>
            </w:pPr>
            <w:r>
              <w:t>《证券法》</w:t>
            </w:r>
          </w:p>
          <w:p>
            <w:pPr>
              <w:pStyle w:val="23"/>
              <w:spacing w:line="310" w:lineRule="exact"/>
              <w:ind w:firstLine="480"/>
              <w:jc w:val="both"/>
            </w:pPr>
            <w:r>
              <w:t>第一百二十四条</w:t>
            </w:r>
            <w:r>
              <w:rPr>
                <w:rFonts w:hint="eastAsia" w:eastAsiaTheme="minorEastAsia"/>
                <w:lang w:eastAsia="zh-CN"/>
              </w:rPr>
              <w:t xml:space="preserve">  </w:t>
            </w:r>
            <w:r>
              <w:t>设立证券公司，应当具备下列条件：</w:t>
            </w:r>
          </w:p>
          <w:p>
            <w:pPr>
              <w:pStyle w:val="23"/>
              <w:tabs>
                <w:tab w:val="left" w:pos="870"/>
              </w:tabs>
              <w:spacing w:line="310" w:lineRule="exact"/>
              <w:ind w:firstLine="480"/>
              <w:jc w:val="both"/>
            </w:pPr>
            <w:r>
              <w:t>（二）主要股东具有持续盈利能力，信誉良好，最近三年无重大违法违规记录，净资产不低于人民币二亿元。</w:t>
            </w:r>
          </w:p>
          <w:p>
            <w:pPr>
              <w:pStyle w:val="23"/>
              <w:spacing w:line="320" w:lineRule="exact"/>
              <w:ind w:firstLine="600"/>
              <w:jc w:val="both"/>
            </w:pPr>
            <w:r>
              <w:t>《中华人民共和国证券投资基金法》</w:t>
            </w:r>
          </w:p>
          <w:p>
            <w:pPr>
              <w:pStyle w:val="23"/>
              <w:spacing w:line="320" w:lineRule="exact"/>
              <w:ind w:firstLine="480"/>
              <w:jc w:val="both"/>
            </w:pPr>
            <w:r>
              <w:t xml:space="preserve">第十三条 </w:t>
            </w:r>
            <w:r>
              <w:rPr>
                <w:rFonts w:hint="eastAsia" w:eastAsiaTheme="minorEastAsia"/>
                <w:lang w:eastAsia="zh-CN"/>
              </w:rPr>
              <w:t xml:space="preserve"> </w:t>
            </w:r>
            <w:r>
              <w:t>设立管理公开募集基金的基金管理公司，应当具备下列条件，并经国务院证券监督管理机构批准：</w:t>
            </w:r>
          </w:p>
          <w:p>
            <w:pPr>
              <w:pStyle w:val="23"/>
              <w:tabs>
                <w:tab w:val="left" w:pos="828"/>
              </w:tabs>
              <w:spacing w:line="320" w:lineRule="exact"/>
              <w:jc w:val="both"/>
            </w:pPr>
            <w:r>
              <w:t>（三）主要股东应当具有经营金融业务或者管理金融机构的良好业绩、良好的财务状况和社会信誉，资产规模达到国务院规定的标准，最近三年没有违法记录。</w:t>
            </w:r>
          </w:p>
          <w:p>
            <w:pPr>
              <w:pStyle w:val="23"/>
              <w:spacing w:line="320" w:lineRule="exact"/>
              <w:ind w:firstLine="600"/>
              <w:jc w:val="both"/>
            </w:pPr>
            <w:r>
              <w:t>《贷款通则》</w:t>
            </w:r>
          </w:p>
          <w:p>
            <w:pPr>
              <w:pStyle w:val="23"/>
              <w:spacing w:line="320" w:lineRule="exact"/>
              <w:jc w:val="both"/>
            </w:pPr>
            <w:r>
              <w:t>第十七条 借款人应当是经工商行政管理机关（或主管机关）核准登记的企（事）业法人、其他经济组织、个体工商户或具有中华人民共和国国籍的具有完全民事行为能力的自然人。</w:t>
            </w:r>
          </w:p>
          <w:p>
            <w:pPr>
              <w:pStyle w:val="23"/>
              <w:spacing w:line="320" w:lineRule="exact"/>
              <w:jc w:val="both"/>
            </w:pPr>
            <w:r>
              <w:t>借款人申请贷款，应当具备产品有市场、生产经营有效益、不挤占挪用信贷资金、恪守信用等基本条件，并且应当符合以下要求：</w:t>
            </w:r>
          </w:p>
          <w:p>
            <w:pPr>
              <w:pStyle w:val="23"/>
              <w:tabs>
                <w:tab w:val="left" w:pos="858"/>
              </w:tabs>
              <w:spacing w:line="320" w:lineRule="exact"/>
              <w:ind w:firstLine="480"/>
              <w:jc w:val="both"/>
            </w:pPr>
            <w:r>
              <w:t>一、有按期还本付息的能力，原应付贷款利息和到期贷款</w:t>
            </w:r>
            <w:r>
              <w:rPr>
                <w:rFonts w:hint="eastAsia" w:eastAsiaTheme="minorEastAsia"/>
                <w:lang w:eastAsia="zh-CN"/>
              </w:rPr>
              <w:t>己</w:t>
            </w:r>
            <w:r>
              <w:t>清偿；没有清偿的，已经做了贷款人认可的偿还计划。</w:t>
            </w:r>
          </w:p>
          <w:p>
            <w:pPr>
              <w:pStyle w:val="23"/>
              <w:tabs>
                <w:tab w:val="left" w:pos="918"/>
              </w:tabs>
              <w:spacing w:line="320" w:lineRule="exact"/>
              <w:ind w:firstLine="480"/>
              <w:jc w:val="both"/>
            </w:pPr>
            <w:r>
              <w:t>二、</w:t>
            </w:r>
            <w:r>
              <w:tab/>
            </w:r>
            <w:r>
              <w:t>除自然人和不需要经工商部门核准登记的事业法人外，应当经过工商部门办理年检手续。</w:t>
            </w:r>
          </w:p>
        </w:tc>
        <w:tc>
          <w:tcPr>
            <w:tcW w:w="1932" w:type="dxa"/>
            <w:tcBorders>
              <w:top w:val="single" w:color="auto" w:sz="4" w:space="0"/>
              <w:left w:val="single" w:color="auto" w:sz="4" w:space="0"/>
              <w:bottom w:val="single" w:color="auto" w:sz="4" w:space="0"/>
              <w:right w:val="single" w:color="auto" w:sz="4" w:space="0"/>
            </w:tcBorders>
            <w:shd w:val="clear" w:color="auto" w:fill="FFFFFF"/>
          </w:tcPr>
          <w:p>
            <w:pPr>
              <w:pStyle w:val="23"/>
              <w:spacing w:line="309" w:lineRule="exact"/>
              <w:ind w:firstLine="0"/>
              <w:jc w:val="center"/>
            </w:pPr>
          </w:p>
          <w:p>
            <w:pPr>
              <w:pStyle w:val="23"/>
              <w:spacing w:line="309" w:lineRule="exact"/>
              <w:ind w:firstLine="0"/>
              <w:jc w:val="center"/>
            </w:pPr>
          </w:p>
          <w:p>
            <w:pPr>
              <w:pStyle w:val="23"/>
              <w:spacing w:line="309" w:lineRule="exact"/>
              <w:ind w:firstLine="0"/>
              <w:jc w:val="center"/>
            </w:pPr>
          </w:p>
          <w:p>
            <w:pPr>
              <w:pStyle w:val="23"/>
              <w:spacing w:line="309" w:lineRule="exact"/>
              <w:ind w:firstLine="0"/>
              <w:jc w:val="center"/>
            </w:pPr>
          </w:p>
          <w:p>
            <w:pPr>
              <w:pStyle w:val="23"/>
              <w:spacing w:line="309" w:lineRule="exact"/>
              <w:ind w:firstLine="0"/>
              <w:jc w:val="center"/>
            </w:pPr>
            <w:r>
              <w:t xml:space="preserve">质检总局、 </w:t>
            </w:r>
          </w:p>
          <w:p>
            <w:pPr>
              <w:pStyle w:val="23"/>
              <w:spacing w:line="309" w:lineRule="exact"/>
              <w:ind w:firstLine="0"/>
              <w:jc w:val="center"/>
            </w:pPr>
            <w:r>
              <w:t>银监会、</w:t>
            </w:r>
          </w:p>
          <w:p>
            <w:pPr>
              <w:pStyle w:val="23"/>
              <w:spacing w:line="309" w:lineRule="exact"/>
              <w:ind w:firstLine="400" w:firstLineChars="200"/>
              <w:jc w:val="both"/>
            </w:pPr>
            <w:r>
              <w:t xml:space="preserve"> 证监会</w:t>
            </w:r>
          </w:p>
        </w:tc>
      </w:tr>
    </w:tbl>
    <w:p>
      <w:pPr>
        <w:rPr>
          <w:lang w:eastAsia="zh-CN"/>
        </w:rPr>
        <w:sectPr>
          <w:footerReference r:id="rId11" w:type="default"/>
          <w:footerReference r:id="rId12" w:type="even"/>
          <w:pgSz w:w="16840" w:h="11900" w:orient="landscape"/>
          <w:pgMar w:top="1871" w:right="1417" w:bottom="1546" w:left="1417" w:header="1386" w:footer="3" w:gutter="0"/>
          <w:cols w:space="720" w:num="1"/>
          <w:docGrid w:linePitch="360" w:charSpace="0"/>
        </w:sectPr>
      </w:pPr>
    </w:p>
    <w:tbl>
      <w:tblPr>
        <w:tblStyle w:val="6"/>
        <w:tblW w:w="0" w:type="auto"/>
        <w:jc w:val="center"/>
        <w:tblLayout w:type="fixed"/>
        <w:tblCellMar>
          <w:top w:w="0" w:type="dxa"/>
          <w:left w:w="10" w:type="dxa"/>
          <w:bottom w:w="0" w:type="dxa"/>
          <w:right w:w="10" w:type="dxa"/>
        </w:tblCellMar>
      </w:tblPr>
      <w:tblGrid>
        <w:gridCol w:w="2088"/>
        <w:gridCol w:w="11046"/>
        <w:gridCol w:w="1950"/>
      </w:tblGrid>
      <w:tr>
        <w:tblPrEx>
          <w:tblCellMar>
            <w:top w:w="0" w:type="dxa"/>
            <w:left w:w="10" w:type="dxa"/>
            <w:bottom w:w="0" w:type="dxa"/>
            <w:right w:w="10" w:type="dxa"/>
          </w:tblCellMar>
        </w:tblPrEx>
        <w:trPr>
          <w:trHeight w:val="402" w:hRule="exact"/>
          <w:jc w:val="center"/>
        </w:trPr>
        <w:tc>
          <w:tcPr>
            <w:tcW w:w="2088" w:type="dxa"/>
            <w:tcBorders>
              <w:top w:val="single" w:color="auto" w:sz="4" w:space="0"/>
              <w:left w:val="single" w:color="auto" w:sz="4" w:space="0"/>
            </w:tcBorders>
            <w:shd w:val="clear" w:color="auto" w:fill="FFFFFF"/>
            <w:vAlign w:val="bottom"/>
          </w:tcPr>
          <w:p>
            <w:pPr>
              <w:pStyle w:val="23"/>
              <w:spacing w:line="240" w:lineRule="auto"/>
              <w:ind w:firstLine="0"/>
              <w:jc w:val="center"/>
            </w:pPr>
            <w:r>
              <w:t>惩戒措施</w:t>
            </w:r>
          </w:p>
        </w:tc>
        <w:tc>
          <w:tcPr>
            <w:tcW w:w="11046" w:type="dxa"/>
            <w:tcBorders>
              <w:top w:val="single" w:color="auto" w:sz="4" w:space="0"/>
              <w:left w:val="single" w:color="auto" w:sz="4" w:space="0"/>
            </w:tcBorders>
            <w:shd w:val="clear" w:color="auto" w:fill="FFFFFF"/>
            <w:vAlign w:val="bottom"/>
          </w:tcPr>
          <w:p>
            <w:pPr>
              <w:pStyle w:val="23"/>
              <w:spacing w:line="240" w:lineRule="auto"/>
              <w:ind w:firstLine="0"/>
              <w:jc w:val="center"/>
            </w:pPr>
            <w:r>
              <w:t>法律及政策依据</w:t>
            </w:r>
          </w:p>
        </w:tc>
        <w:tc>
          <w:tcPr>
            <w:tcW w:w="1950" w:type="dxa"/>
            <w:tcBorders>
              <w:top w:val="single" w:color="auto" w:sz="4" w:space="0"/>
              <w:left w:val="single" w:color="auto" w:sz="4" w:space="0"/>
              <w:right w:val="single" w:color="auto" w:sz="4" w:space="0"/>
            </w:tcBorders>
            <w:shd w:val="clear" w:color="auto" w:fill="FFFFFF"/>
            <w:vAlign w:val="bottom"/>
          </w:tcPr>
          <w:p>
            <w:pPr>
              <w:pStyle w:val="23"/>
              <w:spacing w:line="240" w:lineRule="auto"/>
              <w:ind w:firstLine="0"/>
              <w:jc w:val="center"/>
            </w:pPr>
            <w:r>
              <w:t>实施单位</w:t>
            </w:r>
          </w:p>
        </w:tc>
      </w:tr>
      <w:tr>
        <w:tblPrEx>
          <w:tblCellMar>
            <w:top w:w="0" w:type="dxa"/>
            <w:left w:w="10" w:type="dxa"/>
            <w:bottom w:w="0" w:type="dxa"/>
            <w:right w:w="10" w:type="dxa"/>
          </w:tblCellMar>
        </w:tblPrEx>
        <w:trPr>
          <w:trHeight w:val="7752" w:hRule="exact"/>
          <w:jc w:val="center"/>
        </w:trPr>
        <w:tc>
          <w:tcPr>
            <w:tcW w:w="2088" w:type="dxa"/>
            <w:tcBorders>
              <w:top w:val="single" w:color="auto" w:sz="4" w:space="0"/>
              <w:left w:val="single" w:color="auto" w:sz="4" w:space="0"/>
              <w:bottom w:val="single" w:color="auto" w:sz="4" w:space="0"/>
            </w:tcBorders>
            <w:shd w:val="clear" w:color="auto" w:fill="FFFFFF"/>
          </w:tcPr>
          <w:p>
            <w:pPr>
              <w:rPr>
                <w:sz w:val="10"/>
                <w:szCs w:val="10"/>
              </w:rPr>
            </w:pPr>
          </w:p>
        </w:tc>
        <w:tc>
          <w:tcPr>
            <w:tcW w:w="11046" w:type="dxa"/>
            <w:tcBorders>
              <w:top w:val="single" w:color="auto" w:sz="4" w:space="0"/>
              <w:left w:val="single" w:color="auto" w:sz="4" w:space="0"/>
              <w:bottom w:val="single" w:color="auto" w:sz="4" w:space="0"/>
            </w:tcBorders>
            <w:shd w:val="clear" w:color="auto" w:fill="FFFFFF"/>
            <w:vAlign w:val="bottom"/>
          </w:tcPr>
          <w:p>
            <w:pPr>
              <w:pStyle w:val="23"/>
              <w:tabs>
                <w:tab w:val="left" w:pos="944"/>
              </w:tabs>
              <w:spacing w:line="311" w:lineRule="exact"/>
              <w:jc w:val="both"/>
            </w:pPr>
            <w:r>
              <w:t>三、</w:t>
            </w:r>
            <w:r>
              <w:tab/>
            </w:r>
            <w:r>
              <w:t>已开立基本账户或一般存款账户。</w:t>
            </w:r>
          </w:p>
          <w:p>
            <w:pPr>
              <w:pStyle w:val="23"/>
              <w:tabs>
                <w:tab w:val="left" w:pos="920"/>
              </w:tabs>
              <w:spacing w:line="311" w:lineRule="exact"/>
              <w:jc w:val="both"/>
            </w:pPr>
            <w:r>
              <w:t>四、</w:t>
            </w:r>
            <w:r>
              <w:tab/>
            </w:r>
            <w:r>
              <w:t>除国务院规定外，有限责任公司和股份有限公司对外股本权益性投资累计额未超过其净资产总额的</w:t>
            </w:r>
            <w:r>
              <w:rPr>
                <w:rFonts w:ascii="Times New Roman" w:hAnsi="Times New Roman" w:eastAsia="Times New Roman" w:cs="Times New Roman"/>
                <w:b/>
                <w:bCs/>
                <w:sz w:val="22"/>
                <w:szCs w:val="22"/>
              </w:rPr>
              <w:t>50%</w:t>
            </w:r>
            <w:r>
              <w:t>。</w:t>
            </w:r>
          </w:p>
          <w:p>
            <w:pPr>
              <w:pStyle w:val="23"/>
              <w:tabs>
                <w:tab w:val="left" w:pos="914"/>
              </w:tabs>
              <w:spacing w:line="311" w:lineRule="exact"/>
              <w:jc w:val="both"/>
            </w:pPr>
            <w:r>
              <w:t>五、</w:t>
            </w:r>
            <w:r>
              <w:tab/>
            </w:r>
            <w:r>
              <w:t>借款人的资产负债率符合贷款人的要求。</w:t>
            </w:r>
          </w:p>
          <w:p>
            <w:pPr>
              <w:pStyle w:val="23"/>
              <w:tabs>
                <w:tab w:val="left" w:pos="798"/>
              </w:tabs>
              <w:spacing w:line="264" w:lineRule="exact"/>
              <w:jc w:val="both"/>
            </w:pPr>
            <w:r>
              <w:t>六、申请中期、长期贷款的，新建项目的企业法人所有者权益与项目所需总投资的比例不低于国家规定的投资项目的资本金比例。</w:t>
            </w:r>
          </w:p>
          <w:p>
            <w:pPr>
              <w:pStyle w:val="23"/>
              <w:spacing w:line="311" w:lineRule="exact"/>
              <w:ind w:firstLine="600"/>
              <w:jc w:val="both"/>
            </w:pPr>
            <w:r>
              <w:t>《期货交易管理条例》</w:t>
            </w:r>
          </w:p>
          <w:p>
            <w:pPr>
              <w:pStyle w:val="23"/>
              <w:spacing w:line="311" w:lineRule="exact"/>
              <w:jc w:val="both"/>
            </w:pPr>
            <w:r>
              <w:t>第十六条</w:t>
            </w:r>
            <w:r>
              <w:rPr>
                <w:rFonts w:hint="eastAsia" w:eastAsiaTheme="minorEastAsia"/>
                <w:lang w:eastAsia="zh-CN"/>
              </w:rPr>
              <w:t xml:space="preserve"> </w:t>
            </w:r>
            <w:r>
              <w:t>申请设立期货公司，应当符合《中华人民共和国公司法》的规定，并具备下列条件：</w:t>
            </w:r>
          </w:p>
          <w:p>
            <w:pPr>
              <w:pStyle w:val="23"/>
              <w:spacing w:line="311" w:lineRule="exact"/>
              <w:jc w:val="both"/>
            </w:pPr>
            <w:r>
              <w:t>（四）主要股东以及实际控制人具有持续盈利能力，信誉良好，最近</w:t>
            </w:r>
            <w:r>
              <w:rPr>
                <w:rFonts w:ascii="Times New Roman" w:hAnsi="Times New Roman" w:eastAsia="Times New Roman" w:cs="Times New Roman"/>
                <w:b/>
                <w:bCs/>
                <w:sz w:val="22"/>
                <w:szCs w:val="22"/>
              </w:rPr>
              <w:t>3</w:t>
            </w:r>
            <w:r>
              <w:t>年无重大违法违规记录。</w:t>
            </w:r>
          </w:p>
          <w:p>
            <w:pPr>
              <w:pStyle w:val="23"/>
              <w:spacing w:line="311" w:lineRule="exact"/>
              <w:ind w:firstLine="600"/>
              <w:jc w:val="both"/>
            </w:pPr>
            <w:r>
              <w:t>《私募投资基金监督管理暂行办法》（证监会令第</w:t>
            </w:r>
            <w:r>
              <w:rPr>
                <w:rFonts w:ascii="Times New Roman" w:hAnsi="Times New Roman" w:eastAsia="Times New Roman" w:cs="Times New Roman"/>
                <w:b/>
                <w:bCs/>
                <w:sz w:val="22"/>
                <w:szCs w:val="22"/>
              </w:rPr>
              <w:t>105</w:t>
            </w:r>
            <w:r>
              <w:t>号）</w:t>
            </w:r>
          </w:p>
          <w:p>
            <w:pPr>
              <w:pStyle w:val="23"/>
              <w:spacing w:line="311" w:lineRule="exact"/>
              <w:jc w:val="both"/>
            </w:pPr>
            <w:r>
              <w:t>第三条 从事私募基金业务，应当遵循自愿、公平、诚实信用原则，维护投资者合法权益，不得损害国家利益和社会公共利益。</w:t>
            </w:r>
          </w:p>
          <w:p>
            <w:pPr>
              <w:pStyle w:val="23"/>
              <w:spacing w:line="311" w:lineRule="exact"/>
              <w:ind w:firstLine="600"/>
              <w:jc w:val="both"/>
            </w:pPr>
            <w:r>
              <w:t>《国务院关于促进市场公平竞争维护市场正常秩序的若干意见》（国发</w:t>
            </w:r>
            <w:r>
              <w:rPr>
                <w:rFonts w:ascii="Times New Roman" w:hAnsi="Times New Roman" w:eastAsia="Times New Roman" w:cs="Times New Roman"/>
                <w:b/>
                <w:bCs/>
                <w:sz w:val="22"/>
                <w:szCs w:val="22"/>
              </w:rPr>
              <w:t>（2014） 20</w:t>
            </w:r>
            <w:r>
              <w:t>号）</w:t>
            </w:r>
          </w:p>
          <w:p>
            <w:pPr>
              <w:pStyle w:val="23"/>
              <w:spacing w:line="311" w:lineRule="exact"/>
              <w:ind w:firstLine="600"/>
              <w:jc w:val="both"/>
            </w:pPr>
            <w:r>
              <w:t>（十五）建立健全守信激励和失信惩戒机制。将市场主体的信用信息作为实施行政管理的重要参考。根据市场主 体信用状况实行分类分级、动态监管，建立健全经营异常名录制度，对违背市场竞争原则和侵犯消费者、劳动者合法 权益的市场主体建立</w:t>
            </w:r>
            <w:r>
              <w:rPr>
                <w:lang w:val="zh-CN" w:eastAsia="zh-CN" w:bidi="zh-CN"/>
              </w:rPr>
              <w:t>“黑</w:t>
            </w:r>
            <w:r>
              <w:t>名单”制度。（工商总局牵头负责）对守信主体予以支持和激励，对失信主体在经营、投融 资、取得政府供应土地、进出口、出入境、注册新公司、工程招投标、政府釆购、获得荣誉、安全许可、生产许可、 从业任职资格、资质审核等方面依法予以限制或禁止，对严重违法失信主体实行市场禁入制度。（各相关市场监管部 门按职责分工分别负责）</w:t>
            </w:r>
          </w:p>
          <w:p>
            <w:pPr>
              <w:pStyle w:val="23"/>
              <w:spacing w:line="280" w:lineRule="exact"/>
              <w:ind w:firstLine="600"/>
              <w:jc w:val="both"/>
            </w:pPr>
            <w:r>
              <w:t>《国务院关于印发社会信用体系建设规划纲要</w:t>
            </w:r>
            <w:r>
              <w:rPr>
                <w:rFonts w:ascii="Times New Roman" w:hAnsi="Times New Roman" w:eastAsia="Times New Roman" w:cs="Times New Roman"/>
                <w:b/>
                <w:bCs/>
                <w:sz w:val="22"/>
                <w:szCs w:val="22"/>
                <w:lang w:val="en-US" w:eastAsia="zh-CN" w:bidi="en-US"/>
              </w:rPr>
              <w:t>（2014-2020</w:t>
            </w:r>
            <w:r>
              <w:t>年）的通知》（国发</w:t>
            </w:r>
            <w:r>
              <w:rPr>
                <w:rFonts w:ascii="Times New Roman" w:hAnsi="Times New Roman" w:eastAsia="Times New Roman" w:cs="Times New Roman"/>
                <w:b/>
                <w:bCs/>
                <w:sz w:val="22"/>
                <w:szCs w:val="22"/>
              </w:rPr>
              <w:t>（2014） 21</w:t>
            </w:r>
            <w:r>
              <w:t>号）</w:t>
            </w:r>
          </w:p>
          <w:p>
            <w:pPr>
              <w:pStyle w:val="23"/>
              <w:spacing w:line="280" w:lineRule="exact"/>
              <w:jc w:val="both"/>
            </w:pPr>
            <w:r>
              <w:t>五、完善以奖惩制度为重点的社会信用体系运行机制</w:t>
            </w:r>
          </w:p>
          <w:p>
            <w:pPr>
              <w:pStyle w:val="23"/>
              <w:spacing w:line="280" w:lineRule="exact"/>
              <w:jc w:val="both"/>
            </w:pPr>
            <w:r>
              <w:t>运行机制是保障社会信用体系各系统协调运行的制度基础。其中，守信激励和失信惩戒机制直接作用于各个社会主体信用行为，是社会信用体系运行的核心机制。</w:t>
            </w:r>
          </w:p>
          <w:p>
            <w:pPr>
              <w:pStyle w:val="23"/>
              <w:spacing w:line="280" w:lineRule="exact"/>
              <w:ind w:firstLine="600"/>
              <w:jc w:val="both"/>
            </w:pPr>
            <w:r>
              <w:t>（一）构建守信激励和失信惩戒机制。</w:t>
            </w:r>
          </w:p>
          <w:p>
            <w:pPr>
              <w:pStyle w:val="23"/>
              <w:spacing w:line="280" w:lineRule="exact"/>
              <w:jc w:val="both"/>
            </w:pPr>
            <w:r>
              <w:t>加强对守信主体的奖励和激励。加大对守信行为的表彰和宣传力度。按规定对诚信企业和模范个人给予表彰，通过新闻媒体广泛宣传，营造守信光荣的舆论氛围。发展改革、财政、金融、环境保护、住房城乡建设、交通运输、商务、工商、税务、质检、安全监管、海关、知识产权等部门，在市场监管和公共服务过程中，要深化信用信息和信用</w:t>
            </w:r>
          </w:p>
        </w:tc>
        <w:tc>
          <w:tcPr>
            <w:tcW w:w="1950"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lang w:eastAsia="zh-CN"/>
              </w:rPr>
            </w:pPr>
          </w:p>
        </w:tc>
      </w:tr>
    </w:tbl>
    <w:p>
      <w:pPr>
        <w:spacing w:line="1" w:lineRule="exact"/>
        <w:rPr>
          <w:sz w:val="2"/>
          <w:szCs w:val="2"/>
          <w:lang w:eastAsia="zh-CN"/>
        </w:rPr>
      </w:pPr>
      <w:r>
        <w:rPr>
          <w:lang w:eastAsia="zh-CN"/>
        </w:rPr>
        <w:br w:type="page"/>
      </w:r>
    </w:p>
    <w:tbl>
      <w:tblPr>
        <w:tblStyle w:val="6"/>
        <w:tblW w:w="0" w:type="auto"/>
        <w:jc w:val="center"/>
        <w:tblLayout w:type="fixed"/>
        <w:tblCellMar>
          <w:top w:w="0" w:type="dxa"/>
          <w:left w:w="10" w:type="dxa"/>
          <w:bottom w:w="0" w:type="dxa"/>
          <w:right w:w="10" w:type="dxa"/>
        </w:tblCellMar>
      </w:tblPr>
      <w:tblGrid>
        <w:gridCol w:w="2088"/>
        <w:gridCol w:w="11058"/>
        <w:gridCol w:w="1920"/>
      </w:tblGrid>
      <w:tr>
        <w:tblPrEx>
          <w:tblCellMar>
            <w:top w:w="0" w:type="dxa"/>
            <w:left w:w="10" w:type="dxa"/>
            <w:bottom w:w="0" w:type="dxa"/>
            <w:right w:w="10" w:type="dxa"/>
          </w:tblCellMar>
        </w:tblPrEx>
        <w:trPr>
          <w:trHeight w:val="402" w:hRule="exact"/>
          <w:jc w:val="center"/>
        </w:trPr>
        <w:tc>
          <w:tcPr>
            <w:tcW w:w="2088" w:type="dxa"/>
            <w:tcBorders>
              <w:top w:val="single" w:color="auto" w:sz="4" w:space="0"/>
              <w:left w:val="single" w:color="auto" w:sz="4" w:space="0"/>
            </w:tcBorders>
            <w:shd w:val="clear" w:color="auto" w:fill="FFFFFF"/>
            <w:vAlign w:val="bottom"/>
          </w:tcPr>
          <w:p>
            <w:pPr>
              <w:pStyle w:val="23"/>
              <w:spacing w:line="240" w:lineRule="auto"/>
              <w:ind w:firstLine="0"/>
              <w:jc w:val="center"/>
            </w:pPr>
            <w:r>
              <w:t>惩戒措施</w:t>
            </w:r>
          </w:p>
        </w:tc>
        <w:tc>
          <w:tcPr>
            <w:tcW w:w="11058" w:type="dxa"/>
            <w:tcBorders>
              <w:top w:val="single" w:color="auto" w:sz="4" w:space="0"/>
              <w:left w:val="single" w:color="auto" w:sz="4" w:space="0"/>
            </w:tcBorders>
            <w:shd w:val="clear" w:color="auto" w:fill="FFFFFF"/>
            <w:vAlign w:val="bottom"/>
          </w:tcPr>
          <w:p>
            <w:pPr>
              <w:pStyle w:val="23"/>
              <w:spacing w:line="240" w:lineRule="auto"/>
              <w:ind w:firstLine="0"/>
              <w:jc w:val="center"/>
            </w:pPr>
            <w:r>
              <w:t>法律及政策依据</w:t>
            </w:r>
          </w:p>
        </w:tc>
        <w:tc>
          <w:tcPr>
            <w:tcW w:w="1920" w:type="dxa"/>
            <w:tcBorders>
              <w:top w:val="single" w:color="auto" w:sz="4" w:space="0"/>
              <w:left w:val="single" w:color="auto" w:sz="4" w:space="0"/>
              <w:right w:val="single" w:color="auto" w:sz="4" w:space="0"/>
            </w:tcBorders>
            <w:shd w:val="clear" w:color="auto" w:fill="FFFFFF"/>
            <w:vAlign w:val="bottom"/>
          </w:tcPr>
          <w:p>
            <w:pPr>
              <w:pStyle w:val="23"/>
              <w:spacing w:line="240" w:lineRule="auto"/>
              <w:ind w:firstLine="0"/>
              <w:jc w:val="center"/>
            </w:pPr>
            <w:r>
              <w:t>实施单位</w:t>
            </w:r>
          </w:p>
        </w:tc>
      </w:tr>
      <w:tr>
        <w:tblPrEx>
          <w:tblCellMar>
            <w:top w:w="0" w:type="dxa"/>
            <w:left w:w="10" w:type="dxa"/>
            <w:bottom w:w="0" w:type="dxa"/>
            <w:right w:w="10" w:type="dxa"/>
          </w:tblCellMar>
        </w:tblPrEx>
        <w:trPr>
          <w:trHeight w:val="6894" w:hRule="exact"/>
          <w:jc w:val="center"/>
        </w:trPr>
        <w:tc>
          <w:tcPr>
            <w:tcW w:w="2088" w:type="dxa"/>
            <w:tcBorders>
              <w:top w:val="single" w:color="auto" w:sz="4" w:space="0"/>
              <w:left w:val="single" w:color="auto" w:sz="4" w:space="0"/>
              <w:bottom w:val="single" w:color="auto" w:sz="4" w:space="0"/>
            </w:tcBorders>
            <w:shd w:val="clear" w:color="auto" w:fill="FFFFFF"/>
          </w:tcPr>
          <w:p>
            <w:pPr>
              <w:rPr>
                <w:sz w:val="10"/>
                <w:szCs w:val="10"/>
              </w:rPr>
            </w:pPr>
          </w:p>
        </w:tc>
        <w:tc>
          <w:tcPr>
            <w:tcW w:w="11058" w:type="dxa"/>
            <w:tcBorders>
              <w:top w:val="single" w:color="auto" w:sz="4" w:space="0"/>
              <w:left w:val="single" w:color="auto" w:sz="4" w:space="0"/>
              <w:bottom w:val="single" w:color="auto" w:sz="4" w:space="0"/>
            </w:tcBorders>
            <w:shd w:val="clear" w:color="auto" w:fill="FFFFFF"/>
          </w:tcPr>
          <w:p>
            <w:pPr>
              <w:pStyle w:val="23"/>
              <w:spacing w:line="271" w:lineRule="exact"/>
              <w:ind w:firstLine="0"/>
              <w:jc w:val="both"/>
            </w:pPr>
            <w:r>
              <w:t>产品的应用，对诚实守信者实行优先办理、简化程序等</w:t>
            </w:r>
            <w:r>
              <w:rPr>
                <w:lang w:val="zh-CN" w:eastAsia="zh-CN" w:bidi="zh-CN"/>
              </w:rPr>
              <w:t>“绿色</w:t>
            </w:r>
            <w:r>
              <w:t>通道”支持激励政策。</w:t>
            </w:r>
          </w:p>
          <w:p>
            <w:pPr>
              <w:pStyle w:val="23"/>
              <w:spacing w:line="271" w:lineRule="exact"/>
              <w:ind w:firstLine="520"/>
              <w:jc w:val="both"/>
            </w:pPr>
            <w:r>
              <w:t>加强对失信主体的约束和惩戒。强化行政监管性约束和惩戒。在现有行政处罚措施的基础上，健全失信惩戒制度， 建立各行业黑名单制度和市场退出机制。推动各级人民政府在市场监管和公共服务的市场准入、资质认定、行政审批、 政策扶持等方面实施信用分类监管，结合监管对象的失信类别和程度，使失信者受到惩戒。逐步建立行政许可申请人 信用承诺制度，并开展申请人信用审查，确保申请人在政府推荐的征信机构中有信用记录，配合征信机构开展信用信 息釆集工作。推动形成市场性约束和惩戒。制定信用基准性评价指标体系和评价方法，完善失信信息记录和披露制度， 使失信者在市场交易中受到制约。推动形成行业性约束和惩戒。通过行业协会制定行业自律规则并监督会员遵守。对 违规的失信者，按照情节轻重，对机构会员和个人会员实行警告、行业内通报批评、公开谴责等惩戒措施。推动形成 社会性约束和惩戒。完善社会舆论监督机制，加强对失信行为的披露和曝光，发挥群众评议讨论、批评报道等作用， 通过社会的道德谴责，形成社会震慑力，约束社会成员的失信行为。</w:t>
            </w:r>
          </w:p>
          <w:p>
            <w:pPr>
              <w:pStyle w:val="23"/>
              <w:spacing w:line="271" w:lineRule="exact"/>
              <w:ind w:firstLine="520"/>
              <w:jc w:val="both"/>
            </w:pPr>
            <w:r>
              <w:t>建立失信行为有奖举报制度。切实落实对举报人的奖励，保护举报人的合法权益。</w:t>
            </w:r>
          </w:p>
          <w:p>
            <w:pPr>
              <w:pStyle w:val="23"/>
              <w:spacing w:line="271" w:lineRule="exact"/>
              <w:ind w:firstLine="520"/>
              <w:jc w:val="both"/>
            </w:pPr>
            <w:r>
              <w:t>建立多部门、跨地区信用联合奖惩机制。通过信用信息交换共享，实现多部门、跨地区信用奖惩联动，使守信者处处受益、失信者寸步难行。</w:t>
            </w:r>
          </w:p>
          <w:p>
            <w:pPr>
              <w:pStyle w:val="23"/>
              <w:spacing w:line="271" w:lineRule="exact"/>
              <w:ind w:firstLine="620"/>
              <w:jc w:val="both"/>
            </w:pPr>
            <w:r>
              <w:t>《统计违法违纪行为处分规定》（监察部、人力资源和社会保障部、国家统计局令第</w:t>
            </w:r>
            <w:r>
              <w:rPr>
                <w:rFonts w:ascii="Times New Roman" w:hAnsi="Times New Roman" w:eastAsia="Times New Roman" w:cs="Times New Roman"/>
                <w:b/>
                <w:bCs/>
                <w:sz w:val="22"/>
                <w:szCs w:val="22"/>
              </w:rPr>
              <w:t>18</w:t>
            </w:r>
            <w:r>
              <w:t>号）</w:t>
            </w:r>
          </w:p>
          <w:p>
            <w:pPr>
              <w:pStyle w:val="23"/>
              <w:spacing w:line="324" w:lineRule="exact"/>
              <w:ind w:firstLine="520"/>
              <w:jc w:val="both"/>
            </w:pPr>
            <w:r>
              <w:t>第二条</w:t>
            </w:r>
            <w:r>
              <w:rPr>
                <w:rFonts w:hint="eastAsia" w:eastAsiaTheme="minorEastAsia"/>
                <w:lang w:eastAsia="zh-CN"/>
              </w:rPr>
              <w:t xml:space="preserve"> </w:t>
            </w:r>
            <w:r>
              <w:t>有统计违法违纪行为的单位中负有责任的领导人员和直接责任人员，以及有统计违法违纪行为的个人， 应当承担纪律责任。属于下列人员的（以下统称有关责任人员），由任免机关或者监察机关按照管理权限依法给予处 分：</w:t>
            </w:r>
          </w:p>
          <w:p>
            <w:pPr>
              <w:pStyle w:val="23"/>
              <w:tabs>
                <w:tab w:val="left" w:pos="1148"/>
              </w:tabs>
              <w:spacing w:line="324" w:lineRule="exact"/>
              <w:ind w:firstLine="620"/>
              <w:jc w:val="both"/>
            </w:pPr>
            <w:r>
              <w:t>（一）</w:t>
            </w:r>
            <w:r>
              <w:tab/>
            </w:r>
            <w:r>
              <w:t>行政机关公务员；</w:t>
            </w:r>
          </w:p>
          <w:p>
            <w:pPr>
              <w:pStyle w:val="23"/>
              <w:tabs>
                <w:tab w:val="left" w:pos="1032"/>
              </w:tabs>
              <w:spacing w:line="324" w:lineRule="exact"/>
              <w:ind w:firstLine="620"/>
              <w:jc w:val="both"/>
            </w:pPr>
            <w:r>
              <w:t>（二）</w:t>
            </w:r>
            <w:r>
              <w:tab/>
            </w:r>
            <w:r>
              <w:t>法律、法规授权的具有公共事务管理职能的事业单位中经批准参照《中华人民共和国公务员法》管理的工作人员；</w:t>
            </w:r>
          </w:p>
          <w:p>
            <w:pPr>
              <w:pStyle w:val="23"/>
              <w:tabs>
                <w:tab w:val="left" w:pos="1142"/>
              </w:tabs>
              <w:spacing w:line="271" w:lineRule="exact"/>
              <w:ind w:firstLine="620"/>
              <w:jc w:val="both"/>
            </w:pPr>
            <w:r>
              <w:t>（三）</w:t>
            </w:r>
            <w:r>
              <w:tab/>
            </w:r>
            <w:r>
              <w:t>行政机关依法委托的组织中除工勤人员以外的工作人员；</w:t>
            </w:r>
          </w:p>
          <w:p>
            <w:pPr>
              <w:pStyle w:val="23"/>
              <w:tabs>
                <w:tab w:val="left" w:pos="1142"/>
              </w:tabs>
              <w:spacing w:line="276" w:lineRule="exact"/>
              <w:ind w:firstLine="620"/>
              <w:jc w:val="both"/>
            </w:pPr>
            <w:r>
              <w:t>（四）</w:t>
            </w:r>
            <w:r>
              <w:tab/>
            </w:r>
            <w:r>
              <w:t>企业、事业单位、社会团体中由行政机关任命的人员。</w:t>
            </w:r>
          </w:p>
          <w:p>
            <w:pPr>
              <w:pStyle w:val="23"/>
              <w:spacing w:line="276" w:lineRule="exact"/>
              <w:ind w:firstLine="620" w:firstLineChars="310"/>
              <w:jc w:val="both"/>
            </w:pPr>
            <w:r>
              <w:t>法律、行政法规、国务院决定和国务院监察机关、国务院人力资源社会保障部门制定的处分规章对统计违法违纪 行为的处分另有规定的，从其规定。</w:t>
            </w:r>
          </w:p>
        </w:tc>
        <w:tc>
          <w:tcPr>
            <w:tcW w:w="1920"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lang w:eastAsia="zh-CN"/>
              </w:rPr>
            </w:pPr>
          </w:p>
        </w:tc>
      </w:tr>
    </w:tbl>
    <w:p>
      <w:pPr>
        <w:rPr>
          <w:rFonts w:eastAsiaTheme="minorEastAsia"/>
          <w:lang w:eastAsia="zh-CN"/>
        </w:rPr>
        <w:sectPr>
          <w:footerReference r:id="rId13" w:type="default"/>
          <w:footerReference r:id="rId14" w:type="even"/>
          <w:pgSz w:w="16840" w:h="11900" w:orient="landscape"/>
          <w:pgMar w:top="1814" w:right="1154" w:bottom="1546" w:left="536" w:header="1386" w:footer="3" w:gutter="0"/>
          <w:cols w:space="720" w:num="1"/>
          <w:docGrid w:linePitch="360" w:charSpace="0"/>
        </w:sectPr>
      </w:pPr>
    </w:p>
    <w:p>
      <w:pPr>
        <w:jc w:val="both"/>
        <w:rPr>
          <w:rFonts w:eastAsiaTheme="minorEastAsia"/>
          <w:sz w:val="2"/>
          <w:szCs w:val="2"/>
          <w:lang w:eastAsia="zh-CN"/>
        </w:rPr>
      </w:pPr>
    </w:p>
    <w:sectPr>
      <w:footerReference r:id="rId15" w:type="default"/>
      <w:footerReference r:id="rId16" w:type="even"/>
      <w:pgSz w:w="11900" w:h="16840"/>
      <w:pgMar w:top="15760" w:right="1784" w:bottom="52" w:left="8171" w:header="15332" w:footer="3" w:gutter="0"/>
      <w:pgNumType w:start="35"/>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314571776" behindDoc="1" locked="0" layoutInCell="1" allowOverlap="1">
              <wp:simplePos x="0" y="0"/>
              <wp:positionH relativeFrom="page">
                <wp:posOffset>3801745</wp:posOffset>
              </wp:positionH>
              <wp:positionV relativeFrom="page">
                <wp:posOffset>10292715</wp:posOffset>
              </wp:positionV>
              <wp:extent cx="53340" cy="83820"/>
              <wp:effectExtent l="0" t="0" r="0" b="0"/>
              <wp:wrapNone/>
              <wp:docPr id="9" name="文本框 2"/>
              <wp:cNvGraphicFramePr/>
              <a:graphic xmlns:a="http://schemas.openxmlformats.org/drawingml/2006/main">
                <a:graphicData uri="http://schemas.microsoft.com/office/word/2010/wordprocessingShape">
                  <wps:wsp>
                    <wps:cNvSpPr txBox="1"/>
                    <wps:spPr>
                      <a:xfrm>
                        <a:off x="0" y="0"/>
                        <a:ext cx="53340" cy="83820"/>
                      </a:xfrm>
                      <a:prstGeom prst="rect">
                        <a:avLst/>
                      </a:prstGeom>
                      <a:noFill/>
                      <a:ln>
                        <a:noFill/>
                      </a:ln>
                      <a:effectLst/>
                    </wps:spPr>
                    <wps:txbx>
                      <w:txbxContent>
                        <w:p>
                          <w:pPr>
                            <w:pStyle w:val="17"/>
                            <w:rPr>
                              <w:sz w:val="18"/>
                              <w:szCs w:val="18"/>
                            </w:rPr>
                          </w:pPr>
                          <w:r>
                            <w:fldChar w:fldCharType="begin"/>
                          </w:r>
                          <w:r>
                            <w:instrText xml:space="preserve"> PAGE \* MERGEFORMAT </w:instrText>
                          </w:r>
                          <w:r>
                            <w:fldChar w:fldCharType="separate"/>
                          </w:r>
                          <w:r>
                            <w:rPr>
                              <w:b/>
                              <w:bCs/>
                              <w:sz w:val="18"/>
                              <w:szCs w:val="18"/>
                            </w:rPr>
                            <w:t>5</w:t>
                          </w:r>
                          <w:r>
                            <w:rPr>
                              <w:b/>
                              <w:bCs/>
                              <w:sz w:val="18"/>
                              <w:szCs w:val="18"/>
                            </w:rPr>
                            <w:fldChar w:fldCharType="end"/>
                          </w:r>
                        </w:p>
                      </w:txbxContent>
                    </wps:txbx>
                    <wps:bodyPr vert="horz" wrap="none" lIns="0" tIns="0" rIns="0" bIns="0" anchor="t" upright="1">
                      <a:spAutoFit/>
                    </wps:bodyPr>
                  </wps:wsp>
                </a:graphicData>
              </a:graphic>
            </wp:anchor>
          </w:drawing>
        </mc:Choice>
        <mc:Fallback>
          <w:pict>
            <v:shape id="文本框 2" o:spid="_x0000_s1026" o:spt="202" type="#_x0000_t202" style="position:absolute;left:0pt;margin-left:299.35pt;margin-top:810.45pt;height:6.6pt;width:4.2pt;mso-position-horizontal-relative:page;mso-position-vertical-relative:page;mso-wrap-style:none;z-index:-188744704;mso-width-relative:page;mso-height-relative:page;" filled="f" stroked="f" coordsize="21600,21600" o:gfxdata="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M0lmfYAAAADQEAAA8AAAAAAAAAAQAgAAAAIgAAAGRycy9kb3du&#10;cmV2LnhtbFBLAQIUABQAAAAIAIdO4kA/ahPPxgEAAGwDAAAOAAAAAAAAAAEAIAAAACcBAABkcnMv&#10;ZTJvRG9jLnhtbFBLBQYAAAAABgAGAFkBAABfBQAAAAA=&#10;">
              <v:fill on="f" focussize="0,0"/>
              <v:stroke on="f"/>
              <v:imagedata o:title=""/>
              <o:lock v:ext="edit" aspectratio="f"/>
              <v:textbox inset="0mm,0mm,0mm,0mm" style="mso-fit-shape-to-text:t;">
                <w:txbxContent>
                  <w:p>
                    <w:pPr>
                      <w:pStyle w:val="17"/>
                      <w:rPr>
                        <w:sz w:val="18"/>
                        <w:szCs w:val="18"/>
                      </w:rPr>
                    </w:pPr>
                    <w:r>
                      <w:fldChar w:fldCharType="begin"/>
                    </w:r>
                    <w:r>
                      <w:instrText xml:space="preserve"> PAGE \* MERGEFORMAT </w:instrText>
                    </w:r>
                    <w:r>
                      <w:fldChar w:fldCharType="separate"/>
                    </w:r>
                    <w:r>
                      <w:rPr>
                        <w:b/>
                        <w:bCs/>
                        <w:sz w:val="18"/>
                        <w:szCs w:val="18"/>
                      </w:rPr>
                      <w:t>5</w:t>
                    </w:r>
                    <w:r>
                      <w:rPr>
                        <w:b/>
                        <w:bCs/>
                        <w:sz w:val="18"/>
                        <w:szCs w:val="1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314571776" behindDoc="1" locked="0" layoutInCell="1" allowOverlap="1">
              <wp:simplePos x="0" y="0"/>
              <wp:positionH relativeFrom="page">
                <wp:posOffset>5059045</wp:posOffset>
              </wp:positionH>
              <wp:positionV relativeFrom="page">
                <wp:posOffset>6786880</wp:posOffset>
              </wp:positionV>
              <wp:extent cx="114300" cy="83820"/>
              <wp:effectExtent l="0" t="0" r="0" b="0"/>
              <wp:wrapNone/>
              <wp:docPr id="7" name="文本框 53"/>
              <wp:cNvGraphicFramePr/>
              <a:graphic xmlns:a="http://schemas.openxmlformats.org/drawingml/2006/main">
                <a:graphicData uri="http://schemas.microsoft.com/office/word/2010/wordprocessingShape">
                  <wps:wsp>
                    <wps:cNvSpPr txBox="1"/>
                    <wps:spPr>
                      <a:xfrm>
                        <a:off x="0" y="0"/>
                        <a:ext cx="114300" cy="83820"/>
                      </a:xfrm>
                      <a:prstGeom prst="rect">
                        <a:avLst/>
                      </a:prstGeom>
                      <a:noFill/>
                      <a:ln>
                        <a:noFill/>
                      </a:ln>
                    </wps:spPr>
                    <wps:txbx>
                      <w:txbxContent>
                        <w:p>
                          <w:pPr>
                            <w:pStyle w:val="25"/>
                          </w:pPr>
                          <w:r>
                            <w:fldChar w:fldCharType="begin"/>
                          </w:r>
                          <w:r>
                            <w:instrText xml:space="preserve"> PAGE \* MERGEFORMAT </w:instrText>
                          </w:r>
                          <w:r>
                            <w:fldChar w:fldCharType="separate"/>
                          </w:r>
                          <w:r>
                            <w:t>30</w:t>
                          </w:r>
                          <w:r>
                            <w:fldChar w:fldCharType="end"/>
                          </w:r>
                        </w:p>
                      </w:txbxContent>
                    </wps:txbx>
                    <wps:bodyPr wrap="none" lIns="0" tIns="0" rIns="0" bIns="0" upright="1">
                      <a:spAutoFit/>
                    </wps:bodyPr>
                  </wps:wsp>
                </a:graphicData>
              </a:graphic>
            </wp:anchor>
          </w:drawing>
        </mc:Choice>
        <mc:Fallback>
          <w:pict>
            <v:shape id="文本框 53" o:spid="_x0000_s1026" o:spt="202" type="#_x0000_t202" style="position:absolute;left:0pt;margin-left:398.35pt;margin-top:534.4pt;height:6.6pt;width:9pt;mso-position-horizontal-relative:page;mso-position-vertical-relative:page;mso-wrap-style:none;z-index:-188744704;mso-width-relative:page;mso-height-relative:page;" filled="f" stroked="f" coordsize="21600,21600" o:gfxdata="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Ik&#10;30vWAAAADQEAAA8AAAAAAAAAAQAgAAAAIgAAAGRycy9kb3ducmV2LnhtbFBLAQIUABQAAAAIAIdO&#10;4kBuN2p/swEAAEkDAAAOAAAAAAAAAAEAIAAAACUBAABkcnMvZTJvRG9jLnhtbFBLBQYAAAAABgAG&#10;AFkBAABKBQ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314571776" behindDoc="1" locked="0" layoutInCell="1" allowOverlap="1">
              <wp:simplePos x="0" y="0"/>
              <wp:positionH relativeFrom="page">
                <wp:posOffset>3801745</wp:posOffset>
              </wp:positionH>
              <wp:positionV relativeFrom="page">
                <wp:posOffset>10292715</wp:posOffset>
              </wp:positionV>
              <wp:extent cx="53340" cy="8382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53340" cy="83820"/>
                      </a:xfrm>
                      <a:prstGeom prst="rect">
                        <a:avLst/>
                      </a:prstGeom>
                      <a:noFill/>
                      <a:ln>
                        <a:noFill/>
                      </a:ln>
                      <a:effectLst/>
                    </wps:spPr>
                    <wps:txbx>
                      <w:txbxContent>
                        <w:p>
                          <w:pPr>
                            <w:pStyle w:val="17"/>
                            <w:rPr>
                              <w:sz w:val="18"/>
                              <w:szCs w:val="18"/>
                            </w:rPr>
                          </w:pPr>
                          <w:r>
                            <w:fldChar w:fldCharType="begin"/>
                          </w:r>
                          <w:r>
                            <w:instrText xml:space="preserve"> PAGE \* MERGEFORMAT </w:instrText>
                          </w:r>
                          <w:r>
                            <w:fldChar w:fldCharType="separate"/>
                          </w:r>
                          <w:r>
                            <w:rPr>
                              <w:b/>
                              <w:bCs/>
                              <w:sz w:val="18"/>
                              <w:szCs w:val="18"/>
                            </w:rPr>
                            <w:t>6</w:t>
                          </w:r>
                          <w:r>
                            <w:rPr>
                              <w:b/>
                              <w:bCs/>
                              <w:sz w:val="18"/>
                              <w:szCs w:val="18"/>
                            </w:rPr>
                            <w:fldChar w:fldCharType="end"/>
                          </w:r>
                        </w:p>
                      </w:txbxContent>
                    </wps:txbx>
                    <wps:bodyPr vert="horz" wrap="none" lIns="0" tIns="0" rIns="0" bIns="0" anchor="t" upright="1">
                      <a:spAutoFit/>
                    </wps:bodyPr>
                  </wps:wsp>
                </a:graphicData>
              </a:graphic>
            </wp:anchor>
          </w:drawing>
        </mc:Choice>
        <mc:Fallback>
          <w:pict>
            <v:shape id="文本框 1" o:spid="_x0000_s1026" o:spt="202" type="#_x0000_t202" style="position:absolute;left:0pt;margin-left:299.35pt;margin-top:810.45pt;height:6.6pt;width:4.2pt;mso-position-horizontal-relative:page;mso-position-vertical-relative:page;mso-wrap-style:none;z-index:-188744704;mso-width-relative:page;mso-height-relative:page;" filled="f" stroked="f" coordsize="21600,21600" o:gfxdata="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zSWZ9gAAAANAQAADwAAAAAAAAABACAAAAAiAAAAZHJzL2Rvd25y&#10;ZXYueG1sUEsBAhQAFAAAAAgAh07iQLDdCX3FAQAAbQMAAA4AAAAAAAAAAQAgAAAAJwEAAGRycy9l&#10;Mm9Eb2MueG1sUEsFBgAAAAAGAAYAWQEAAF4FAAAAAA==&#10;">
              <v:fill on="f" focussize="0,0"/>
              <v:stroke on="f"/>
              <v:imagedata o:title=""/>
              <o:lock v:ext="edit" aspectratio="f"/>
              <v:textbox inset="0mm,0mm,0mm,0mm" style="mso-fit-shape-to-text:t;">
                <w:txbxContent>
                  <w:p>
                    <w:pPr>
                      <w:pStyle w:val="17"/>
                      <w:rPr>
                        <w:sz w:val="18"/>
                        <w:szCs w:val="18"/>
                      </w:rPr>
                    </w:pPr>
                    <w:r>
                      <w:fldChar w:fldCharType="begin"/>
                    </w:r>
                    <w:r>
                      <w:instrText xml:space="preserve"> PAGE \* MERGEFORMAT </w:instrText>
                    </w:r>
                    <w:r>
                      <w:fldChar w:fldCharType="separate"/>
                    </w:r>
                    <w:r>
                      <w:rPr>
                        <w:b/>
                        <w:bCs/>
                        <w:sz w:val="18"/>
                        <w:szCs w:val="18"/>
                      </w:rPr>
                      <w:t>6</w:t>
                    </w:r>
                    <w:r>
                      <w:rPr>
                        <w:b/>
                        <w:bCs/>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314571776" behindDoc="1" locked="0" layoutInCell="1" allowOverlap="1">
              <wp:simplePos x="0" y="0"/>
              <wp:positionH relativeFrom="page">
                <wp:posOffset>5086350</wp:posOffset>
              </wp:positionH>
              <wp:positionV relativeFrom="page">
                <wp:posOffset>6758940</wp:posOffset>
              </wp:positionV>
              <wp:extent cx="57150" cy="80010"/>
              <wp:effectExtent l="0" t="0" r="0" b="0"/>
              <wp:wrapNone/>
              <wp:docPr id="2" name="文本框 39"/>
              <wp:cNvGraphicFramePr/>
              <a:graphic xmlns:a="http://schemas.openxmlformats.org/drawingml/2006/main">
                <a:graphicData uri="http://schemas.microsoft.com/office/word/2010/wordprocessingShape">
                  <wps:wsp>
                    <wps:cNvSpPr txBox="1"/>
                    <wps:spPr>
                      <a:xfrm>
                        <a:off x="0" y="0"/>
                        <a:ext cx="57150" cy="80010"/>
                      </a:xfrm>
                      <a:prstGeom prst="rect">
                        <a:avLst/>
                      </a:prstGeom>
                      <a:noFill/>
                      <a:ln>
                        <a:noFill/>
                      </a:ln>
                    </wps:spPr>
                    <wps:txbx>
                      <w:txbxContent>
                        <w:p>
                          <w:pPr>
                            <w:pStyle w:val="17"/>
                            <w:rPr>
                              <w:sz w:val="18"/>
                              <w:szCs w:val="18"/>
                            </w:rPr>
                          </w:pPr>
                          <w:r>
                            <w:fldChar w:fldCharType="begin"/>
                          </w:r>
                          <w:r>
                            <w:instrText xml:space="preserve"> PAGE \* MERGEFORMAT </w:instrText>
                          </w:r>
                          <w:r>
                            <w:fldChar w:fldCharType="separate"/>
                          </w:r>
                          <w:r>
                            <w:rPr>
                              <w:b/>
                              <w:bCs/>
                              <w:sz w:val="18"/>
                              <w:szCs w:val="18"/>
                              <w:lang w:val="zh-CN" w:eastAsia="zh-CN" w:bidi="zh-CN"/>
                            </w:rPr>
                            <w:t>9</w:t>
                          </w:r>
                          <w:r>
                            <w:rPr>
                              <w:b/>
                              <w:bCs/>
                              <w:sz w:val="18"/>
                              <w:szCs w:val="18"/>
                              <w:lang w:val="zh-CN" w:eastAsia="zh-CN" w:bidi="zh-CN"/>
                            </w:rPr>
                            <w:fldChar w:fldCharType="end"/>
                          </w:r>
                        </w:p>
                      </w:txbxContent>
                    </wps:txbx>
                    <wps:bodyPr wrap="none" lIns="0" tIns="0" rIns="0" bIns="0" upright="1">
                      <a:spAutoFit/>
                    </wps:bodyPr>
                  </wps:wsp>
                </a:graphicData>
              </a:graphic>
            </wp:anchor>
          </w:drawing>
        </mc:Choice>
        <mc:Fallback>
          <w:pict>
            <v:shape id="文本框 39" o:spid="_x0000_s1026" o:spt="202" type="#_x0000_t202" style="position:absolute;left:0pt;margin-left:400.5pt;margin-top:532.2pt;height:6.3pt;width:4.5pt;mso-position-horizontal-relative:page;mso-position-vertical-relative:page;mso-wrap-style:none;z-index:-188744704;mso-width-relative:page;mso-height-relative:page;" filled="f" stroked="f" coordsize="21600,21600" o:gfxdata="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lFz&#10;E9YAAAANAQAADwAAAAAAAAABACAAAAAiAAAAZHJzL2Rvd25yZXYueG1sUEsBAhQAFAAAAAgAh07i&#10;QIWjYlyyAQAASAMAAA4AAAAAAAAAAQAgAAAAJQEAAGRycy9lMm9Eb2MueG1sUEsFBgAAAAAGAAYA&#10;WQEAAEkFAAAAAA==&#10;">
              <v:fill on="f" focussize="0,0"/>
              <v:stroke on="f"/>
              <v:imagedata o:title=""/>
              <o:lock v:ext="edit" aspectratio="f"/>
              <v:textbox inset="0mm,0mm,0mm,0mm" style="mso-fit-shape-to-text:t;">
                <w:txbxContent>
                  <w:p>
                    <w:pPr>
                      <w:pStyle w:val="17"/>
                      <w:rPr>
                        <w:sz w:val="18"/>
                        <w:szCs w:val="18"/>
                      </w:rPr>
                    </w:pPr>
                    <w:r>
                      <w:fldChar w:fldCharType="begin"/>
                    </w:r>
                    <w:r>
                      <w:instrText xml:space="preserve"> PAGE \* MERGEFORMAT </w:instrText>
                    </w:r>
                    <w:r>
                      <w:fldChar w:fldCharType="separate"/>
                    </w:r>
                    <w:r>
                      <w:rPr>
                        <w:b/>
                        <w:bCs/>
                        <w:sz w:val="18"/>
                        <w:szCs w:val="18"/>
                        <w:lang w:val="zh-CN" w:eastAsia="zh-CN" w:bidi="zh-CN"/>
                      </w:rPr>
                      <w:t>9</w:t>
                    </w:r>
                    <w:r>
                      <w:rPr>
                        <w:b/>
                        <w:bCs/>
                        <w:sz w:val="18"/>
                        <w:szCs w:val="18"/>
                        <w:lang w:val="zh-CN" w:eastAsia="zh-CN" w:bidi="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314571776" behindDoc="1" locked="0" layoutInCell="1" allowOverlap="1">
              <wp:simplePos x="0" y="0"/>
              <wp:positionH relativeFrom="page">
                <wp:posOffset>5061585</wp:posOffset>
              </wp:positionH>
              <wp:positionV relativeFrom="page">
                <wp:posOffset>6758940</wp:posOffset>
              </wp:positionV>
              <wp:extent cx="102870" cy="80010"/>
              <wp:effectExtent l="0" t="0" r="0" b="0"/>
              <wp:wrapNone/>
              <wp:docPr id="1" name="文本框 41"/>
              <wp:cNvGraphicFramePr/>
              <a:graphic xmlns:a="http://schemas.openxmlformats.org/drawingml/2006/main">
                <a:graphicData uri="http://schemas.microsoft.com/office/word/2010/wordprocessingShape">
                  <wps:wsp>
                    <wps:cNvSpPr txBox="1"/>
                    <wps:spPr>
                      <a:xfrm>
                        <a:off x="0" y="0"/>
                        <a:ext cx="102870" cy="80010"/>
                      </a:xfrm>
                      <a:prstGeom prst="rect">
                        <a:avLst/>
                      </a:prstGeom>
                      <a:noFill/>
                      <a:ln>
                        <a:noFill/>
                      </a:ln>
                    </wps:spPr>
                    <wps:txbx>
                      <w:txbxContent>
                        <w:p>
                          <w:pPr>
                            <w:pStyle w:val="17"/>
                            <w:rPr>
                              <w:sz w:val="18"/>
                              <w:szCs w:val="18"/>
                            </w:rPr>
                          </w:pPr>
                          <w:r>
                            <w:fldChar w:fldCharType="begin"/>
                          </w:r>
                          <w:r>
                            <w:instrText xml:space="preserve"> PAGE \* MERGEFORMAT </w:instrText>
                          </w:r>
                          <w:r>
                            <w:fldChar w:fldCharType="separate"/>
                          </w:r>
                          <w:r>
                            <w:rPr>
                              <w:b/>
                              <w:bCs/>
                              <w:sz w:val="18"/>
                              <w:szCs w:val="18"/>
                              <w:lang w:val="zh-CN" w:eastAsia="zh-CN" w:bidi="zh-CN"/>
                            </w:rPr>
                            <w:t>8</w:t>
                          </w:r>
                          <w:r>
                            <w:rPr>
                              <w:b/>
                              <w:bCs/>
                              <w:sz w:val="18"/>
                              <w:szCs w:val="18"/>
                              <w:lang w:val="zh-CN" w:eastAsia="zh-CN" w:bidi="zh-CN"/>
                            </w:rPr>
                            <w:fldChar w:fldCharType="end"/>
                          </w:r>
                        </w:p>
                      </w:txbxContent>
                    </wps:txbx>
                    <wps:bodyPr wrap="none" lIns="0" tIns="0" rIns="0" bIns="0" upright="1">
                      <a:spAutoFit/>
                    </wps:bodyPr>
                  </wps:wsp>
                </a:graphicData>
              </a:graphic>
            </wp:anchor>
          </w:drawing>
        </mc:Choice>
        <mc:Fallback>
          <w:pict>
            <v:shape id="文本框 41" o:spid="_x0000_s1026" o:spt="202" type="#_x0000_t202" style="position:absolute;left:0pt;margin-left:398.55pt;margin-top:532.2pt;height:6.3pt;width:8.1pt;mso-position-horizontal-relative:page;mso-position-vertical-relative:page;mso-wrap-style:none;z-index:-188744704;mso-width-relative:page;mso-height-relative:page;" filled="f" stroked="f" coordsize="21600,21600" o:gfxdata="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o2v&#10;2NcAAAANAQAADwAAAAAAAAABACAAAAAiAAAAZHJzL2Rvd25yZXYueG1sUEsBAhQAFAAAAAgAh07i&#10;QMHumFixAQAASQMAAA4AAAAAAAAAAQAgAAAAJgEAAGRycy9lMm9Eb2MueG1sUEsFBgAAAAAGAAYA&#10;WQEAAEkFAAAAAA==&#10;">
              <v:fill on="f" focussize="0,0"/>
              <v:stroke on="f"/>
              <v:imagedata o:title=""/>
              <o:lock v:ext="edit" aspectratio="f"/>
              <v:textbox inset="0mm,0mm,0mm,0mm" style="mso-fit-shape-to-text:t;">
                <w:txbxContent>
                  <w:p>
                    <w:pPr>
                      <w:pStyle w:val="17"/>
                      <w:rPr>
                        <w:sz w:val="18"/>
                        <w:szCs w:val="18"/>
                      </w:rPr>
                    </w:pPr>
                    <w:r>
                      <w:fldChar w:fldCharType="begin"/>
                    </w:r>
                    <w:r>
                      <w:instrText xml:space="preserve"> PAGE \* MERGEFORMAT </w:instrText>
                    </w:r>
                    <w:r>
                      <w:fldChar w:fldCharType="separate"/>
                    </w:r>
                    <w:r>
                      <w:rPr>
                        <w:b/>
                        <w:bCs/>
                        <w:sz w:val="18"/>
                        <w:szCs w:val="18"/>
                        <w:lang w:val="zh-CN" w:eastAsia="zh-CN" w:bidi="zh-CN"/>
                      </w:rPr>
                      <w:t>8</w:t>
                    </w:r>
                    <w:r>
                      <w:rPr>
                        <w:b/>
                        <w:bCs/>
                        <w:sz w:val="18"/>
                        <w:szCs w:val="18"/>
                        <w:lang w:val="zh-CN" w:eastAsia="zh-CN" w:bidi="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314571776" behindDoc="1" locked="0" layoutInCell="1" allowOverlap="1">
              <wp:simplePos x="0" y="0"/>
              <wp:positionH relativeFrom="page">
                <wp:posOffset>5061585</wp:posOffset>
              </wp:positionH>
              <wp:positionV relativeFrom="page">
                <wp:posOffset>6758940</wp:posOffset>
              </wp:positionV>
              <wp:extent cx="102870" cy="80010"/>
              <wp:effectExtent l="0" t="0" r="0" b="0"/>
              <wp:wrapNone/>
              <wp:docPr id="4" name="文本框 43"/>
              <wp:cNvGraphicFramePr/>
              <a:graphic xmlns:a="http://schemas.openxmlformats.org/drawingml/2006/main">
                <a:graphicData uri="http://schemas.microsoft.com/office/word/2010/wordprocessingShape">
                  <wps:wsp>
                    <wps:cNvSpPr txBox="1"/>
                    <wps:spPr>
                      <a:xfrm>
                        <a:off x="0" y="0"/>
                        <a:ext cx="102870" cy="80010"/>
                      </a:xfrm>
                      <a:prstGeom prst="rect">
                        <a:avLst/>
                      </a:prstGeom>
                      <a:noFill/>
                      <a:ln>
                        <a:noFill/>
                      </a:ln>
                    </wps:spPr>
                    <wps:txbx>
                      <w:txbxContent>
                        <w:p>
                          <w:pPr>
                            <w:pStyle w:val="17"/>
                            <w:rPr>
                              <w:sz w:val="18"/>
                              <w:szCs w:val="18"/>
                            </w:rPr>
                          </w:pPr>
                          <w:r>
                            <w:fldChar w:fldCharType="begin"/>
                          </w:r>
                          <w:r>
                            <w:instrText xml:space="preserve"> PAGE \* MERGEFORMAT </w:instrText>
                          </w:r>
                          <w:r>
                            <w:fldChar w:fldCharType="separate"/>
                          </w:r>
                          <w:r>
                            <w:rPr>
                              <w:b/>
                              <w:bCs/>
                              <w:sz w:val="18"/>
                              <w:szCs w:val="18"/>
                              <w:lang w:val="zh-CN" w:eastAsia="zh-CN" w:bidi="zh-CN"/>
                            </w:rPr>
                            <w:t>11</w:t>
                          </w:r>
                          <w:r>
                            <w:rPr>
                              <w:b/>
                              <w:bCs/>
                              <w:sz w:val="18"/>
                              <w:szCs w:val="18"/>
                              <w:lang w:val="zh-CN" w:eastAsia="zh-CN" w:bidi="zh-CN"/>
                            </w:rPr>
                            <w:fldChar w:fldCharType="end"/>
                          </w:r>
                        </w:p>
                      </w:txbxContent>
                    </wps:txbx>
                    <wps:bodyPr wrap="none" lIns="0" tIns="0" rIns="0" bIns="0" upright="1">
                      <a:spAutoFit/>
                    </wps:bodyPr>
                  </wps:wsp>
                </a:graphicData>
              </a:graphic>
            </wp:anchor>
          </w:drawing>
        </mc:Choice>
        <mc:Fallback>
          <w:pict>
            <v:shape id="文本框 43" o:spid="_x0000_s1026" o:spt="202" type="#_x0000_t202" style="position:absolute;left:0pt;margin-left:398.55pt;margin-top:532.2pt;height:6.3pt;width:8.1pt;mso-position-horizontal-relative:page;mso-position-vertical-relative:page;mso-wrap-style:none;z-index:-188744704;mso-width-relative:page;mso-height-relative:page;" filled="f" stroked="f" coordsize="21600,21600" o:gfxdata="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o2v&#10;2NcAAAANAQAADwAAAAAAAAABACAAAAAiAAAAZHJzL2Rvd25yZXYueG1sUEsBAhQAFAAAAAgAh07i&#10;QICJuIqxAQAASQMAAA4AAAAAAAAAAQAgAAAAJgEAAGRycy9lMm9Eb2MueG1sUEsFBgAAAAAGAAYA&#10;WQEAAEkFAAAAAA==&#10;">
              <v:fill on="f" focussize="0,0"/>
              <v:stroke on="f"/>
              <v:imagedata o:title=""/>
              <o:lock v:ext="edit" aspectratio="f"/>
              <v:textbox inset="0mm,0mm,0mm,0mm" style="mso-fit-shape-to-text:t;">
                <w:txbxContent>
                  <w:p>
                    <w:pPr>
                      <w:pStyle w:val="17"/>
                      <w:rPr>
                        <w:sz w:val="18"/>
                        <w:szCs w:val="18"/>
                      </w:rPr>
                    </w:pPr>
                    <w:r>
                      <w:fldChar w:fldCharType="begin"/>
                    </w:r>
                    <w:r>
                      <w:instrText xml:space="preserve"> PAGE \* MERGEFORMAT </w:instrText>
                    </w:r>
                    <w:r>
                      <w:fldChar w:fldCharType="separate"/>
                    </w:r>
                    <w:r>
                      <w:rPr>
                        <w:b/>
                        <w:bCs/>
                        <w:sz w:val="18"/>
                        <w:szCs w:val="18"/>
                        <w:lang w:val="zh-CN" w:eastAsia="zh-CN" w:bidi="zh-CN"/>
                      </w:rPr>
                      <w:t>11</w:t>
                    </w:r>
                    <w:r>
                      <w:rPr>
                        <w:b/>
                        <w:bCs/>
                        <w:sz w:val="18"/>
                        <w:szCs w:val="18"/>
                        <w:lang w:val="zh-CN" w:eastAsia="zh-CN" w:bidi="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314571776" behindDoc="1" locked="0" layoutInCell="1" allowOverlap="1">
              <wp:simplePos x="0" y="0"/>
              <wp:positionH relativeFrom="page">
                <wp:posOffset>5061585</wp:posOffset>
              </wp:positionH>
              <wp:positionV relativeFrom="page">
                <wp:posOffset>6758940</wp:posOffset>
              </wp:positionV>
              <wp:extent cx="102870" cy="80010"/>
              <wp:effectExtent l="0" t="0" r="0" b="0"/>
              <wp:wrapNone/>
              <wp:docPr id="3" name="文本框 45"/>
              <wp:cNvGraphicFramePr/>
              <a:graphic xmlns:a="http://schemas.openxmlformats.org/drawingml/2006/main">
                <a:graphicData uri="http://schemas.microsoft.com/office/word/2010/wordprocessingShape">
                  <wps:wsp>
                    <wps:cNvSpPr txBox="1"/>
                    <wps:spPr>
                      <a:xfrm>
                        <a:off x="0" y="0"/>
                        <a:ext cx="102870" cy="80010"/>
                      </a:xfrm>
                      <a:prstGeom prst="rect">
                        <a:avLst/>
                      </a:prstGeom>
                      <a:noFill/>
                      <a:ln>
                        <a:noFill/>
                      </a:ln>
                    </wps:spPr>
                    <wps:txbx>
                      <w:txbxContent>
                        <w:p>
                          <w:pPr>
                            <w:pStyle w:val="17"/>
                            <w:rPr>
                              <w:sz w:val="18"/>
                              <w:szCs w:val="18"/>
                            </w:rPr>
                          </w:pPr>
                          <w:r>
                            <w:fldChar w:fldCharType="begin"/>
                          </w:r>
                          <w:r>
                            <w:instrText xml:space="preserve"> PAGE \* MERGEFORMAT </w:instrText>
                          </w:r>
                          <w:r>
                            <w:fldChar w:fldCharType="separate"/>
                          </w:r>
                          <w:r>
                            <w:rPr>
                              <w:b/>
                              <w:bCs/>
                              <w:sz w:val="18"/>
                              <w:szCs w:val="18"/>
                              <w:lang w:val="zh-CN" w:eastAsia="zh-CN" w:bidi="zh-CN"/>
                            </w:rPr>
                            <w:t>12</w:t>
                          </w:r>
                          <w:r>
                            <w:rPr>
                              <w:b/>
                              <w:bCs/>
                              <w:sz w:val="18"/>
                              <w:szCs w:val="18"/>
                              <w:lang w:val="zh-CN" w:eastAsia="zh-CN" w:bidi="zh-CN"/>
                            </w:rPr>
                            <w:fldChar w:fldCharType="end"/>
                          </w:r>
                        </w:p>
                      </w:txbxContent>
                    </wps:txbx>
                    <wps:bodyPr wrap="none" lIns="0" tIns="0" rIns="0" bIns="0" upright="1">
                      <a:spAutoFit/>
                    </wps:bodyPr>
                  </wps:wsp>
                </a:graphicData>
              </a:graphic>
            </wp:anchor>
          </w:drawing>
        </mc:Choice>
        <mc:Fallback>
          <w:pict>
            <v:shape id="文本框 45" o:spid="_x0000_s1026" o:spt="202" type="#_x0000_t202" style="position:absolute;left:0pt;margin-left:398.55pt;margin-top:532.2pt;height:6.3pt;width:8.1pt;mso-position-horizontal-relative:page;mso-position-vertical-relative:page;mso-wrap-style:none;z-index:-188744704;mso-width-relative:page;mso-height-relative:page;" filled="f" stroked="f" coordsize="21600,21600" o:gfxdata="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KN&#10;r9jXAAAADQEAAA8AAAAAAAAAAQAgAAAAIgAAAGRycy9kb3ducmV2LnhtbFBLAQIUABQAAAAIAIdO&#10;4kCoYTC+sgEAAEkDAAAOAAAAAAAAAAEAIAAAACYBAABkcnMvZTJvRG9jLnhtbFBLBQYAAAAABgAG&#10;AFkBAABKBQAAAAA=&#10;">
              <v:fill on="f" focussize="0,0"/>
              <v:stroke on="f"/>
              <v:imagedata o:title=""/>
              <o:lock v:ext="edit" aspectratio="f"/>
              <v:textbox inset="0mm,0mm,0mm,0mm" style="mso-fit-shape-to-text:t;">
                <w:txbxContent>
                  <w:p>
                    <w:pPr>
                      <w:pStyle w:val="17"/>
                      <w:rPr>
                        <w:sz w:val="18"/>
                        <w:szCs w:val="18"/>
                      </w:rPr>
                    </w:pPr>
                    <w:r>
                      <w:fldChar w:fldCharType="begin"/>
                    </w:r>
                    <w:r>
                      <w:instrText xml:space="preserve"> PAGE \* MERGEFORMAT </w:instrText>
                    </w:r>
                    <w:r>
                      <w:fldChar w:fldCharType="separate"/>
                    </w:r>
                    <w:r>
                      <w:rPr>
                        <w:b/>
                        <w:bCs/>
                        <w:sz w:val="18"/>
                        <w:szCs w:val="18"/>
                        <w:lang w:val="zh-CN" w:eastAsia="zh-CN" w:bidi="zh-CN"/>
                      </w:rPr>
                      <w:t>12</w:t>
                    </w:r>
                    <w:r>
                      <w:rPr>
                        <w:b/>
                        <w:bCs/>
                        <w:sz w:val="18"/>
                        <w:szCs w:val="18"/>
                        <w:lang w:val="zh-CN" w:eastAsia="zh-CN" w:bidi="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314571776" behindDoc="1" locked="0" layoutInCell="1" allowOverlap="1">
              <wp:simplePos x="0" y="0"/>
              <wp:positionH relativeFrom="page">
                <wp:posOffset>5068570</wp:posOffset>
              </wp:positionH>
              <wp:positionV relativeFrom="page">
                <wp:posOffset>6858635</wp:posOffset>
              </wp:positionV>
              <wp:extent cx="102870" cy="80010"/>
              <wp:effectExtent l="0" t="0" r="0" b="0"/>
              <wp:wrapNone/>
              <wp:docPr id="6" name="文本框 47"/>
              <wp:cNvGraphicFramePr/>
              <a:graphic xmlns:a="http://schemas.openxmlformats.org/drawingml/2006/main">
                <a:graphicData uri="http://schemas.microsoft.com/office/word/2010/wordprocessingShape">
                  <wps:wsp>
                    <wps:cNvSpPr txBox="1"/>
                    <wps:spPr>
                      <a:xfrm>
                        <a:off x="0" y="0"/>
                        <a:ext cx="102870" cy="80010"/>
                      </a:xfrm>
                      <a:prstGeom prst="rect">
                        <a:avLst/>
                      </a:prstGeom>
                      <a:noFill/>
                      <a:ln>
                        <a:noFill/>
                      </a:ln>
                    </wps:spPr>
                    <wps:txbx>
                      <w:txbxContent>
                        <w:p>
                          <w:pPr>
                            <w:pStyle w:val="25"/>
                          </w:pPr>
                          <w:r>
                            <w:fldChar w:fldCharType="begin"/>
                          </w:r>
                          <w:r>
                            <w:instrText xml:space="preserve"> PAGE \* MERGEFORMAT </w:instrText>
                          </w:r>
                          <w:r>
                            <w:fldChar w:fldCharType="separate"/>
                          </w:r>
                          <w:r>
                            <w:t>27</w:t>
                          </w:r>
                          <w:r>
                            <w:fldChar w:fldCharType="end"/>
                          </w:r>
                        </w:p>
                      </w:txbxContent>
                    </wps:txbx>
                    <wps:bodyPr wrap="none" lIns="0" tIns="0" rIns="0" bIns="0" upright="1">
                      <a:spAutoFit/>
                    </wps:bodyPr>
                  </wps:wsp>
                </a:graphicData>
              </a:graphic>
            </wp:anchor>
          </w:drawing>
        </mc:Choice>
        <mc:Fallback>
          <w:pict>
            <v:shape id="文本框 47" o:spid="_x0000_s1026" o:spt="202" type="#_x0000_t202" style="position:absolute;left:0pt;margin-left:399.1pt;margin-top:540.05pt;height:6.3pt;width:8.1pt;mso-position-horizontal-relative:page;mso-position-vertical-relative:page;mso-wrap-style:none;z-index:-188744704;mso-width-relative:page;mso-height-relative:page;" filled="f" stroked="f" coordsize="21600,21600" o:gfxdata="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Suo&#10;yNcAAAANAQAADwAAAAAAAAABACAAAAAiAAAAZHJzL2Rvd25yZXYueG1sUEsBAhQAFAAAAAgAh07i&#10;QOkGEGyxAQAASQMAAA4AAAAAAAAAAQAgAAAAJgEAAGRycy9lMm9Eb2MueG1sUEsFBgAAAAAGAAYA&#10;WQEAAEkFA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314571776" behindDoc="1" locked="0" layoutInCell="1" allowOverlap="1">
              <wp:simplePos x="0" y="0"/>
              <wp:positionH relativeFrom="page">
                <wp:posOffset>5068570</wp:posOffset>
              </wp:positionH>
              <wp:positionV relativeFrom="page">
                <wp:posOffset>6858635</wp:posOffset>
              </wp:positionV>
              <wp:extent cx="102870" cy="80010"/>
              <wp:effectExtent l="0" t="0" r="0" b="0"/>
              <wp:wrapNone/>
              <wp:docPr id="5" name="文本框 49"/>
              <wp:cNvGraphicFramePr/>
              <a:graphic xmlns:a="http://schemas.openxmlformats.org/drawingml/2006/main">
                <a:graphicData uri="http://schemas.microsoft.com/office/word/2010/wordprocessingShape">
                  <wps:wsp>
                    <wps:cNvSpPr txBox="1"/>
                    <wps:spPr>
                      <a:xfrm>
                        <a:off x="0" y="0"/>
                        <a:ext cx="102870" cy="80010"/>
                      </a:xfrm>
                      <a:prstGeom prst="rect">
                        <a:avLst/>
                      </a:prstGeom>
                      <a:noFill/>
                      <a:ln>
                        <a:noFill/>
                      </a:ln>
                    </wps:spPr>
                    <wps:txbx>
                      <w:txbxContent>
                        <w:p>
                          <w:pPr>
                            <w:pStyle w:val="25"/>
                          </w:pPr>
                          <w:r>
                            <w:fldChar w:fldCharType="begin"/>
                          </w:r>
                          <w:r>
                            <w:instrText xml:space="preserve"> PAGE \* MERGEFORMAT </w:instrText>
                          </w:r>
                          <w:r>
                            <w:fldChar w:fldCharType="separate"/>
                          </w:r>
                          <w:r>
                            <w:t>28</w:t>
                          </w:r>
                          <w:r>
                            <w:fldChar w:fldCharType="end"/>
                          </w:r>
                        </w:p>
                      </w:txbxContent>
                    </wps:txbx>
                    <wps:bodyPr wrap="none" lIns="0" tIns="0" rIns="0" bIns="0" upright="1">
                      <a:spAutoFit/>
                    </wps:bodyPr>
                  </wps:wsp>
                </a:graphicData>
              </a:graphic>
            </wp:anchor>
          </w:drawing>
        </mc:Choice>
        <mc:Fallback>
          <w:pict>
            <v:shape id="文本框 49" o:spid="_x0000_s1026" o:spt="202" type="#_x0000_t202" style="position:absolute;left:0pt;margin-left:399.1pt;margin-top:540.05pt;height:6.3pt;width:8.1pt;mso-position-horizontal-relative:page;mso-position-vertical-relative:page;mso-wrap-style:none;z-index:-188744704;mso-width-relative:page;mso-height-relative:page;" filled="f" stroked="f" coordsize="21600,21600" o:gfxdata="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Suo&#10;yNcAAAANAQAADwAAAAAAAAABACAAAAAiAAAAZHJzL2Rvd25yZXYueG1sUEsBAhQAFAAAAAgAh07i&#10;QFL2uE6xAQAASQMAAA4AAAAAAAAAAQAgAAAAJgEAAGRycy9lMm9Eb2MueG1sUEsFBgAAAAAGAAYA&#10;WQEAAEkFA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314571776" behindDoc="1" locked="0" layoutInCell="1" allowOverlap="1">
              <wp:simplePos x="0" y="0"/>
              <wp:positionH relativeFrom="page">
                <wp:posOffset>5059045</wp:posOffset>
              </wp:positionH>
              <wp:positionV relativeFrom="page">
                <wp:posOffset>6786880</wp:posOffset>
              </wp:positionV>
              <wp:extent cx="114300" cy="83820"/>
              <wp:effectExtent l="0" t="0" r="0" b="0"/>
              <wp:wrapNone/>
              <wp:docPr id="8" name="文本框 51"/>
              <wp:cNvGraphicFramePr/>
              <a:graphic xmlns:a="http://schemas.openxmlformats.org/drawingml/2006/main">
                <a:graphicData uri="http://schemas.microsoft.com/office/word/2010/wordprocessingShape">
                  <wps:wsp>
                    <wps:cNvSpPr txBox="1"/>
                    <wps:spPr>
                      <a:xfrm>
                        <a:off x="0" y="0"/>
                        <a:ext cx="114300" cy="83820"/>
                      </a:xfrm>
                      <a:prstGeom prst="rect">
                        <a:avLst/>
                      </a:prstGeom>
                      <a:noFill/>
                      <a:ln>
                        <a:noFill/>
                      </a:ln>
                    </wps:spPr>
                    <wps:txbx>
                      <w:txbxContent>
                        <w:p>
                          <w:pPr>
                            <w:pStyle w:val="25"/>
                          </w:pPr>
                          <w:r>
                            <w:fldChar w:fldCharType="begin"/>
                          </w:r>
                          <w:r>
                            <w:instrText xml:space="preserve"> PAGE \* MERGEFORMAT </w:instrText>
                          </w:r>
                          <w:r>
                            <w:fldChar w:fldCharType="separate"/>
                          </w:r>
                          <w:r>
                            <w:t>29</w:t>
                          </w:r>
                          <w:r>
                            <w:fldChar w:fldCharType="end"/>
                          </w:r>
                        </w:p>
                      </w:txbxContent>
                    </wps:txbx>
                    <wps:bodyPr wrap="none" lIns="0" tIns="0" rIns="0" bIns="0" upright="1">
                      <a:spAutoFit/>
                    </wps:bodyPr>
                  </wps:wsp>
                </a:graphicData>
              </a:graphic>
            </wp:anchor>
          </w:drawing>
        </mc:Choice>
        <mc:Fallback>
          <w:pict>
            <v:shape id="文本框 51" o:spid="_x0000_s1026" o:spt="202" type="#_x0000_t202" style="position:absolute;left:0pt;margin-left:398.35pt;margin-top:534.4pt;height:6.6pt;width:9pt;mso-position-horizontal-relative:page;mso-position-vertical-relative:page;mso-wrap-style:none;z-index:-188744704;mso-width-relative:page;mso-height-relative:page;" filled="f" stroked="f" coordsize="21600,21600" o:gfxdata="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Ik&#10;30vWAAAADQEAAA8AAAAAAAAAAQAgAAAAIgAAAGRycy9kb3ducmV2LnhtbFBLAQIUABQAAAAIAIdO&#10;4kBPxQ3/swEAAEkDAAAOAAAAAAAAAAEAIAAAACUBAABkcnMvZTJvRG9jLnhtbFBLBQYAAAAABgAG&#10;AFkBAABKBQ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69250B"/>
    <w:multiLevelType w:val="singleLevel"/>
    <w:tmpl w:val="A769250B"/>
    <w:lvl w:ilvl="0" w:tentative="0">
      <w:start w:val="8"/>
      <w:numFmt w:val="chineseCounting"/>
      <w:suff w:val="space"/>
      <w:lvlText w:val="第%1条"/>
      <w:lvlJc w:val="left"/>
      <w:rPr>
        <w:rFonts w:hint="eastAsia"/>
      </w:rPr>
    </w:lvl>
  </w:abstractNum>
  <w:abstractNum w:abstractNumId="1">
    <w:nsid w:val="BF4F172B"/>
    <w:multiLevelType w:val="singleLevel"/>
    <w:tmpl w:val="BF4F172B"/>
    <w:lvl w:ilvl="0" w:tentative="0">
      <w:start w:val="2"/>
      <w:numFmt w:val="chineseCounting"/>
      <w:suff w:val="nothing"/>
      <w:lvlText w:val="%1、"/>
      <w:lvlJc w:val="left"/>
      <w:rPr>
        <w:rFonts w:hint="eastAsia"/>
      </w:rPr>
    </w:lvl>
  </w:abstractNum>
  <w:abstractNum w:abstractNumId="2">
    <w:nsid w:val="0B184DDF"/>
    <w:multiLevelType w:val="multilevel"/>
    <w:tmpl w:val="0B184DDF"/>
    <w:lvl w:ilvl="0" w:tentative="0">
      <w:start w:val="2"/>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FE542AF"/>
    <w:multiLevelType w:val="multilevel"/>
    <w:tmpl w:val="1FE542AF"/>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57DF5DD8"/>
    <w:multiLevelType w:val="multilevel"/>
    <w:tmpl w:val="57DF5DD8"/>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81"/>
  <w:drawingGridVerticalSpacing w:val="181"/>
  <w:characterSpacingControl w:val="compressPunctuation"/>
  <w:hdrShapeDefaults>
    <o:shapelayout v:ext="edit">
      <o:idmap v:ext="edit" data="1"/>
    </o:shapelayout>
  </w:hdrShapeDefault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959"/>
    <w:rsid w:val="00005119"/>
    <w:rsid w:val="00042576"/>
    <w:rsid w:val="001A2C0F"/>
    <w:rsid w:val="001B3E43"/>
    <w:rsid w:val="00244779"/>
    <w:rsid w:val="002547B8"/>
    <w:rsid w:val="00291360"/>
    <w:rsid w:val="002A2959"/>
    <w:rsid w:val="002B0750"/>
    <w:rsid w:val="002D6FF5"/>
    <w:rsid w:val="003941E2"/>
    <w:rsid w:val="003E2D99"/>
    <w:rsid w:val="00444229"/>
    <w:rsid w:val="00467514"/>
    <w:rsid w:val="00494EC5"/>
    <w:rsid w:val="0056382C"/>
    <w:rsid w:val="005728F4"/>
    <w:rsid w:val="005A203E"/>
    <w:rsid w:val="005C401D"/>
    <w:rsid w:val="00620025"/>
    <w:rsid w:val="006301C5"/>
    <w:rsid w:val="00682DB3"/>
    <w:rsid w:val="00766A61"/>
    <w:rsid w:val="007B76AB"/>
    <w:rsid w:val="008309DF"/>
    <w:rsid w:val="008D0DB0"/>
    <w:rsid w:val="00900ED9"/>
    <w:rsid w:val="0093395F"/>
    <w:rsid w:val="00962D41"/>
    <w:rsid w:val="00A119A5"/>
    <w:rsid w:val="00AA0556"/>
    <w:rsid w:val="00B25109"/>
    <w:rsid w:val="00BD3BF2"/>
    <w:rsid w:val="00C225CD"/>
    <w:rsid w:val="00D128DB"/>
    <w:rsid w:val="00D6529A"/>
    <w:rsid w:val="00D66177"/>
    <w:rsid w:val="00D77E4D"/>
    <w:rsid w:val="00DA0ECA"/>
    <w:rsid w:val="00DB63B8"/>
    <w:rsid w:val="00DC32D1"/>
    <w:rsid w:val="00E44CE9"/>
    <w:rsid w:val="00E62C4F"/>
    <w:rsid w:val="00E63ED4"/>
    <w:rsid w:val="00E829B2"/>
    <w:rsid w:val="00EB18E6"/>
    <w:rsid w:val="00F531AD"/>
    <w:rsid w:val="00F60472"/>
    <w:rsid w:val="0D1D0D46"/>
    <w:rsid w:val="11610B50"/>
    <w:rsid w:val="17601D6C"/>
    <w:rsid w:val="18C03392"/>
    <w:rsid w:val="218214B6"/>
    <w:rsid w:val="2F9D7D1E"/>
    <w:rsid w:val="378F090C"/>
    <w:rsid w:val="4C4F7E5B"/>
    <w:rsid w:val="55E928EC"/>
    <w:rsid w:val="5AC70460"/>
    <w:rsid w:val="664A273A"/>
    <w:rsid w:val="6D823775"/>
    <w:rsid w:val="6EAB6E0E"/>
    <w:rsid w:val="7B844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Arial Unicode MS" w:hAnsi="Arial Unicode MS" w:eastAsia="Arial Unicode MS" w:cs="Arial Unicode MS"/>
      <w:sz w:val="30"/>
      <w:szCs w:val="30"/>
    </w:rPr>
  </w:style>
  <w:style w:type="paragraph" w:styleId="3">
    <w:name w:val="Balloon Text"/>
    <w:basedOn w:val="1"/>
    <w:link w:val="28"/>
    <w:semiHidden/>
    <w:unhideWhenUsed/>
    <w:uiPriority w:val="99"/>
    <w:rPr>
      <w:sz w:val="18"/>
      <w:szCs w:val="18"/>
    </w:rPr>
  </w:style>
  <w:style w:type="paragraph" w:styleId="4">
    <w:name w:val="footer"/>
    <w:basedOn w:val="1"/>
    <w:link w:val="27"/>
    <w:semiHidden/>
    <w:unhideWhenUsed/>
    <w:qFormat/>
    <w:uiPriority w:val="99"/>
    <w:pPr>
      <w:tabs>
        <w:tab w:val="center" w:pos="4153"/>
        <w:tab w:val="right" w:pos="8306"/>
      </w:tabs>
      <w:snapToGrid w:val="0"/>
    </w:pPr>
    <w:rPr>
      <w:sz w:val="18"/>
      <w:szCs w:val="18"/>
    </w:rPr>
  </w:style>
  <w:style w:type="paragraph" w:styleId="5">
    <w:name w:val="header"/>
    <w:basedOn w:val="1"/>
    <w:link w:val="2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Body text|2_"/>
    <w:basedOn w:val="7"/>
    <w:link w:val="9"/>
    <w:qFormat/>
    <w:uiPriority w:val="0"/>
    <w:rPr>
      <w:rFonts w:ascii="宋体" w:hAnsi="宋体" w:eastAsia="宋体" w:cs="宋体"/>
      <w:color w:val="E64F46"/>
      <w:sz w:val="26"/>
      <w:szCs w:val="26"/>
      <w:u w:val="none"/>
      <w:shd w:val="clear" w:color="auto" w:fill="auto"/>
      <w:lang w:val="zh-TW" w:eastAsia="zh-TW" w:bidi="zh-TW"/>
    </w:rPr>
  </w:style>
  <w:style w:type="paragraph" w:customStyle="1" w:styleId="9">
    <w:name w:val="Body text|2"/>
    <w:basedOn w:val="1"/>
    <w:link w:val="8"/>
    <w:qFormat/>
    <w:uiPriority w:val="0"/>
    <w:pPr>
      <w:spacing w:line="414" w:lineRule="exact"/>
    </w:pPr>
    <w:rPr>
      <w:rFonts w:ascii="宋体" w:hAnsi="宋体" w:eastAsia="宋体" w:cs="宋体"/>
      <w:color w:val="E64F46"/>
      <w:sz w:val="26"/>
      <w:szCs w:val="26"/>
      <w:lang w:val="zh-TW" w:eastAsia="zh-TW" w:bidi="zh-TW"/>
    </w:rPr>
  </w:style>
  <w:style w:type="character" w:customStyle="1" w:styleId="10">
    <w:name w:val="Heading #1|1_"/>
    <w:basedOn w:val="7"/>
    <w:link w:val="11"/>
    <w:qFormat/>
    <w:uiPriority w:val="0"/>
    <w:rPr>
      <w:rFonts w:ascii="宋体" w:hAnsi="宋体" w:eastAsia="宋体" w:cs="宋体"/>
      <w:color w:val="E64F46"/>
      <w:sz w:val="86"/>
      <w:szCs w:val="86"/>
      <w:u w:val="none"/>
      <w:shd w:val="clear" w:color="auto" w:fill="auto"/>
      <w:lang w:val="zh-TW" w:eastAsia="zh-TW" w:bidi="zh-TW"/>
    </w:rPr>
  </w:style>
  <w:style w:type="paragraph" w:customStyle="1" w:styleId="11">
    <w:name w:val="Heading #1|1"/>
    <w:basedOn w:val="1"/>
    <w:link w:val="10"/>
    <w:qFormat/>
    <w:uiPriority w:val="0"/>
    <w:pPr>
      <w:spacing w:line="738" w:lineRule="exact"/>
      <w:jc w:val="center"/>
      <w:outlineLvl w:val="0"/>
    </w:pPr>
    <w:rPr>
      <w:rFonts w:ascii="宋体" w:hAnsi="宋体" w:eastAsia="宋体" w:cs="宋体"/>
      <w:color w:val="E64F46"/>
      <w:sz w:val="86"/>
      <w:szCs w:val="86"/>
      <w:lang w:val="zh-TW" w:eastAsia="zh-TW" w:bidi="zh-TW"/>
    </w:rPr>
  </w:style>
  <w:style w:type="character" w:customStyle="1" w:styleId="12">
    <w:name w:val="Body text|1_"/>
    <w:basedOn w:val="7"/>
    <w:link w:val="13"/>
    <w:qFormat/>
    <w:uiPriority w:val="0"/>
    <w:rPr>
      <w:rFonts w:ascii="宋体" w:hAnsi="宋体" w:eastAsia="宋体" w:cs="宋体"/>
      <w:sz w:val="30"/>
      <w:szCs w:val="30"/>
      <w:u w:val="none"/>
      <w:shd w:val="clear" w:color="auto" w:fill="auto"/>
      <w:lang w:val="zh-TW" w:eastAsia="zh-TW" w:bidi="zh-TW"/>
    </w:rPr>
  </w:style>
  <w:style w:type="paragraph" w:customStyle="1" w:styleId="13">
    <w:name w:val="Body text|1"/>
    <w:basedOn w:val="1"/>
    <w:link w:val="12"/>
    <w:qFormat/>
    <w:uiPriority w:val="0"/>
    <w:pPr>
      <w:spacing w:line="446" w:lineRule="auto"/>
      <w:ind w:firstLine="400"/>
    </w:pPr>
    <w:rPr>
      <w:rFonts w:ascii="宋体" w:hAnsi="宋体" w:eastAsia="宋体" w:cs="宋体"/>
      <w:sz w:val="30"/>
      <w:szCs w:val="30"/>
      <w:lang w:val="zh-TW" w:eastAsia="zh-TW" w:bidi="zh-TW"/>
    </w:rPr>
  </w:style>
  <w:style w:type="character" w:customStyle="1" w:styleId="14">
    <w:name w:val="Heading #2|1_"/>
    <w:basedOn w:val="7"/>
    <w:link w:val="15"/>
    <w:qFormat/>
    <w:uiPriority w:val="0"/>
    <w:rPr>
      <w:rFonts w:ascii="宋体" w:hAnsi="宋体" w:eastAsia="宋体" w:cs="宋体"/>
      <w:sz w:val="40"/>
      <w:szCs w:val="40"/>
      <w:u w:val="none"/>
      <w:shd w:val="clear" w:color="auto" w:fill="auto"/>
      <w:lang w:val="zh-TW" w:eastAsia="zh-TW" w:bidi="zh-TW"/>
    </w:rPr>
  </w:style>
  <w:style w:type="paragraph" w:customStyle="1" w:styleId="15">
    <w:name w:val="Heading #2|1"/>
    <w:basedOn w:val="1"/>
    <w:link w:val="14"/>
    <w:qFormat/>
    <w:uiPriority w:val="0"/>
    <w:pPr>
      <w:spacing w:after="560" w:line="300" w:lineRule="auto"/>
      <w:jc w:val="center"/>
      <w:outlineLvl w:val="1"/>
    </w:pPr>
    <w:rPr>
      <w:rFonts w:ascii="宋体" w:hAnsi="宋体" w:eastAsia="宋体" w:cs="宋体"/>
      <w:sz w:val="40"/>
      <w:szCs w:val="40"/>
      <w:lang w:val="zh-TW" w:eastAsia="zh-TW" w:bidi="zh-TW"/>
    </w:rPr>
  </w:style>
  <w:style w:type="character" w:customStyle="1" w:styleId="16">
    <w:name w:val="Header or footer|2_"/>
    <w:basedOn w:val="7"/>
    <w:link w:val="17"/>
    <w:qFormat/>
    <w:uiPriority w:val="0"/>
    <w:rPr>
      <w:sz w:val="20"/>
      <w:szCs w:val="20"/>
      <w:u w:val="none"/>
      <w:shd w:val="clear" w:color="auto" w:fill="auto"/>
      <w:lang w:val="zh-TW" w:eastAsia="zh-TW" w:bidi="zh-TW"/>
    </w:rPr>
  </w:style>
  <w:style w:type="paragraph" w:customStyle="1" w:styleId="17">
    <w:name w:val="Header or footer|2"/>
    <w:basedOn w:val="1"/>
    <w:link w:val="16"/>
    <w:qFormat/>
    <w:uiPriority w:val="0"/>
    <w:rPr>
      <w:sz w:val="20"/>
      <w:szCs w:val="20"/>
      <w:lang w:val="zh-TW" w:eastAsia="zh-TW" w:bidi="zh-TW"/>
    </w:rPr>
  </w:style>
  <w:style w:type="character" w:customStyle="1" w:styleId="18">
    <w:name w:val="Picture caption|1_"/>
    <w:basedOn w:val="7"/>
    <w:link w:val="19"/>
    <w:qFormat/>
    <w:uiPriority w:val="0"/>
    <w:rPr>
      <w:rFonts w:ascii="宋体" w:hAnsi="宋体" w:eastAsia="宋体" w:cs="宋体"/>
      <w:sz w:val="30"/>
      <w:szCs w:val="30"/>
      <w:u w:val="none"/>
      <w:shd w:val="clear" w:color="auto" w:fill="auto"/>
      <w:lang w:val="zh-TW" w:eastAsia="zh-TW" w:bidi="zh-TW"/>
    </w:rPr>
  </w:style>
  <w:style w:type="paragraph" w:customStyle="1" w:styleId="19">
    <w:name w:val="Picture caption|1"/>
    <w:basedOn w:val="1"/>
    <w:link w:val="18"/>
    <w:uiPriority w:val="0"/>
    <w:rPr>
      <w:rFonts w:ascii="宋体" w:hAnsi="宋体" w:eastAsia="宋体" w:cs="宋体"/>
      <w:sz w:val="30"/>
      <w:szCs w:val="30"/>
      <w:lang w:val="zh-TW" w:eastAsia="zh-TW" w:bidi="zh-TW"/>
    </w:rPr>
  </w:style>
  <w:style w:type="character" w:customStyle="1" w:styleId="20">
    <w:name w:val="Body text|3_"/>
    <w:basedOn w:val="7"/>
    <w:link w:val="21"/>
    <w:qFormat/>
    <w:uiPriority w:val="0"/>
    <w:rPr>
      <w:b/>
      <w:bCs/>
      <w:sz w:val="22"/>
      <w:szCs w:val="22"/>
      <w:u w:val="none"/>
      <w:shd w:val="clear" w:color="auto" w:fill="auto"/>
    </w:rPr>
  </w:style>
  <w:style w:type="paragraph" w:customStyle="1" w:styleId="21">
    <w:name w:val="Body text|3"/>
    <w:basedOn w:val="1"/>
    <w:link w:val="20"/>
    <w:qFormat/>
    <w:uiPriority w:val="0"/>
    <w:rPr>
      <w:b/>
      <w:bCs/>
      <w:sz w:val="22"/>
      <w:szCs w:val="22"/>
    </w:rPr>
  </w:style>
  <w:style w:type="character" w:customStyle="1" w:styleId="22">
    <w:name w:val="Other|1_"/>
    <w:basedOn w:val="7"/>
    <w:link w:val="23"/>
    <w:qFormat/>
    <w:uiPriority w:val="0"/>
    <w:rPr>
      <w:rFonts w:ascii="宋体" w:hAnsi="宋体" w:eastAsia="宋体" w:cs="宋体"/>
      <w:sz w:val="20"/>
      <w:szCs w:val="20"/>
      <w:u w:val="none"/>
      <w:shd w:val="clear" w:color="auto" w:fill="auto"/>
      <w:lang w:val="zh-TW" w:eastAsia="zh-TW" w:bidi="zh-TW"/>
    </w:rPr>
  </w:style>
  <w:style w:type="paragraph" w:customStyle="1" w:styleId="23">
    <w:name w:val="Other|1"/>
    <w:basedOn w:val="1"/>
    <w:link w:val="22"/>
    <w:qFormat/>
    <w:uiPriority w:val="0"/>
    <w:pPr>
      <w:spacing w:line="315" w:lineRule="exact"/>
      <w:ind w:firstLine="500"/>
    </w:pPr>
    <w:rPr>
      <w:rFonts w:ascii="宋体" w:hAnsi="宋体" w:eastAsia="宋体" w:cs="宋体"/>
      <w:sz w:val="20"/>
      <w:szCs w:val="20"/>
      <w:lang w:val="zh-TW" w:eastAsia="zh-TW" w:bidi="zh-TW"/>
    </w:rPr>
  </w:style>
  <w:style w:type="character" w:customStyle="1" w:styleId="24">
    <w:name w:val="Header or footer|1_"/>
    <w:basedOn w:val="7"/>
    <w:link w:val="25"/>
    <w:qFormat/>
    <w:uiPriority w:val="0"/>
    <w:rPr>
      <w:b/>
      <w:bCs/>
      <w:sz w:val="18"/>
      <w:szCs w:val="18"/>
      <w:u w:val="none"/>
      <w:shd w:val="clear" w:color="auto" w:fill="auto"/>
      <w:lang w:val="zh-CN" w:eastAsia="zh-CN" w:bidi="zh-CN"/>
    </w:rPr>
  </w:style>
  <w:style w:type="paragraph" w:customStyle="1" w:styleId="25">
    <w:name w:val="Header or footer|1"/>
    <w:basedOn w:val="1"/>
    <w:link w:val="24"/>
    <w:qFormat/>
    <w:uiPriority w:val="0"/>
    <w:rPr>
      <w:b/>
      <w:bCs/>
      <w:sz w:val="18"/>
      <w:szCs w:val="18"/>
      <w:lang w:val="zh-CN" w:eastAsia="zh-CN" w:bidi="zh-CN"/>
    </w:rPr>
  </w:style>
  <w:style w:type="character" w:customStyle="1" w:styleId="26">
    <w:name w:val="页眉 Char"/>
    <w:basedOn w:val="7"/>
    <w:link w:val="5"/>
    <w:semiHidden/>
    <w:uiPriority w:val="99"/>
    <w:rPr>
      <w:rFonts w:eastAsia="Times New Roman"/>
      <w:color w:val="000000"/>
      <w:sz w:val="18"/>
      <w:szCs w:val="18"/>
    </w:rPr>
  </w:style>
  <w:style w:type="character" w:customStyle="1" w:styleId="27">
    <w:name w:val="页脚 Char"/>
    <w:basedOn w:val="7"/>
    <w:link w:val="4"/>
    <w:semiHidden/>
    <w:qFormat/>
    <w:uiPriority w:val="99"/>
    <w:rPr>
      <w:rFonts w:eastAsia="Times New Roman"/>
      <w:color w:val="000000"/>
      <w:sz w:val="18"/>
      <w:szCs w:val="18"/>
    </w:rPr>
  </w:style>
  <w:style w:type="character" w:customStyle="1" w:styleId="28">
    <w:name w:val="批注框文本 Char"/>
    <w:basedOn w:val="7"/>
    <w:link w:val="3"/>
    <w:semiHidden/>
    <w:qFormat/>
    <w:uiPriority w:val="99"/>
    <w:rPr>
      <w:rFonts w:eastAsia="Times New Roman"/>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08322D-E768-4007-AD27-171EB3472E8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3912</Words>
  <Characters>22304</Characters>
  <Lines>185</Lines>
  <Paragraphs>52</Paragraphs>
  <TotalTime>11</TotalTime>
  <ScaleCrop>false</ScaleCrop>
  <LinksUpToDate>false</LinksUpToDate>
  <CharactersWithSpaces>26164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2020-06-04T00:57:00Z</dcterms:created>
  <dc:creator>Administrator</dc:creator>
  <cp:lastModifiedBy>Administrator</cp:lastModifiedBy>
  <cp:lastPrinted>2020-06-08T06:48:00Z</cp:lastPrinted>
  <dcterms:modified xsi:type="dcterms:W3CDTF">2020-06-09T07:15:46Z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