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spacing w:val="0"/>
          <w:w w:val="100"/>
          <w:position w:val="0"/>
          <w:sz w:val="32"/>
          <w:szCs w:val="32"/>
        </w:rPr>
        <w:t>附件</w:t>
      </w:r>
      <w:r>
        <w:rPr>
          <w:rFonts w:hint="eastAsia" w:ascii="仿宋" w:hAnsi="仿宋" w:eastAsia="仿宋" w:cs="仿宋"/>
          <w:b w:val="0"/>
          <w:bCs w:val="0"/>
          <w:color w:val="000000"/>
          <w:spacing w:val="0"/>
          <w:w w:val="100"/>
          <w:position w:val="0"/>
          <w:sz w:val="32"/>
          <w:szCs w:val="32"/>
          <w:lang w:eastAsia="zh-CN"/>
        </w:rPr>
        <w:t>：</w:t>
      </w:r>
    </w:p>
    <w:p>
      <w:pPr>
        <w:pStyle w:val="2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7"/>
      <w:bookmarkStart w:id="1" w:name="bookmark8"/>
      <w:bookmarkStart w:id="2" w:name="bookmark6"/>
    </w:p>
    <w:p>
      <w:pPr>
        <w:pStyle w:val="2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rPr>
        <w:t>关于对海关高级认证企业实施联合激励</w:t>
      </w:r>
      <w:r>
        <w:rPr>
          <w:rFonts w:hint="eastAsia" w:ascii="方正小标宋简体" w:hAnsi="方正小标宋简体" w:eastAsia="方正小标宋简体" w:cs="方正小标宋简体"/>
          <w:color w:val="000000"/>
          <w:spacing w:val="0"/>
          <w:w w:val="100"/>
          <w:position w:val="0"/>
          <w:sz w:val="44"/>
          <w:szCs w:val="44"/>
          <w:lang w:eastAsia="zh-CN"/>
        </w:rPr>
        <w:t>的</w:t>
      </w:r>
    </w:p>
    <w:p>
      <w:pPr>
        <w:pStyle w:val="2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合作备忘录</w:t>
      </w:r>
      <w:bookmarkEnd w:id="0"/>
      <w:bookmarkEnd w:id="1"/>
      <w:bookmarkEnd w:id="2"/>
    </w:p>
    <w:p>
      <w:pPr>
        <w:pStyle w:val="2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为了贯彻党的十八大、十八届三中、四中、五中全会精神， 落实《国务院关于印发社会信用体系建设规划纲要</w:t>
      </w:r>
      <w:r>
        <w:rPr>
          <w:rFonts w:hint="eastAsia" w:ascii="仿宋" w:hAnsi="仿宋" w:eastAsia="仿宋" w:cs="仿宋"/>
          <w:b w:val="0"/>
          <w:bCs w:val="0"/>
          <w:i w:val="0"/>
          <w:iCs w:val="0"/>
          <w:smallCaps w:val="0"/>
          <w:strike w:val="0"/>
          <w:color w:val="000000"/>
          <w:spacing w:val="0"/>
          <w:w w:val="100"/>
          <w:position w:val="0"/>
          <w:sz w:val="32"/>
          <w:szCs w:val="32"/>
          <w:lang w:val="en-US" w:eastAsia="en-US"/>
        </w:rPr>
        <w:t>（2014-2020</w:t>
      </w:r>
      <w:r>
        <w:rPr>
          <w:rFonts w:hint="eastAsia" w:ascii="仿宋" w:hAnsi="仿宋" w:eastAsia="仿宋" w:cs="仿宋"/>
          <w:color w:val="000000"/>
          <w:spacing w:val="0"/>
          <w:w w:val="100"/>
          <w:position w:val="0"/>
          <w:sz w:val="32"/>
          <w:szCs w:val="32"/>
        </w:rPr>
        <w:t>年）的通知》（国发</w:t>
      </w:r>
      <w:r>
        <w:rPr>
          <w:rFonts w:hint="eastAsia" w:ascii="仿宋" w:hAnsi="仿宋" w:eastAsia="仿宋" w:cs="仿宋"/>
          <w:b w:val="0"/>
          <w:bCs w:val="0"/>
          <w:i w:val="0"/>
          <w:iCs w:val="0"/>
          <w:smallCaps w:val="0"/>
          <w:strike w:val="0"/>
          <w:color w:val="000000"/>
          <w:spacing w:val="0"/>
          <w:w w:val="100"/>
          <w:position w:val="0"/>
          <w:sz w:val="32"/>
          <w:szCs w:val="32"/>
        </w:rPr>
        <w:t>〔</w:t>
      </w:r>
      <w:r>
        <w:rPr>
          <w:rFonts w:hint="eastAsia" w:ascii="仿宋" w:hAnsi="仿宋" w:eastAsia="仿宋" w:cs="仿宋"/>
          <w:b w:val="0"/>
          <w:bCs w:val="0"/>
          <w:i w:val="0"/>
          <w:iCs w:val="0"/>
          <w:smallCaps w:val="0"/>
          <w:strike w:val="0"/>
          <w:color w:val="000000"/>
          <w:spacing w:val="0"/>
          <w:w w:val="100"/>
          <w:position w:val="0"/>
          <w:sz w:val="32"/>
          <w:szCs w:val="32"/>
          <w:lang w:val="en-US" w:eastAsia="en-US"/>
        </w:rPr>
        <w:t>2014</w:t>
      </w:r>
      <w:r>
        <w:rPr>
          <w:rFonts w:hint="eastAsia" w:ascii="仿宋" w:hAnsi="仿宋" w:eastAsia="仿宋" w:cs="仿宋"/>
          <w:b w:val="0"/>
          <w:bCs w:val="0"/>
          <w:i w:val="0"/>
          <w:iCs w:val="0"/>
          <w:smallCaps w:val="0"/>
          <w:strike w:val="0"/>
          <w:color w:val="000000"/>
          <w:spacing w:val="0"/>
          <w:w w:val="100"/>
          <w:position w:val="0"/>
          <w:sz w:val="32"/>
          <w:szCs w:val="32"/>
        </w:rPr>
        <w:t>〕21号）、《国务院关于建立完善守信联合激励和失信联合惩戒制度加快推进社会诚信建设的指导意见》（国发〔2016〕33号）、中央文明委《关于推进诚信建设制度化的意见》（文明委〔2014〕7</w:t>
      </w:r>
      <w:r>
        <w:rPr>
          <w:rFonts w:hint="eastAsia" w:ascii="仿宋" w:hAnsi="仿宋" w:eastAsia="仿宋" w:cs="仿宋"/>
          <w:color w:val="000000"/>
          <w:spacing w:val="0"/>
          <w:w w:val="100"/>
          <w:position w:val="0"/>
          <w:sz w:val="32"/>
          <w:szCs w:val="32"/>
        </w:rPr>
        <w:t>号）等关于</w:t>
      </w:r>
      <w:r>
        <w:rPr>
          <w:rFonts w:hint="eastAsia" w:ascii="仿宋" w:hAnsi="仿宋" w:eastAsia="仿宋" w:cs="仿宋"/>
          <w:color w:val="000000"/>
          <w:spacing w:val="0"/>
          <w:w w:val="100"/>
          <w:position w:val="0"/>
          <w:sz w:val="32"/>
          <w:szCs w:val="32"/>
          <w:lang w:val="zh-CN" w:eastAsia="zh-CN" w:bidi="zh-CN"/>
        </w:rPr>
        <w:t>“褒扬</w:t>
      </w:r>
      <w:r>
        <w:rPr>
          <w:rFonts w:hint="eastAsia" w:ascii="仿宋" w:hAnsi="仿宋" w:eastAsia="仿宋" w:cs="仿宋"/>
          <w:color w:val="000000"/>
          <w:spacing w:val="0"/>
          <w:w w:val="100"/>
          <w:position w:val="0"/>
          <w:sz w:val="32"/>
          <w:szCs w:val="32"/>
        </w:rPr>
        <w:t>诚信、惩戒失信”的总体要求，建立健全守信联合激励机制，完善进出口领域诚信体系建设。国家发展改革委、人民银行、海关总署、中央宣传部、中央文明办、教育部、工业和信息化部、公安部、财政部、人力资源社会保障部、国土资源部、环境保护部、住房城乡建设部、交通运输部、水利部、农业部、商务部、文化部、卫生计生委、国资委、税务总局、工商总局、质检总局、安全监管总局、食品药品监管总局、林业局、知识产权局、旅游局、法制办、中央网信办、银监会、证监会、保监会、外汇局、全国总工会、共青团中央、全国妇联、全国工商联、贸促会、中国铁路总公司等部门对海关高级认证企业实施守信联合激励措施达成如下一致意见：</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lang w:val="en-US" w:eastAsia="en-US" w:bidi="en-US"/>
        </w:rPr>
        <w:t>—</w:t>
      </w:r>
      <w:r>
        <w:rPr>
          <w:rFonts w:hint="eastAsia" w:ascii="黑体" w:hAnsi="黑体" w:eastAsia="黑体" w:cs="黑体"/>
          <w:b w:val="0"/>
          <w:bCs w:val="0"/>
          <w:color w:val="000000"/>
          <w:spacing w:val="0"/>
          <w:w w:val="100"/>
          <w:position w:val="0"/>
          <w:sz w:val="32"/>
          <w:szCs w:val="32"/>
        </w:rPr>
        <w:t>、联合激励对象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联合激励的对象为海关高级认证企业。是指</w:t>
      </w:r>
      <w:r>
        <w:rPr>
          <w:rFonts w:hint="eastAsia" w:ascii="仿宋" w:hAnsi="仿宋" w:eastAsia="仿宋" w:cs="仿宋"/>
          <w:color w:val="000000"/>
          <w:spacing w:val="0"/>
          <w:w w:val="100"/>
          <w:position w:val="0"/>
          <w:sz w:val="32"/>
          <w:szCs w:val="32"/>
          <w:lang w:eastAsia="zh-CN"/>
        </w:rPr>
        <w:t>已</w:t>
      </w:r>
      <w:r>
        <w:rPr>
          <w:rFonts w:hint="eastAsia" w:ascii="仿宋" w:hAnsi="仿宋" w:eastAsia="仿宋" w:cs="仿宋"/>
          <w:color w:val="000000"/>
          <w:spacing w:val="0"/>
          <w:w w:val="100"/>
          <w:position w:val="0"/>
          <w:sz w:val="32"/>
          <w:szCs w:val="32"/>
        </w:rPr>
        <w:t>经在海关注册登记的企业，根据《中华人民共和国海关企业信用管理暂行办法》及相关配套文件的规定，向海关提出申请，经海关书面审查、核实，并经海关专业认证人员对企业进行实地认证，确认企业在内部控制、财务偿付能力、守法规范、贸易安全等方面，均符合《海关认证企业标准（高级认证）》的规定，由海关颁发了海关高级认证企业证书的企业。</w:t>
      </w:r>
    </w:p>
    <w:p>
      <w:pPr>
        <w:pStyle w:val="10"/>
        <w:keepNext w:val="0"/>
        <w:keepLines w:val="0"/>
        <w:pageBreakBefore w:val="0"/>
        <w:widowControl w:val="0"/>
        <w:shd w:val="clear" w:color="auto" w:fill="auto"/>
        <w:tabs>
          <w:tab w:val="left" w:pos="118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b w:val="0"/>
          <w:bCs w:val="0"/>
          <w:sz w:val="32"/>
          <w:szCs w:val="32"/>
        </w:rPr>
      </w:pPr>
      <w:bookmarkStart w:id="3" w:name="bookmark9"/>
      <w:r>
        <w:rPr>
          <w:rFonts w:hint="eastAsia" w:ascii="黑体" w:hAnsi="黑体" w:eastAsia="黑体" w:cs="黑体"/>
          <w:b w:val="0"/>
          <w:bCs w:val="0"/>
          <w:color w:val="000000"/>
          <w:spacing w:val="0"/>
          <w:w w:val="100"/>
          <w:position w:val="0"/>
          <w:sz w:val="32"/>
          <w:szCs w:val="32"/>
        </w:rPr>
        <w:t>二</w:t>
      </w:r>
      <w:bookmarkEnd w:id="3"/>
      <w:r>
        <w:rPr>
          <w:rFonts w:hint="eastAsia" w:ascii="黑体" w:hAnsi="黑体" w:eastAsia="黑体" w:cs="黑体"/>
          <w:b w:val="0"/>
          <w:bCs w:val="0"/>
          <w:color w:val="000000"/>
          <w:spacing w:val="0"/>
          <w:w w:val="100"/>
          <w:position w:val="0"/>
          <w:sz w:val="32"/>
          <w:szCs w:val="32"/>
        </w:rPr>
        <w:t>、信息共享与联合激励的实施方式</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国家发展改革委基于全国信用信息共享平台建立守信联合激励系统。海关总署通过该系统向签署本备忘录的相关部门提供海关高级认证企业名单及企业相关信息，并按照有关规定动态更新。同时，在</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网站、企业信用信息公示系统、中国海关企业进出口信用信息公示平台、海关总署门户网站等向社会公布。各部门从全国信用信息共享平台守信联合激励系统中获取海关高级认证企业信息，执行或协助执行本备忘录规定的激励措施，定期将联合激励实施情况通过该系统反馈给国家发展改革委和海关总署。</w:t>
      </w:r>
    </w:p>
    <w:p>
      <w:pPr>
        <w:pStyle w:val="10"/>
        <w:keepNext w:val="0"/>
        <w:keepLines w:val="0"/>
        <w:pageBreakBefore w:val="0"/>
        <w:widowControl w:val="0"/>
        <w:numPr>
          <w:numId w:val="0"/>
        </w:numPr>
        <w:shd w:val="clear" w:color="auto" w:fill="auto"/>
        <w:tabs>
          <w:tab w:val="left" w:pos="118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color w:val="000000"/>
          <w:spacing w:val="0"/>
          <w:w w:val="100"/>
          <w:position w:val="0"/>
          <w:sz w:val="32"/>
          <w:szCs w:val="32"/>
          <w:lang w:eastAsia="zh-CN"/>
        </w:rPr>
        <w:t>三、</w:t>
      </w:r>
      <w:r>
        <w:rPr>
          <w:rFonts w:hint="eastAsia" w:ascii="黑体" w:hAnsi="黑体" w:eastAsia="黑体" w:cs="黑体"/>
          <w:b w:val="0"/>
          <w:bCs w:val="0"/>
          <w:color w:val="000000"/>
          <w:spacing w:val="0"/>
          <w:w w:val="100"/>
          <w:position w:val="0"/>
          <w:sz w:val="32"/>
          <w:szCs w:val="32"/>
        </w:rPr>
        <w:t>联合激励的动态管理</w:t>
      </w:r>
    </w:p>
    <w:p>
      <w:pPr>
        <w:pStyle w:val="10"/>
        <w:keepNext w:val="0"/>
        <w:keepLines w:val="0"/>
        <w:pageBreakBefore w:val="0"/>
        <w:widowControl w:val="0"/>
        <w:numPr>
          <w:numId w:val="0"/>
        </w:numPr>
        <w:shd w:val="clear" w:color="auto" w:fill="auto"/>
        <w:tabs>
          <w:tab w:val="left" w:pos="118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海关总署将通过海关企业进出口信用管理系统实时、动态监控企业在进出口领域的诚信守法情况，一经发现企业存在违法失信行为的，立即取消企业参与守信联合激励资格并及时通报各部门，停止企业适用的守信联合激励措施。各部门在日常监管中，发现企业存在违法失信行为，应及时通过全国信用信息共享平台，反馈国家发展改革委和海关总署，提供有关情况并建议停止企业适用的守信联合激励措施。全国信用信息共享平台将海关高级认证企业名单与其他领域失信企业名单进行交叉比对，将未纳入其他任何领域失信企业名单的海关高级认证企业确定为联合激励对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四、激励措施、共享内容及实施部门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4" w:name="bookmark11"/>
      <w:r>
        <w:rPr>
          <w:rFonts w:hint="eastAsia" w:ascii="楷体" w:hAnsi="楷体" w:eastAsia="楷体" w:cs="楷体"/>
          <w:color w:val="000000"/>
          <w:spacing w:val="0"/>
          <w:w w:val="100"/>
          <w:position w:val="0"/>
          <w:sz w:val="32"/>
          <w:szCs w:val="32"/>
        </w:rPr>
        <w:t>（</w:t>
      </w:r>
      <w:bookmarkEnd w:id="4"/>
      <w:r>
        <w:rPr>
          <w:rFonts w:hint="eastAsia" w:ascii="楷体" w:hAnsi="楷体" w:eastAsia="楷体" w:cs="楷体"/>
          <w:color w:val="000000"/>
          <w:spacing w:val="0"/>
          <w:w w:val="100"/>
          <w:position w:val="0"/>
          <w:sz w:val="32"/>
          <w:szCs w:val="32"/>
        </w:rPr>
        <w:t>一）适用海关通关支持措施</w:t>
      </w:r>
    </w:p>
    <w:p>
      <w:pPr>
        <w:pStyle w:val="10"/>
        <w:keepNext w:val="0"/>
        <w:keepLines w:val="0"/>
        <w:pageBreakBefore w:val="0"/>
        <w:widowControl w:val="0"/>
        <w:numPr>
          <w:ilvl w:val="0"/>
          <w:numId w:val="1"/>
        </w:numPr>
        <w:shd w:val="clear" w:color="auto" w:fill="auto"/>
        <w:tabs>
          <w:tab w:val="left" w:pos="9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 w:name="bookmark12"/>
      <w:bookmarkEnd w:id="5"/>
      <w:r>
        <w:rPr>
          <w:rFonts w:hint="eastAsia" w:ascii="仿宋" w:hAnsi="仿宋" w:eastAsia="仿宋" w:cs="仿宋"/>
          <w:color w:val="000000"/>
          <w:spacing w:val="0"/>
          <w:w w:val="100"/>
          <w:position w:val="0"/>
          <w:sz w:val="32"/>
          <w:szCs w:val="32"/>
        </w:rPr>
        <w:t>在确定进出口货物的商品归类、海关估价、原产地或者办结其他海关手续前先行办理验放手续。</w:t>
      </w:r>
    </w:p>
    <w:p>
      <w:pPr>
        <w:pStyle w:val="10"/>
        <w:keepNext w:val="0"/>
        <w:keepLines w:val="0"/>
        <w:pageBreakBefore w:val="0"/>
        <w:widowControl w:val="0"/>
        <w:numPr>
          <w:ilvl w:val="0"/>
          <w:numId w:val="1"/>
        </w:numPr>
        <w:shd w:val="clear" w:color="auto" w:fill="auto"/>
        <w:tabs>
          <w:tab w:val="left" w:pos="9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6" w:name="bookmark13"/>
      <w:bookmarkEnd w:id="6"/>
      <w:r>
        <w:rPr>
          <w:rFonts w:hint="eastAsia" w:ascii="仿宋" w:hAnsi="仿宋" w:eastAsia="仿宋" w:cs="仿宋"/>
          <w:color w:val="000000"/>
          <w:spacing w:val="0"/>
          <w:w w:val="100"/>
          <w:position w:val="0"/>
          <w:sz w:val="32"/>
          <w:szCs w:val="32"/>
        </w:rPr>
        <w:t>适用较低进出口货物查验率。</w:t>
      </w:r>
    </w:p>
    <w:p>
      <w:pPr>
        <w:pStyle w:val="10"/>
        <w:keepNext w:val="0"/>
        <w:keepLines w:val="0"/>
        <w:pageBreakBefore w:val="0"/>
        <w:widowControl w:val="0"/>
        <w:numPr>
          <w:ilvl w:val="0"/>
          <w:numId w:val="1"/>
        </w:numPr>
        <w:shd w:val="clear" w:color="auto" w:fill="auto"/>
        <w:tabs>
          <w:tab w:val="left" w:pos="9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7" w:name="bookmark14"/>
      <w:bookmarkEnd w:id="7"/>
      <w:r>
        <w:rPr>
          <w:rFonts w:hint="eastAsia" w:ascii="仿宋" w:hAnsi="仿宋" w:eastAsia="仿宋" w:cs="仿宋"/>
          <w:color w:val="000000"/>
          <w:spacing w:val="0"/>
          <w:w w:val="100"/>
          <w:position w:val="0"/>
          <w:sz w:val="32"/>
          <w:szCs w:val="32"/>
        </w:rPr>
        <w:t>简化进出口货物单证审核流程。</w:t>
      </w:r>
    </w:p>
    <w:p>
      <w:pPr>
        <w:pStyle w:val="10"/>
        <w:keepNext w:val="0"/>
        <w:keepLines w:val="0"/>
        <w:pageBreakBefore w:val="0"/>
        <w:widowControl w:val="0"/>
        <w:numPr>
          <w:ilvl w:val="0"/>
          <w:numId w:val="1"/>
        </w:numPr>
        <w:shd w:val="clear" w:color="auto" w:fill="auto"/>
        <w:tabs>
          <w:tab w:val="left" w:pos="96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8" w:name="bookmark15"/>
      <w:bookmarkEnd w:id="8"/>
      <w:r>
        <w:rPr>
          <w:rFonts w:hint="eastAsia" w:ascii="仿宋" w:hAnsi="仿宋" w:eastAsia="仿宋" w:cs="仿宋"/>
          <w:color w:val="000000"/>
          <w:spacing w:val="0"/>
          <w:w w:val="100"/>
          <w:position w:val="0"/>
          <w:sz w:val="32"/>
          <w:szCs w:val="32"/>
        </w:rPr>
        <w:t>优先办理进出口货物通关手续。</w:t>
      </w:r>
    </w:p>
    <w:p>
      <w:pPr>
        <w:pStyle w:val="10"/>
        <w:keepNext w:val="0"/>
        <w:keepLines w:val="0"/>
        <w:pageBreakBefore w:val="0"/>
        <w:widowControl w:val="0"/>
        <w:numPr>
          <w:ilvl w:val="0"/>
          <w:numId w:val="1"/>
        </w:numPr>
        <w:shd w:val="clear" w:color="auto" w:fill="auto"/>
        <w:tabs>
          <w:tab w:val="left" w:pos="96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zh-CN" w:eastAsia="zh-CN"/>
        </w:rPr>
        <w:t>海关</w:t>
      </w:r>
      <w:r>
        <w:rPr>
          <w:rFonts w:hint="eastAsia" w:ascii="仿宋" w:hAnsi="仿宋" w:eastAsia="仿宋" w:cs="仿宋"/>
          <w:color w:val="000000"/>
          <w:spacing w:val="0"/>
          <w:w w:val="100"/>
          <w:position w:val="0"/>
          <w:sz w:val="32"/>
          <w:szCs w:val="32"/>
        </w:rPr>
        <w:t>为企业设立协调员。</w:t>
      </w:r>
    </w:p>
    <w:p>
      <w:pPr>
        <w:pStyle w:val="10"/>
        <w:keepNext w:val="0"/>
        <w:keepLines w:val="0"/>
        <w:pageBreakBefore w:val="0"/>
        <w:widowControl w:val="0"/>
        <w:numPr>
          <w:ilvl w:val="0"/>
          <w:numId w:val="2"/>
        </w:numPr>
        <w:shd w:val="clear" w:color="auto" w:fill="auto"/>
        <w:tabs>
          <w:tab w:val="left" w:pos="9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9" w:name="bookmark17"/>
      <w:bookmarkEnd w:id="9"/>
      <w:r>
        <w:rPr>
          <w:rFonts w:hint="eastAsia" w:ascii="仿宋" w:hAnsi="仿宋" w:eastAsia="仿宋" w:cs="仿宋"/>
          <w:color w:val="000000"/>
          <w:spacing w:val="0"/>
          <w:w w:val="100"/>
          <w:position w:val="0"/>
          <w:sz w:val="32"/>
          <w:szCs w:val="32"/>
        </w:rPr>
        <w:t>对从事加工贸易的企业，不实行银行保证金台账制度。</w:t>
      </w:r>
    </w:p>
    <w:p>
      <w:pPr>
        <w:pStyle w:val="10"/>
        <w:keepNext w:val="0"/>
        <w:keepLines w:val="0"/>
        <w:pageBreakBefore w:val="0"/>
        <w:widowControl w:val="0"/>
        <w:numPr>
          <w:ilvl w:val="0"/>
          <w:numId w:val="2"/>
        </w:numPr>
        <w:shd w:val="clear" w:color="auto" w:fill="auto"/>
        <w:tabs>
          <w:tab w:val="left" w:pos="9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0" w:name="bookmark18"/>
      <w:bookmarkEnd w:id="10"/>
      <w:r>
        <w:rPr>
          <w:rFonts w:hint="eastAsia" w:ascii="仿宋" w:hAnsi="仿宋" w:eastAsia="仿宋" w:cs="仿宋"/>
          <w:color w:val="000000"/>
          <w:spacing w:val="0"/>
          <w:w w:val="100"/>
          <w:position w:val="0"/>
          <w:sz w:val="32"/>
          <w:szCs w:val="32"/>
        </w:rPr>
        <w:t>适用汇总征税管理措施。</w:t>
      </w:r>
    </w:p>
    <w:p>
      <w:pPr>
        <w:pStyle w:val="10"/>
        <w:keepNext w:val="0"/>
        <w:keepLines w:val="0"/>
        <w:pageBreakBefore w:val="0"/>
        <w:widowControl w:val="0"/>
        <w:numPr>
          <w:ilvl w:val="0"/>
          <w:numId w:val="2"/>
        </w:numPr>
        <w:shd w:val="clear" w:color="auto" w:fill="auto"/>
        <w:tabs>
          <w:tab w:val="left" w:pos="9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1" w:name="bookmark19"/>
      <w:bookmarkEnd w:id="11"/>
      <w:r>
        <w:rPr>
          <w:rFonts w:hint="eastAsia" w:ascii="仿宋" w:hAnsi="仿宋" w:eastAsia="仿宋" w:cs="仿宋"/>
          <w:color w:val="000000"/>
          <w:spacing w:val="0"/>
          <w:w w:val="100"/>
          <w:position w:val="0"/>
          <w:sz w:val="32"/>
          <w:szCs w:val="32"/>
        </w:rPr>
        <w:t>根据国际协议规定，适用原产地自主声明措施。</w:t>
      </w:r>
    </w:p>
    <w:p>
      <w:pPr>
        <w:pStyle w:val="10"/>
        <w:keepNext w:val="0"/>
        <w:keepLines w:val="0"/>
        <w:pageBreakBefore w:val="0"/>
        <w:widowControl w:val="0"/>
        <w:numPr>
          <w:ilvl w:val="0"/>
          <w:numId w:val="2"/>
        </w:numPr>
        <w:shd w:val="clear" w:color="auto" w:fill="auto"/>
        <w:tabs>
          <w:tab w:val="left" w:pos="9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2" w:name="bookmark20"/>
      <w:bookmarkEnd w:id="12"/>
      <w:r>
        <w:rPr>
          <w:rFonts w:hint="eastAsia" w:ascii="仿宋" w:hAnsi="仿宋" w:eastAsia="仿宋" w:cs="仿宋"/>
          <w:b w:val="0"/>
          <w:bCs w:val="0"/>
          <w:color w:val="000000"/>
          <w:spacing w:val="0"/>
          <w:w w:val="100"/>
          <w:position w:val="0"/>
          <w:sz w:val="32"/>
          <w:szCs w:val="32"/>
          <w:lang w:val="en-US" w:eastAsia="en-US" w:bidi="en-US"/>
        </w:rPr>
        <w:t>AEO</w:t>
      </w:r>
      <w:r>
        <w:rPr>
          <w:rFonts w:hint="eastAsia" w:ascii="仿宋" w:hAnsi="仿宋" w:eastAsia="仿宋" w:cs="仿宋"/>
          <w:color w:val="000000"/>
          <w:spacing w:val="0"/>
          <w:w w:val="100"/>
          <w:position w:val="0"/>
          <w:sz w:val="32"/>
          <w:szCs w:val="32"/>
        </w:rPr>
        <w:t>互认国家或者地区海关提供的通关便利措施。</w:t>
      </w:r>
    </w:p>
    <w:p>
      <w:pPr>
        <w:pStyle w:val="10"/>
        <w:keepNext w:val="0"/>
        <w:keepLines w:val="0"/>
        <w:pageBreakBefore w:val="0"/>
        <w:widowControl w:val="0"/>
        <w:numPr>
          <w:ilvl w:val="0"/>
          <w:numId w:val="2"/>
        </w:numPr>
        <w:shd w:val="clear" w:color="auto" w:fill="auto"/>
        <w:tabs>
          <w:tab w:val="left" w:pos="110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3" w:name="bookmark21"/>
      <w:bookmarkEnd w:id="13"/>
      <w:r>
        <w:rPr>
          <w:rFonts w:hint="eastAsia" w:ascii="仿宋" w:hAnsi="仿宋" w:eastAsia="仿宋" w:cs="仿宋"/>
          <w:color w:val="000000"/>
          <w:spacing w:val="0"/>
          <w:w w:val="100"/>
          <w:position w:val="0"/>
          <w:sz w:val="32"/>
          <w:szCs w:val="32"/>
        </w:rPr>
        <w:t>海关给予适用的其他便利管理措施。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实施部门：海关总署</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4" w:name="bookmark22"/>
      <w:r>
        <w:rPr>
          <w:rFonts w:hint="eastAsia" w:ascii="楷体" w:hAnsi="楷体" w:eastAsia="楷体" w:cs="楷体"/>
          <w:color w:val="000000"/>
          <w:spacing w:val="0"/>
          <w:w w:val="100"/>
          <w:position w:val="0"/>
          <w:sz w:val="32"/>
          <w:szCs w:val="32"/>
        </w:rPr>
        <w:t>（</w:t>
      </w:r>
      <w:bookmarkEnd w:id="14"/>
      <w:r>
        <w:rPr>
          <w:rFonts w:hint="eastAsia" w:ascii="楷体" w:hAnsi="楷体" w:eastAsia="楷体" w:cs="楷体"/>
          <w:color w:val="000000"/>
          <w:spacing w:val="0"/>
          <w:w w:val="100"/>
          <w:position w:val="0"/>
          <w:sz w:val="32"/>
          <w:szCs w:val="32"/>
        </w:rPr>
        <w:t>二）发展改革部门支持措施</w:t>
      </w:r>
    </w:p>
    <w:p>
      <w:pPr>
        <w:pStyle w:val="10"/>
        <w:keepNext w:val="0"/>
        <w:keepLines w:val="0"/>
        <w:pageBreakBefore w:val="0"/>
        <w:widowControl w:val="0"/>
        <w:numPr>
          <w:ilvl w:val="0"/>
          <w:numId w:val="2"/>
        </w:numPr>
        <w:shd w:val="clear" w:color="auto" w:fill="auto"/>
        <w:tabs>
          <w:tab w:val="left" w:pos="112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5" w:name="bookmark23"/>
      <w:bookmarkEnd w:id="15"/>
      <w:r>
        <w:rPr>
          <w:rFonts w:hint="eastAsia" w:ascii="仿宋" w:hAnsi="仿宋" w:eastAsia="仿宋" w:cs="仿宋"/>
          <w:color w:val="000000"/>
          <w:spacing w:val="0"/>
          <w:w w:val="100"/>
          <w:position w:val="0"/>
          <w:sz w:val="32"/>
          <w:szCs w:val="32"/>
        </w:rPr>
        <w:t>建立行政审批绿色通道，根据实际情况实施</w:t>
      </w:r>
      <w:r>
        <w:rPr>
          <w:rFonts w:hint="eastAsia" w:ascii="仿宋" w:hAnsi="仿宋" w:eastAsia="仿宋" w:cs="仿宋"/>
          <w:color w:val="000000"/>
          <w:spacing w:val="0"/>
          <w:w w:val="100"/>
          <w:position w:val="0"/>
          <w:sz w:val="32"/>
          <w:szCs w:val="32"/>
          <w:lang w:val="zh-CN" w:eastAsia="zh-CN" w:bidi="zh-CN"/>
        </w:rPr>
        <w:t>“容</w:t>
      </w:r>
      <w:r>
        <w:rPr>
          <w:rFonts w:hint="eastAsia" w:ascii="仿宋" w:hAnsi="仿宋" w:eastAsia="仿宋" w:cs="仿宋"/>
          <w:color w:val="000000"/>
          <w:spacing w:val="0"/>
          <w:w w:val="100"/>
          <w:position w:val="0"/>
          <w:sz w:val="32"/>
          <w:szCs w:val="32"/>
        </w:rPr>
        <w:t>缺受理</w:t>
      </w:r>
      <w:r>
        <w:rPr>
          <w:rFonts w:hint="eastAsia" w:ascii="仿宋" w:hAnsi="仿宋" w:eastAsia="仿宋" w:cs="仿宋"/>
          <w:color w:val="000000"/>
          <w:spacing w:val="0"/>
          <w:w w:val="100"/>
          <w:position w:val="0"/>
          <w:sz w:val="32"/>
          <w:szCs w:val="32"/>
          <w:lang w:val="zh-CN" w:eastAsia="zh-CN" w:bidi="zh-CN"/>
        </w:rPr>
        <w:t>”等</w:t>
      </w:r>
      <w:r>
        <w:rPr>
          <w:rFonts w:hint="eastAsia" w:ascii="仿宋" w:hAnsi="仿宋" w:eastAsia="仿宋" w:cs="仿宋"/>
          <w:color w:val="000000"/>
          <w:spacing w:val="0"/>
          <w:w w:val="100"/>
          <w:position w:val="0"/>
          <w:sz w:val="32"/>
          <w:szCs w:val="32"/>
        </w:rPr>
        <w:t>便利服务，部分申报材料（法律法规要求提供的材料除外）不齐备的，如行政相对人书面承诺在规定期限内提供，可先行受理，加快办理进度。</w:t>
      </w:r>
    </w:p>
    <w:p>
      <w:pPr>
        <w:pStyle w:val="10"/>
        <w:keepNext w:val="0"/>
        <w:keepLines w:val="0"/>
        <w:pageBreakBefore w:val="0"/>
        <w:widowControl w:val="0"/>
        <w:numPr>
          <w:ilvl w:val="0"/>
          <w:numId w:val="2"/>
        </w:numPr>
        <w:shd w:val="clear" w:color="auto" w:fill="auto"/>
        <w:tabs>
          <w:tab w:val="left" w:pos="112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6" w:name="bookmark24"/>
      <w:bookmarkEnd w:id="16"/>
      <w:r>
        <w:rPr>
          <w:rFonts w:hint="eastAsia" w:ascii="仿宋" w:hAnsi="仿宋" w:eastAsia="仿宋" w:cs="仿宋"/>
          <w:color w:val="000000"/>
          <w:spacing w:val="0"/>
          <w:w w:val="100"/>
          <w:position w:val="0"/>
          <w:sz w:val="32"/>
          <w:szCs w:val="32"/>
        </w:rPr>
        <w:t>在专项建设基金项目申报筛选中，同等条件下予以优先考虑。</w:t>
      </w:r>
    </w:p>
    <w:p>
      <w:pPr>
        <w:pStyle w:val="10"/>
        <w:keepNext w:val="0"/>
        <w:keepLines w:val="0"/>
        <w:pageBreakBefore w:val="0"/>
        <w:widowControl w:val="0"/>
        <w:numPr>
          <w:ilvl w:val="0"/>
          <w:numId w:val="2"/>
        </w:numPr>
        <w:shd w:val="clear" w:color="auto" w:fill="auto"/>
        <w:tabs>
          <w:tab w:val="left" w:pos="11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7" w:name="bookmark25"/>
      <w:bookmarkEnd w:id="17"/>
      <w:r>
        <w:rPr>
          <w:rFonts w:hint="eastAsia" w:ascii="仿宋" w:hAnsi="仿宋" w:eastAsia="仿宋" w:cs="仿宋"/>
          <w:color w:val="000000"/>
          <w:spacing w:val="0"/>
          <w:w w:val="100"/>
          <w:position w:val="0"/>
          <w:sz w:val="32"/>
          <w:szCs w:val="32"/>
        </w:rPr>
        <w:t>企业债发行过程中，鼓励发行人披露海关认证信息，增强发行人的市场认可度，降低企业融资成本。</w:t>
      </w:r>
    </w:p>
    <w:p>
      <w:pPr>
        <w:pStyle w:val="10"/>
        <w:keepNext w:val="0"/>
        <w:keepLines w:val="0"/>
        <w:pageBreakBefore w:val="0"/>
        <w:widowControl w:val="0"/>
        <w:numPr>
          <w:ilvl w:val="0"/>
          <w:numId w:val="2"/>
        </w:numPr>
        <w:shd w:val="clear" w:color="auto" w:fill="auto"/>
        <w:tabs>
          <w:tab w:val="left" w:pos="111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8" w:name="bookmark26"/>
      <w:bookmarkEnd w:id="18"/>
      <w:r>
        <w:rPr>
          <w:rFonts w:hint="eastAsia" w:ascii="仿宋" w:hAnsi="仿宋" w:eastAsia="仿宋" w:cs="仿宋"/>
          <w:color w:val="000000"/>
          <w:spacing w:val="0"/>
          <w:w w:val="100"/>
          <w:position w:val="0"/>
          <w:sz w:val="32"/>
          <w:szCs w:val="32"/>
        </w:rPr>
        <w:t>在粮食、棉花等进出口配额分配中，可以将申请人信用状况与获得配额难易程度或配额数量挂钩，对于海关高级认证企业给予一定激励措施。</w:t>
      </w:r>
    </w:p>
    <w:p>
      <w:pPr>
        <w:pStyle w:val="10"/>
        <w:keepNext w:val="0"/>
        <w:keepLines w:val="0"/>
        <w:pageBreakBefore w:val="0"/>
        <w:widowControl w:val="0"/>
        <w:numPr>
          <w:ilvl w:val="0"/>
          <w:numId w:val="2"/>
        </w:numPr>
        <w:shd w:val="clear" w:color="auto" w:fill="auto"/>
        <w:tabs>
          <w:tab w:val="left" w:pos="110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9" w:name="bookmark27"/>
      <w:bookmarkEnd w:id="19"/>
      <w:r>
        <w:rPr>
          <w:rFonts w:hint="eastAsia" w:ascii="仿宋" w:hAnsi="仿宋" w:eastAsia="仿宋" w:cs="仿宋"/>
          <w:color w:val="000000"/>
          <w:spacing w:val="0"/>
          <w:w w:val="100"/>
          <w:position w:val="0"/>
          <w:sz w:val="32"/>
          <w:szCs w:val="32"/>
        </w:rPr>
        <w:t>在电力直接交易中，对于交易主体为海关高级认证企业的，同等条件下优先考虑。</w:t>
      </w:r>
    </w:p>
    <w:p>
      <w:pPr>
        <w:pStyle w:val="10"/>
        <w:keepNext w:val="0"/>
        <w:keepLines w:val="0"/>
        <w:pageBreakBefore w:val="0"/>
        <w:widowControl w:val="0"/>
        <w:numPr>
          <w:ilvl w:val="0"/>
          <w:numId w:val="2"/>
        </w:numPr>
        <w:shd w:val="clear" w:color="auto" w:fill="auto"/>
        <w:tabs>
          <w:tab w:val="left" w:pos="11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0" w:name="bookmark28"/>
      <w:bookmarkEnd w:id="20"/>
      <w:r>
        <w:rPr>
          <w:rFonts w:hint="eastAsia" w:ascii="仿宋" w:hAnsi="仿宋" w:eastAsia="仿宋" w:cs="仿宋"/>
          <w:color w:val="000000"/>
          <w:spacing w:val="0"/>
          <w:w w:val="100"/>
          <w:position w:val="0"/>
          <w:sz w:val="32"/>
          <w:szCs w:val="32"/>
        </w:rPr>
        <w:t>在企业境外发债备案管理中，同等条件下加快办理进度，适时选择海关高级认证企业开展年度发债额度一次核定、分期分批发行试点。</w:t>
      </w:r>
    </w:p>
    <w:p>
      <w:pPr>
        <w:pStyle w:val="10"/>
        <w:keepNext w:val="0"/>
        <w:keepLines w:val="0"/>
        <w:pageBreakBefore w:val="0"/>
        <w:widowControl w:val="0"/>
        <w:numPr>
          <w:ilvl w:val="0"/>
          <w:numId w:val="2"/>
        </w:numPr>
        <w:shd w:val="clear" w:color="auto" w:fill="auto"/>
        <w:tabs>
          <w:tab w:val="left" w:pos="11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1" w:name="bookmark29"/>
      <w:bookmarkEnd w:id="21"/>
      <w:r>
        <w:rPr>
          <w:rFonts w:hint="eastAsia" w:ascii="仿宋" w:hAnsi="仿宋" w:eastAsia="仿宋" w:cs="仿宋"/>
          <w:color w:val="000000"/>
          <w:spacing w:val="0"/>
          <w:w w:val="100"/>
          <w:position w:val="0"/>
          <w:sz w:val="32"/>
          <w:szCs w:val="32"/>
        </w:rPr>
        <w:t>在政府投资项目招标中，招标人确需投标人提交进出口证明的，可以简化进出口证明等相关手续。</w:t>
      </w:r>
    </w:p>
    <w:p>
      <w:pPr>
        <w:pStyle w:val="10"/>
        <w:keepNext w:val="0"/>
        <w:keepLines w:val="0"/>
        <w:pageBreakBefore w:val="0"/>
        <w:widowControl w:val="0"/>
        <w:numPr>
          <w:ilvl w:val="0"/>
          <w:numId w:val="2"/>
        </w:numPr>
        <w:shd w:val="clear" w:color="auto" w:fill="auto"/>
        <w:tabs>
          <w:tab w:val="left" w:pos="11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2" w:name="bookmark30"/>
      <w:bookmarkEnd w:id="22"/>
      <w:r>
        <w:rPr>
          <w:rFonts w:hint="eastAsia" w:ascii="仿宋" w:hAnsi="仿宋" w:eastAsia="仿宋" w:cs="仿宋"/>
          <w:color w:val="000000"/>
          <w:spacing w:val="0"/>
          <w:w w:val="100"/>
          <w:position w:val="0"/>
          <w:sz w:val="32"/>
          <w:szCs w:val="32"/>
        </w:rPr>
        <w:t>重大项目稽查中，对于中央预算内投资项目专项稽查过程中，可适当减少抽查比例。</w:t>
      </w:r>
    </w:p>
    <w:p>
      <w:pPr>
        <w:pStyle w:val="10"/>
        <w:keepNext w:val="0"/>
        <w:keepLines w:val="0"/>
        <w:pageBreakBefore w:val="0"/>
        <w:widowControl w:val="0"/>
        <w:numPr>
          <w:ilvl w:val="0"/>
          <w:numId w:val="2"/>
        </w:numPr>
        <w:shd w:val="clear" w:color="auto" w:fill="auto"/>
        <w:tabs>
          <w:tab w:val="left" w:pos="112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3" w:name="bookmark31"/>
      <w:bookmarkEnd w:id="23"/>
      <w:r>
        <w:rPr>
          <w:rFonts w:hint="eastAsia" w:ascii="仿宋" w:hAnsi="仿宋" w:eastAsia="仿宋" w:cs="仿宋"/>
          <w:color w:val="000000"/>
          <w:spacing w:val="0"/>
          <w:w w:val="100"/>
          <w:position w:val="0"/>
          <w:sz w:val="32"/>
          <w:szCs w:val="32"/>
        </w:rPr>
        <w:t>支持地方发展改革部门在法律法规和自身职权范围内，采取更多的激励措施。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实施部门：国家发展改革委</w:t>
      </w:r>
    </w:p>
    <w:p>
      <w:pPr>
        <w:pStyle w:val="10"/>
        <w:keepNext w:val="0"/>
        <w:keepLines w:val="0"/>
        <w:pageBreakBefore w:val="0"/>
        <w:widowControl w:val="0"/>
        <w:shd w:val="clear" w:color="auto" w:fill="auto"/>
        <w:tabs>
          <w:tab w:val="left" w:pos="151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24" w:name="bookmark32"/>
      <w:r>
        <w:rPr>
          <w:rFonts w:hint="eastAsia" w:ascii="楷体" w:hAnsi="楷体" w:eastAsia="楷体" w:cs="楷体"/>
          <w:color w:val="000000"/>
          <w:spacing w:val="0"/>
          <w:w w:val="100"/>
          <w:position w:val="0"/>
          <w:sz w:val="32"/>
          <w:szCs w:val="32"/>
        </w:rPr>
        <w:t>（</w:t>
      </w:r>
      <w:bookmarkEnd w:id="24"/>
      <w:r>
        <w:rPr>
          <w:rFonts w:hint="eastAsia" w:ascii="楷体" w:hAnsi="楷体" w:eastAsia="楷体" w:cs="楷体"/>
          <w:color w:val="000000"/>
          <w:spacing w:val="0"/>
          <w:w w:val="100"/>
          <w:position w:val="0"/>
          <w:sz w:val="32"/>
          <w:szCs w:val="32"/>
        </w:rPr>
        <w:t>三）给予商务领域政策支持</w:t>
      </w:r>
    </w:p>
    <w:p>
      <w:pPr>
        <w:pStyle w:val="10"/>
        <w:keepNext w:val="0"/>
        <w:keepLines w:val="0"/>
        <w:pageBreakBefore w:val="0"/>
        <w:widowControl w:val="0"/>
        <w:numPr>
          <w:ilvl w:val="0"/>
          <w:numId w:val="2"/>
        </w:numPr>
        <w:shd w:val="clear" w:color="auto" w:fill="auto"/>
        <w:tabs>
          <w:tab w:val="left" w:pos="110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5" w:name="bookmark33"/>
      <w:bookmarkEnd w:id="25"/>
      <w:r>
        <w:rPr>
          <w:rFonts w:hint="eastAsia" w:ascii="仿宋" w:hAnsi="仿宋" w:eastAsia="仿宋" w:cs="仿宋"/>
          <w:color w:val="000000"/>
          <w:spacing w:val="0"/>
          <w:w w:val="100"/>
          <w:position w:val="0"/>
          <w:sz w:val="32"/>
          <w:szCs w:val="32"/>
        </w:rPr>
        <w:t>办理加工贸易企业生产能力证明等事项时，给予优先处理的便利政策，缩减办证的时间。</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实施部门：商务部</w:t>
      </w:r>
    </w:p>
    <w:p>
      <w:pPr>
        <w:pStyle w:val="10"/>
        <w:keepNext w:val="0"/>
        <w:keepLines w:val="0"/>
        <w:pageBreakBefore w:val="0"/>
        <w:widowControl w:val="0"/>
        <w:shd w:val="clear" w:color="auto" w:fill="auto"/>
        <w:tabs>
          <w:tab w:val="left" w:pos="151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26" w:name="bookmark34"/>
      <w:r>
        <w:rPr>
          <w:rFonts w:hint="eastAsia" w:ascii="楷体" w:hAnsi="楷体" w:eastAsia="楷体" w:cs="楷体"/>
          <w:color w:val="000000"/>
          <w:spacing w:val="0"/>
          <w:w w:val="100"/>
          <w:position w:val="0"/>
          <w:sz w:val="32"/>
          <w:szCs w:val="32"/>
        </w:rPr>
        <w:t>（</w:t>
      </w:r>
      <w:bookmarkEnd w:id="26"/>
      <w:r>
        <w:rPr>
          <w:rFonts w:hint="eastAsia" w:ascii="楷体" w:hAnsi="楷体" w:eastAsia="楷体" w:cs="楷体"/>
          <w:color w:val="000000"/>
          <w:spacing w:val="0"/>
          <w:w w:val="100"/>
          <w:position w:val="0"/>
          <w:sz w:val="32"/>
          <w:szCs w:val="32"/>
        </w:rPr>
        <w:t>四）金融部门授信融资参考</w:t>
      </w:r>
    </w:p>
    <w:p>
      <w:pPr>
        <w:pStyle w:val="10"/>
        <w:keepNext w:val="0"/>
        <w:keepLines w:val="0"/>
        <w:pageBreakBefore w:val="0"/>
        <w:widowControl w:val="0"/>
        <w:numPr>
          <w:ilvl w:val="0"/>
          <w:numId w:val="2"/>
        </w:numPr>
        <w:shd w:val="clear" w:color="auto" w:fill="auto"/>
        <w:tabs>
          <w:tab w:val="left" w:pos="111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7" w:name="bookmark35"/>
      <w:bookmarkEnd w:id="27"/>
      <w:r>
        <w:rPr>
          <w:rFonts w:hint="eastAsia" w:ascii="仿宋" w:hAnsi="仿宋" w:eastAsia="仿宋" w:cs="仿宋"/>
          <w:color w:val="000000"/>
          <w:spacing w:val="0"/>
          <w:w w:val="100"/>
          <w:position w:val="0"/>
          <w:sz w:val="32"/>
          <w:szCs w:val="32"/>
        </w:rPr>
        <w:t>作为银行等金融机构授信融资贷款的重要参考条件。</w:t>
      </w:r>
    </w:p>
    <w:p>
      <w:pPr>
        <w:pStyle w:val="10"/>
        <w:keepNext w:val="0"/>
        <w:keepLines w:val="0"/>
        <w:pageBreakBefore w:val="0"/>
        <w:widowControl w:val="0"/>
        <w:numPr>
          <w:ilvl w:val="0"/>
          <w:numId w:val="2"/>
        </w:numPr>
        <w:shd w:val="clear" w:color="auto" w:fill="auto"/>
        <w:tabs>
          <w:tab w:val="left" w:pos="111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8" w:name="bookmark36"/>
      <w:bookmarkEnd w:id="28"/>
      <w:r>
        <w:rPr>
          <w:rFonts w:hint="eastAsia" w:ascii="仿宋" w:hAnsi="仿宋" w:eastAsia="仿宋" w:cs="仿宋"/>
          <w:color w:val="000000"/>
          <w:spacing w:val="0"/>
          <w:w w:val="100"/>
          <w:position w:val="0"/>
          <w:sz w:val="32"/>
          <w:szCs w:val="32"/>
        </w:rPr>
        <w:t xml:space="preserve">作为优良信用记录记入金融信用信息基础数据库。 </w:t>
      </w:r>
    </w:p>
    <w:p>
      <w:pPr>
        <w:pStyle w:val="10"/>
        <w:keepNext w:val="0"/>
        <w:keepLines w:val="0"/>
        <w:pageBreakBefore w:val="0"/>
        <w:widowControl w:val="0"/>
        <w:numPr>
          <w:numId w:val="0"/>
        </w:numPr>
        <w:shd w:val="clear" w:color="auto" w:fill="auto"/>
        <w:tabs>
          <w:tab w:val="left" w:pos="1111"/>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实施部门：人民银行、银监会</w:t>
      </w:r>
    </w:p>
    <w:p>
      <w:pPr>
        <w:pStyle w:val="10"/>
        <w:keepNext w:val="0"/>
        <w:keepLines w:val="0"/>
        <w:pageBreakBefore w:val="0"/>
        <w:widowControl w:val="0"/>
        <w:shd w:val="clear" w:color="auto" w:fill="auto"/>
        <w:tabs>
          <w:tab w:val="left" w:pos="151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29" w:name="bookmark37"/>
      <w:r>
        <w:rPr>
          <w:rFonts w:hint="eastAsia" w:ascii="楷体" w:hAnsi="楷体" w:eastAsia="楷体" w:cs="楷体"/>
          <w:color w:val="000000"/>
          <w:spacing w:val="0"/>
          <w:w w:val="100"/>
          <w:position w:val="0"/>
          <w:sz w:val="32"/>
          <w:szCs w:val="32"/>
        </w:rPr>
        <w:t>（</w:t>
      </w:r>
      <w:bookmarkEnd w:id="29"/>
      <w:r>
        <w:rPr>
          <w:rFonts w:hint="eastAsia" w:ascii="楷体" w:hAnsi="楷体" w:eastAsia="楷体" w:cs="楷体"/>
          <w:color w:val="000000"/>
          <w:spacing w:val="0"/>
          <w:w w:val="100"/>
          <w:position w:val="0"/>
          <w:sz w:val="32"/>
          <w:szCs w:val="32"/>
        </w:rPr>
        <w:t>五）给予证券、保险领域政策支持</w:t>
      </w:r>
    </w:p>
    <w:p>
      <w:pPr>
        <w:pStyle w:val="10"/>
        <w:keepNext w:val="0"/>
        <w:keepLines w:val="0"/>
        <w:pageBreakBefore w:val="0"/>
        <w:widowControl w:val="0"/>
        <w:numPr>
          <w:ilvl w:val="0"/>
          <w:numId w:val="2"/>
        </w:numPr>
        <w:shd w:val="clear" w:color="auto" w:fill="auto"/>
        <w:tabs>
          <w:tab w:val="left" w:pos="111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0" w:name="bookmark38"/>
      <w:bookmarkEnd w:id="30"/>
      <w:r>
        <w:rPr>
          <w:rFonts w:hint="eastAsia" w:ascii="仿宋" w:hAnsi="仿宋" w:eastAsia="仿宋" w:cs="仿宋"/>
          <w:color w:val="000000"/>
          <w:spacing w:val="0"/>
          <w:w w:val="100"/>
          <w:position w:val="0"/>
          <w:sz w:val="32"/>
          <w:szCs w:val="32"/>
        </w:rPr>
        <w:t>审批证券、基金管理公司、期货公司及保险公司设立、变更、从事相关业务等行为时，将企业信用信息作为重要参考。</w:t>
      </w:r>
    </w:p>
    <w:p>
      <w:pPr>
        <w:pStyle w:val="10"/>
        <w:keepNext w:val="0"/>
        <w:keepLines w:val="0"/>
        <w:pageBreakBefore w:val="0"/>
        <w:widowControl w:val="0"/>
        <w:numPr>
          <w:ilvl w:val="0"/>
          <w:numId w:val="2"/>
        </w:numPr>
        <w:shd w:val="clear" w:color="auto" w:fill="auto"/>
        <w:tabs>
          <w:tab w:val="left" w:pos="112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1" w:name="bookmark39"/>
      <w:bookmarkEnd w:id="31"/>
      <w:r>
        <w:rPr>
          <w:rFonts w:hint="eastAsia" w:ascii="仿宋" w:hAnsi="仿宋" w:eastAsia="仿宋" w:cs="仿宋"/>
          <w:color w:val="000000"/>
          <w:spacing w:val="0"/>
          <w:w w:val="100"/>
          <w:position w:val="0"/>
          <w:sz w:val="32"/>
          <w:szCs w:val="32"/>
        </w:rPr>
        <w:t>在保险中介机构的设立等方面提供便利化措施。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实施部门：证监会、保监会</w:t>
      </w:r>
    </w:p>
    <w:p>
      <w:pPr>
        <w:pStyle w:val="10"/>
        <w:keepNext w:val="0"/>
        <w:keepLines w:val="0"/>
        <w:pageBreakBefore w:val="0"/>
        <w:widowControl w:val="0"/>
        <w:shd w:val="clear" w:color="auto" w:fill="auto"/>
        <w:tabs>
          <w:tab w:val="left" w:pos="151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32" w:name="bookmark40"/>
      <w:r>
        <w:rPr>
          <w:rFonts w:hint="eastAsia" w:ascii="楷体" w:hAnsi="楷体" w:eastAsia="楷体" w:cs="楷体"/>
          <w:color w:val="000000"/>
          <w:spacing w:val="0"/>
          <w:w w:val="100"/>
          <w:position w:val="0"/>
          <w:sz w:val="32"/>
          <w:szCs w:val="32"/>
        </w:rPr>
        <w:t>（</w:t>
      </w:r>
      <w:bookmarkEnd w:id="32"/>
      <w:r>
        <w:rPr>
          <w:rFonts w:hint="eastAsia" w:ascii="楷体" w:hAnsi="楷体" w:eastAsia="楷体" w:cs="楷体"/>
          <w:color w:val="000000"/>
          <w:spacing w:val="0"/>
          <w:w w:val="100"/>
          <w:position w:val="0"/>
          <w:sz w:val="32"/>
          <w:szCs w:val="32"/>
        </w:rPr>
        <w:t>六）给予财政资金使用支持</w:t>
      </w:r>
    </w:p>
    <w:p>
      <w:pPr>
        <w:pStyle w:val="10"/>
        <w:keepNext w:val="0"/>
        <w:keepLines w:val="0"/>
        <w:pageBreakBefore w:val="0"/>
        <w:widowControl w:val="0"/>
        <w:numPr>
          <w:ilvl w:val="0"/>
          <w:numId w:val="2"/>
        </w:numPr>
        <w:shd w:val="clear" w:color="auto" w:fill="auto"/>
        <w:tabs>
          <w:tab w:val="left" w:pos="112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3" w:name="bookmark41"/>
      <w:bookmarkEnd w:id="33"/>
      <w:r>
        <w:rPr>
          <w:rFonts w:hint="eastAsia" w:ascii="仿宋" w:hAnsi="仿宋" w:eastAsia="仿宋" w:cs="仿宋"/>
          <w:color w:val="000000"/>
          <w:spacing w:val="0"/>
          <w:w w:val="100"/>
          <w:position w:val="0"/>
          <w:sz w:val="32"/>
          <w:szCs w:val="32"/>
        </w:rPr>
        <w:t>在实施财政性资金项目安排时，将海关高级认证企业的信用状况作为参考条件，同等条件下优先考虑海关高级认证企业。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2055" w:right="1620" w:bottom="1842" w:left="1705" w:header="0" w:footer="3" w:gutter="0"/>
          <w:pgNumType w:start="1"/>
          <w:cols w:space="720" w:num="1"/>
          <w:rtlGutter w:val="0"/>
          <w:docGrid w:linePitch="360" w:charSpace="0"/>
        </w:sectPr>
      </w:pPr>
      <w:r>
        <w:rPr>
          <w:rFonts w:hint="eastAsia" w:ascii="仿宋" w:hAnsi="仿宋" w:eastAsia="仿宋" w:cs="仿宋"/>
          <w:color w:val="000000"/>
          <w:spacing w:val="0"/>
          <w:w w:val="100"/>
          <w:position w:val="0"/>
          <w:sz w:val="32"/>
          <w:szCs w:val="32"/>
        </w:rPr>
        <w:t>实施部门：财政部</w:t>
      </w:r>
    </w:p>
    <w:p>
      <w:pPr>
        <w:pStyle w:val="10"/>
        <w:keepNext w:val="0"/>
        <w:keepLines w:val="0"/>
        <w:pageBreakBefore w:val="0"/>
        <w:widowControl w:val="0"/>
        <w:shd w:val="clear" w:color="auto" w:fill="auto"/>
        <w:tabs>
          <w:tab w:val="left" w:pos="14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34" w:name="bookmark42"/>
      <w:r>
        <w:rPr>
          <w:rFonts w:hint="eastAsia" w:ascii="楷体" w:hAnsi="楷体" w:eastAsia="楷体" w:cs="楷体"/>
          <w:color w:val="000000"/>
          <w:spacing w:val="0"/>
          <w:w w:val="100"/>
          <w:position w:val="0"/>
          <w:sz w:val="32"/>
          <w:szCs w:val="32"/>
        </w:rPr>
        <w:t>（</w:t>
      </w:r>
      <w:bookmarkEnd w:id="34"/>
      <w:r>
        <w:rPr>
          <w:rFonts w:hint="eastAsia" w:ascii="楷体" w:hAnsi="楷体" w:eastAsia="楷体" w:cs="楷体"/>
          <w:color w:val="000000"/>
          <w:spacing w:val="0"/>
          <w:w w:val="100"/>
          <w:position w:val="0"/>
          <w:sz w:val="32"/>
          <w:szCs w:val="32"/>
        </w:rPr>
        <w:t>七）给予增值电信业务支持</w:t>
      </w:r>
    </w:p>
    <w:p>
      <w:pPr>
        <w:pStyle w:val="10"/>
        <w:keepNext w:val="0"/>
        <w:keepLines w:val="0"/>
        <w:pageBreakBefore w:val="0"/>
        <w:widowControl w:val="0"/>
        <w:numPr>
          <w:ilvl w:val="0"/>
          <w:numId w:val="2"/>
        </w:numPr>
        <w:shd w:val="clear" w:color="auto" w:fill="auto"/>
        <w:tabs>
          <w:tab w:val="left" w:pos="110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5" w:name="bookmark43"/>
      <w:bookmarkEnd w:id="35"/>
      <w:r>
        <w:rPr>
          <w:rFonts w:hint="eastAsia" w:ascii="仿宋" w:hAnsi="仿宋" w:eastAsia="仿宋" w:cs="仿宋"/>
          <w:color w:val="000000"/>
          <w:spacing w:val="0"/>
          <w:w w:val="100"/>
          <w:position w:val="0"/>
          <w:sz w:val="32"/>
          <w:szCs w:val="32"/>
        </w:rPr>
        <w:t>申请增值电信业务经营许可证时给予便利。</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实施部门：工业和信息化部</w:t>
      </w:r>
    </w:p>
    <w:p>
      <w:pPr>
        <w:pStyle w:val="10"/>
        <w:keepNext w:val="0"/>
        <w:keepLines w:val="0"/>
        <w:pageBreakBefore w:val="0"/>
        <w:widowControl w:val="0"/>
        <w:shd w:val="clear" w:color="auto" w:fill="auto"/>
        <w:tabs>
          <w:tab w:val="left" w:pos="14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36" w:name="bookmark44"/>
      <w:r>
        <w:rPr>
          <w:rFonts w:hint="eastAsia" w:ascii="楷体" w:hAnsi="楷体" w:eastAsia="楷体" w:cs="楷体"/>
          <w:color w:val="000000"/>
          <w:spacing w:val="0"/>
          <w:w w:val="100"/>
          <w:position w:val="0"/>
          <w:sz w:val="32"/>
          <w:szCs w:val="32"/>
        </w:rPr>
        <w:t>（</w:t>
      </w:r>
      <w:bookmarkEnd w:id="36"/>
      <w:r>
        <w:rPr>
          <w:rFonts w:hint="eastAsia" w:ascii="楷体" w:hAnsi="楷体" w:eastAsia="楷体" w:cs="楷体"/>
          <w:color w:val="000000"/>
          <w:spacing w:val="0"/>
          <w:w w:val="100"/>
          <w:position w:val="0"/>
          <w:sz w:val="32"/>
          <w:szCs w:val="32"/>
        </w:rPr>
        <w:t>八）给予社会保障领域政策支持</w:t>
      </w:r>
    </w:p>
    <w:p>
      <w:pPr>
        <w:pStyle w:val="10"/>
        <w:keepNext w:val="0"/>
        <w:keepLines w:val="0"/>
        <w:pageBreakBefore w:val="0"/>
        <w:widowControl w:val="0"/>
        <w:numPr>
          <w:ilvl w:val="0"/>
          <w:numId w:val="2"/>
        </w:numPr>
        <w:shd w:val="clear" w:color="auto" w:fill="auto"/>
        <w:tabs>
          <w:tab w:val="left" w:pos="111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7" w:name="bookmark45"/>
      <w:bookmarkEnd w:id="37"/>
      <w:r>
        <w:rPr>
          <w:rFonts w:hint="eastAsia" w:ascii="仿宋" w:hAnsi="仿宋" w:eastAsia="仿宋" w:cs="仿宋"/>
          <w:color w:val="000000"/>
          <w:spacing w:val="0"/>
          <w:w w:val="100"/>
          <w:position w:val="0"/>
          <w:sz w:val="32"/>
          <w:szCs w:val="32"/>
        </w:rPr>
        <w:t>在办理社会保险业务时可享受企业绿色通道，实施快捷服务。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实施部门：人力资源和社会保障部</w:t>
      </w:r>
    </w:p>
    <w:p>
      <w:pPr>
        <w:pStyle w:val="10"/>
        <w:keepNext w:val="0"/>
        <w:keepLines w:val="0"/>
        <w:pageBreakBefore w:val="0"/>
        <w:widowControl w:val="0"/>
        <w:shd w:val="clear" w:color="auto" w:fill="auto"/>
        <w:tabs>
          <w:tab w:val="left" w:pos="14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38" w:name="bookmark46"/>
      <w:r>
        <w:rPr>
          <w:rFonts w:hint="eastAsia" w:ascii="楷体" w:hAnsi="楷体" w:eastAsia="楷体" w:cs="楷体"/>
          <w:color w:val="000000"/>
          <w:spacing w:val="0"/>
          <w:w w:val="100"/>
          <w:position w:val="0"/>
          <w:sz w:val="32"/>
          <w:szCs w:val="32"/>
        </w:rPr>
        <w:t>（</w:t>
      </w:r>
      <w:bookmarkEnd w:id="38"/>
      <w:r>
        <w:rPr>
          <w:rFonts w:hint="eastAsia" w:ascii="楷体" w:hAnsi="楷体" w:eastAsia="楷体" w:cs="楷体"/>
          <w:color w:val="000000"/>
          <w:spacing w:val="0"/>
          <w:w w:val="100"/>
          <w:position w:val="0"/>
          <w:sz w:val="32"/>
          <w:szCs w:val="32"/>
        </w:rPr>
        <w:t>九）给予土地使用和管理支持</w:t>
      </w:r>
    </w:p>
    <w:p>
      <w:pPr>
        <w:pStyle w:val="10"/>
        <w:keepNext w:val="0"/>
        <w:keepLines w:val="0"/>
        <w:pageBreakBefore w:val="0"/>
        <w:widowControl w:val="0"/>
        <w:numPr>
          <w:ilvl w:val="0"/>
          <w:numId w:val="2"/>
        </w:numPr>
        <w:shd w:val="clear" w:color="auto" w:fill="auto"/>
        <w:tabs>
          <w:tab w:val="left" w:pos="110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9" w:name="bookmark47"/>
      <w:bookmarkEnd w:id="39"/>
      <w:r>
        <w:rPr>
          <w:rFonts w:hint="eastAsia" w:ascii="仿宋" w:hAnsi="仿宋" w:eastAsia="仿宋" w:cs="仿宋"/>
          <w:color w:val="000000"/>
          <w:spacing w:val="0"/>
          <w:w w:val="100"/>
          <w:position w:val="0"/>
          <w:sz w:val="32"/>
          <w:szCs w:val="32"/>
        </w:rPr>
        <w:t>在政府招标供应土地时，同等条件下予以优先考虑。</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实施部门：国土资源部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（十）给予环境保护许可事项支持</w:t>
      </w:r>
    </w:p>
    <w:p>
      <w:pPr>
        <w:pStyle w:val="10"/>
        <w:keepNext w:val="0"/>
        <w:keepLines w:val="0"/>
        <w:pageBreakBefore w:val="0"/>
        <w:widowControl w:val="0"/>
        <w:numPr>
          <w:ilvl w:val="0"/>
          <w:numId w:val="2"/>
        </w:numPr>
        <w:shd w:val="clear" w:color="auto" w:fill="auto"/>
        <w:tabs>
          <w:tab w:val="left" w:pos="11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0" w:name="bookmark48"/>
      <w:bookmarkEnd w:id="40"/>
      <w:r>
        <w:rPr>
          <w:rFonts w:hint="eastAsia" w:ascii="仿宋" w:hAnsi="仿宋" w:eastAsia="仿宋" w:cs="仿宋"/>
          <w:color w:val="000000"/>
          <w:spacing w:val="0"/>
          <w:w w:val="100"/>
          <w:position w:val="0"/>
          <w:sz w:val="32"/>
          <w:szCs w:val="32"/>
        </w:rPr>
        <w:t>办理环境影响评价文件审批等环境保护许可事项，在同等条件下予以优先办理。</w:t>
      </w:r>
    </w:p>
    <w:p>
      <w:pPr>
        <w:pStyle w:val="10"/>
        <w:keepNext w:val="0"/>
        <w:keepLines w:val="0"/>
        <w:pageBreakBefore w:val="0"/>
        <w:widowControl w:val="0"/>
        <w:numPr>
          <w:ilvl w:val="0"/>
          <w:numId w:val="2"/>
        </w:numPr>
        <w:shd w:val="clear" w:color="auto" w:fill="auto"/>
        <w:tabs>
          <w:tab w:val="left" w:pos="112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1" w:name="bookmark49"/>
      <w:bookmarkEnd w:id="41"/>
      <w:r>
        <w:rPr>
          <w:rFonts w:hint="eastAsia" w:ascii="仿宋" w:hAnsi="仿宋" w:eastAsia="仿宋" w:cs="仿宋"/>
          <w:color w:val="000000"/>
          <w:spacing w:val="0"/>
          <w:w w:val="100"/>
          <w:position w:val="0"/>
          <w:sz w:val="32"/>
          <w:szCs w:val="32"/>
        </w:rPr>
        <w:t>日常监管中，在无举报情况下，适当减少监管频次。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实施部门：环境保护部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（十一）给予税收管理支持</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 xml:space="preserve">31 </w:t>
      </w:r>
      <w:r>
        <w:rPr>
          <w:rFonts w:hint="eastAsia" w:ascii="仿宋" w:hAnsi="仿宋" w:eastAsia="仿宋" w:cs="仿宋"/>
          <w:color w:val="000000"/>
          <w:spacing w:val="0"/>
          <w:w w:val="100"/>
          <w:position w:val="0"/>
          <w:sz w:val="32"/>
          <w:szCs w:val="32"/>
          <w:lang w:val="zh-CN" w:eastAsia="zh-CN" w:bidi="zh-CN"/>
        </w:rPr>
        <w:t>.增</w:t>
      </w:r>
      <w:r>
        <w:rPr>
          <w:rFonts w:hint="eastAsia" w:ascii="仿宋" w:hAnsi="仿宋" w:eastAsia="仿宋" w:cs="仿宋"/>
          <w:color w:val="000000"/>
          <w:spacing w:val="0"/>
          <w:w w:val="100"/>
          <w:position w:val="0"/>
          <w:sz w:val="32"/>
          <w:szCs w:val="32"/>
        </w:rPr>
        <w:t>值税发票领用比照纳税信用</w:t>
      </w:r>
      <w:r>
        <w:rPr>
          <w:rFonts w:hint="eastAsia" w:ascii="仿宋" w:hAnsi="仿宋" w:eastAsia="仿宋" w:cs="仿宋"/>
          <w:b w:val="0"/>
          <w:bCs w:val="0"/>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级纳税人办理（可一次领取</w:t>
      </w:r>
      <w:r>
        <w:rPr>
          <w:rFonts w:hint="eastAsia" w:ascii="仿宋" w:hAnsi="仿宋" w:eastAsia="仿宋" w:cs="仿宋"/>
          <w:b w:val="0"/>
          <w:bCs w:val="0"/>
          <w:color w:val="000000"/>
          <w:spacing w:val="0"/>
          <w:w w:val="100"/>
          <w:position w:val="0"/>
          <w:sz w:val="32"/>
          <w:szCs w:val="32"/>
        </w:rPr>
        <w:t>3</w:t>
      </w:r>
      <w:r>
        <w:rPr>
          <w:rFonts w:hint="eastAsia" w:ascii="仿宋" w:hAnsi="仿宋" w:eastAsia="仿宋" w:cs="仿宋"/>
          <w:color w:val="000000"/>
          <w:spacing w:val="0"/>
          <w:w w:val="100"/>
          <w:position w:val="0"/>
          <w:sz w:val="32"/>
          <w:szCs w:val="32"/>
        </w:rPr>
        <w:t>个月的增值税发票用量，需要调整增值税发票用量的，纳税人提供资料齐全的，按照需要即时办理。）</w:t>
      </w:r>
    </w:p>
    <w:p>
      <w:pPr>
        <w:pStyle w:val="10"/>
        <w:keepNext w:val="0"/>
        <w:keepLines w:val="0"/>
        <w:pageBreakBefore w:val="0"/>
        <w:widowControl w:val="0"/>
        <w:numPr>
          <w:ilvl w:val="0"/>
          <w:numId w:val="3"/>
        </w:numPr>
        <w:shd w:val="clear" w:color="auto" w:fill="auto"/>
        <w:tabs>
          <w:tab w:val="left" w:pos="112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pacing w:val="-20"/>
          <w:sz w:val="32"/>
          <w:szCs w:val="32"/>
        </w:rPr>
      </w:pPr>
      <w:bookmarkStart w:id="42" w:name="bookmark50"/>
      <w:bookmarkEnd w:id="42"/>
      <w:r>
        <w:rPr>
          <w:rFonts w:hint="eastAsia" w:ascii="仿宋" w:hAnsi="仿宋" w:eastAsia="仿宋" w:cs="仿宋"/>
          <w:color w:val="000000"/>
          <w:spacing w:val="0"/>
          <w:w w:val="100"/>
          <w:position w:val="0"/>
          <w:sz w:val="32"/>
          <w:szCs w:val="32"/>
        </w:rPr>
        <w:t>由税务机关提供绿色通道</w:t>
      </w:r>
      <w:r>
        <w:rPr>
          <w:rFonts w:hint="eastAsia" w:ascii="仿宋" w:hAnsi="仿宋" w:eastAsia="仿宋" w:cs="仿宋"/>
          <w:color w:val="000000"/>
          <w:spacing w:val="-20"/>
          <w:w w:val="100"/>
          <w:position w:val="0"/>
          <w:sz w:val="32"/>
          <w:szCs w:val="32"/>
        </w:rPr>
        <w:t>或专门</w:t>
      </w:r>
      <w:r>
        <w:rPr>
          <w:rFonts w:hint="eastAsia" w:ascii="仿宋" w:hAnsi="仿宋" w:eastAsia="仿宋" w:cs="仿宋"/>
          <w:color w:val="000000"/>
          <w:spacing w:val="-20"/>
          <w:w w:val="100"/>
          <w:position w:val="0"/>
          <w:sz w:val="32"/>
          <w:szCs w:val="32"/>
        </w:rPr>
        <w:t>人员帮助办理涉税事项。</w:t>
      </w:r>
    </w:p>
    <w:p>
      <w:pPr>
        <w:pStyle w:val="10"/>
        <w:keepNext w:val="0"/>
        <w:keepLines w:val="0"/>
        <w:pageBreakBefore w:val="0"/>
        <w:widowControl w:val="0"/>
        <w:numPr>
          <w:ilvl w:val="0"/>
          <w:numId w:val="3"/>
        </w:numPr>
        <w:shd w:val="clear" w:color="auto" w:fill="auto"/>
        <w:tabs>
          <w:tab w:val="left" w:pos="111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3" w:name="bookmark51"/>
      <w:bookmarkEnd w:id="43"/>
      <w:r>
        <w:rPr>
          <w:rFonts w:hint="eastAsia" w:ascii="仿宋" w:hAnsi="仿宋" w:eastAsia="仿宋" w:cs="仿宋"/>
          <w:color w:val="000000"/>
          <w:spacing w:val="0"/>
          <w:w w:val="100"/>
          <w:position w:val="0"/>
          <w:sz w:val="32"/>
          <w:szCs w:val="32"/>
        </w:rPr>
        <w:t>符合条件的海关高级认证企业，其出口退（免）税企业分类管理类别可评定为一类，享受以下便利化措施：</w:t>
      </w:r>
    </w:p>
    <w:p>
      <w:pPr>
        <w:pStyle w:val="10"/>
        <w:keepNext w:val="0"/>
        <w:keepLines w:val="0"/>
        <w:pageBreakBefore w:val="0"/>
        <w:widowControl w:val="0"/>
        <w:shd w:val="clear" w:color="auto" w:fill="auto"/>
        <w:tabs>
          <w:tab w:val="left" w:pos="139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4" w:name="bookmark52"/>
      <w:r>
        <w:rPr>
          <w:rFonts w:hint="eastAsia" w:ascii="仿宋" w:hAnsi="仿宋" w:eastAsia="仿宋" w:cs="仿宋"/>
          <w:b w:val="0"/>
          <w:bCs w:val="0"/>
          <w:color w:val="000000"/>
          <w:spacing w:val="0"/>
          <w:w w:val="100"/>
          <w:position w:val="0"/>
          <w:sz w:val="32"/>
          <w:szCs w:val="32"/>
          <w:lang w:val="zh-CN" w:eastAsia="zh-CN" w:bidi="zh-CN"/>
        </w:rPr>
        <w:t>（</w:t>
      </w:r>
      <w:bookmarkEnd w:id="44"/>
      <w:r>
        <w:rPr>
          <w:rFonts w:hint="eastAsia" w:ascii="仿宋" w:hAnsi="仿宋" w:eastAsia="仿宋" w:cs="仿宋"/>
          <w:b w:val="0"/>
          <w:bCs w:val="0"/>
          <w:color w:val="000000"/>
          <w:spacing w:val="0"/>
          <w:w w:val="100"/>
          <w:position w:val="0"/>
          <w:sz w:val="32"/>
          <w:szCs w:val="32"/>
          <w:lang w:val="zh-CN" w:eastAsia="zh-CN" w:bidi="zh-CN"/>
        </w:rPr>
        <w:t>1）</w:t>
      </w:r>
      <w:r>
        <w:rPr>
          <w:rFonts w:hint="eastAsia" w:ascii="仿宋" w:hAnsi="仿宋" w:eastAsia="仿宋" w:cs="仿宋"/>
          <w:color w:val="000000"/>
          <w:spacing w:val="0"/>
          <w:w w:val="100"/>
          <w:position w:val="0"/>
          <w:sz w:val="32"/>
          <w:szCs w:val="32"/>
        </w:rPr>
        <w:t>国税机关可为该类企业提供绿色办税通道（特约服务区），优先办理出口退税，并建立重点联系制度，及时解决企业有关出口退（免）税问题。</w:t>
      </w:r>
    </w:p>
    <w:p>
      <w:pPr>
        <w:pStyle w:val="10"/>
        <w:keepNext w:val="0"/>
        <w:keepLines w:val="0"/>
        <w:pageBreakBefore w:val="0"/>
        <w:widowControl w:val="0"/>
        <w:shd w:val="clear" w:color="auto" w:fill="auto"/>
        <w:tabs>
          <w:tab w:val="left" w:pos="138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5" w:name="bookmark53"/>
      <w:r>
        <w:rPr>
          <w:rFonts w:hint="eastAsia" w:ascii="仿宋" w:hAnsi="仿宋" w:eastAsia="仿宋" w:cs="仿宋"/>
          <w:b w:val="0"/>
          <w:bCs w:val="0"/>
          <w:color w:val="000000"/>
          <w:spacing w:val="0"/>
          <w:w w:val="100"/>
          <w:position w:val="0"/>
          <w:sz w:val="32"/>
          <w:szCs w:val="32"/>
        </w:rPr>
        <w:t>（</w:t>
      </w:r>
      <w:bookmarkEnd w:id="45"/>
      <w:r>
        <w:rPr>
          <w:rFonts w:hint="eastAsia" w:ascii="仿宋" w:hAnsi="仿宋" w:eastAsia="仿宋" w:cs="仿宋"/>
          <w:b w:val="0"/>
          <w:bCs w:val="0"/>
          <w:color w:val="000000"/>
          <w:spacing w:val="0"/>
          <w:w w:val="100"/>
          <w:position w:val="0"/>
          <w:sz w:val="32"/>
          <w:szCs w:val="32"/>
        </w:rPr>
        <w:t>2）国税机关受理该类企业申报的出口退（免）税之后，经审核符合规定的，在5</w:t>
      </w:r>
      <w:r>
        <w:rPr>
          <w:rFonts w:hint="eastAsia" w:ascii="仿宋" w:hAnsi="仿宋" w:eastAsia="仿宋" w:cs="仿宋"/>
          <w:color w:val="000000"/>
          <w:spacing w:val="0"/>
          <w:w w:val="100"/>
          <w:position w:val="0"/>
          <w:sz w:val="32"/>
          <w:szCs w:val="32"/>
        </w:rPr>
        <w:t>个工作日内办结出口退（免）税手续。</w:t>
      </w:r>
    </w:p>
    <w:p>
      <w:pPr>
        <w:pStyle w:val="10"/>
        <w:keepNext w:val="0"/>
        <w:keepLines w:val="0"/>
        <w:pageBreakBefore w:val="0"/>
        <w:widowControl w:val="0"/>
        <w:numPr>
          <w:ilvl w:val="0"/>
          <w:numId w:val="3"/>
        </w:numPr>
        <w:shd w:val="clear" w:color="auto" w:fill="auto"/>
        <w:tabs>
          <w:tab w:val="left" w:pos="111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6" w:name="bookmark54"/>
      <w:bookmarkEnd w:id="46"/>
      <w:r>
        <w:rPr>
          <w:rFonts w:hint="eastAsia" w:ascii="仿宋" w:hAnsi="仿宋" w:eastAsia="仿宋" w:cs="仿宋"/>
          <w:color w:val="000000"/>
          <w:spacing w:val="0"/>
          <w:w w:val="100"/>
          <w:position w:val="0"/>
          <w:sz w:val="32"/>
          <w:szCs w:val="32"/>
        </w:rPr>
        <w:t>增值税一般纳税人取消增值税发票认证。</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实施部门：税务总局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（十二）给予工商管理支持</w:t>
      </w:r>
    </w:p>
    <w:p>
      <w:pPr>
        <w:pStyle w:val="10"/>
        <w:keepNext w:val="0"/>
        <w:keepLines w:val="0"/>
        <w:pageBreakBefore w:val="0"/>
        <w:widowControl w:val="0"/>
        <w:numPr>
          <w:ilvl w:val="0"/>
          <w:numId w:val="3"/>
        </w:numPr>
        <w:shd w:val="clear" w:color="auto" w:fill="auto"/>
        <w:tabs>
          <w:tab w:val="left" w:pos="11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7" w:name="bookmark55"/>
      <w:bookmarkEnd w:id="47"/>
      <w:r>
        <w:rPr>
          <w:rFonts w:hint="eastAsia" w:ascii="仿宋" w:hAnsi="仿宋" w:eastAsia="仿宋" w:cs="仿宋"/>
          <w:color w:val="000000"/>
          <w:spacing w:val="0"/>
          <w:w w:val="100"/>
          <w:position w:val="0"/>
          <w:sz w:val="32"/>
          <w:szCs w:val="32"/>
        </w:rPr>
        <w:t>优先提供有关合同法律法规方面的咨询、培训、宣传和受理调节合同纠纷。</w:t>
      </w:r>
    </w:p>
    <w:p>
      <w:pPr>
        <w:pStyle w:val="10"/>
        <w:keepNext w:val="0"/>
        <w:keepLines w:val="0"/>
        <w:pageBreakBefore w:val="0"/>
        <w:widowControl w:val="0"/>
        <w:numPr>
          <w:ilvl w:val="0"/>
          <w:numId w:val="3"/>
        </w:numPr>
        <w:shd w:val="clear" w:color="auto" w:fill="auto"/>
        <w:tabs>
          <w:tab w:val="left" w:pos="114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8" w:name="bookmark56"/>
      <w:bookmarkEnd w:id="48"/>
      <w:r>
        <w:rPr>
          <w:rFonts w:hint="eastAsia" w:ascii="仿宋" w:hAnsi="仿宋" w:eastAsia="仿宋" w:cs="仿宋"/>
          <w:color w:val="000000"/>
          <w:spacing w:val="0"/>
          <w:w w:val="100"/>
          <w:position w:val="0"/>
          <w:sz w:val="32"/>
          <w:szCs w:val="32"/>
        </w:rPr>
        <w:t>降低市场监管的随机抽查比例。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实施部门：工商总局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（十三）给予一定的出入境检验检疫管理支持</w:t>
      </w:r>
    </w:p>
    <w:p>
      <w:pPr>
        <w:pStyle w:val="10"/>
        <w:keepNext w:val="0"/>
        <w:keepLines w:val="0"/>
        <w:pageBreakBefore w:val="0"/>
        <w:widowControl w:val="0"/>
        <w:numPr>
          <w:ilvl w:val="0"/>
          <w:numId w:val="3"/>
        </w:numPr>
        <w:shd w:val="clear" w:color="auto" w:fill="auto"/>
        <w:tabs>
          <w:tab w:val="left" w:pos="114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9" w:name="bookmark57"/>
      <w:bookmarkEnd w:id="49"/>
      <w:r>
        <w:rPr>
          <w:rFonts w:hint="eastAsia" w:ascii="仿宋" w:hAnsi="仿宋" w:eastAsia="仿宋" w:cs="仿宋"/>
          <w:color w:val="000000"/>
          <w:spacing w:val="0"/>
          <w:w w:val="100"/>
          <w:position w:val="0"/>
          <w:sz w:val="32"/>
          <w:szCs w:val="32"/>
        </w:rPr>
        <w:t>适用较低的检验检疫口岸查验率。</w:t>
      </w:r>
    </w:p>
    <w:p>
      <w:pPr>
        <w:pStyle w:val="10"/>
        <w:keepNext w:val="0"/>
        <w:keepLines w:val="0"/>
        <w:pageBreakBefore w:val="0"/>
        <w:widowControl w:val="0"/>
        <w:numPr>
          <w:ilvl w:val="0"/>
          <w:numId w:val="3"/>
        </w:numPr>
        <w:shd w:val="clear" w:color="auto" w:fill="auto"/>
        <w:tabs>
          <w:tab w:val="left" w:pos="113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0" w:name="bookmark58"/>
      <w:bookmarkEnd w:id="50"/>
      <w:r>
        <w:rPr>
          <w:rFonts w:hint="eastAsia" w:ascii="仿宋" w:hAnsi="仿宋" w:eastAsia="仿宋" w:cs="仿宋"/>
          <w:color w:val="000000"/>
          <w:spacing w:val="0"/>
          <w:w w:val="100"/>
          <w:position w:val="0"/>
          <w:sz w:val="32"/>
          <w:szCs w:val="32"/>
        </w:rPr>
        <w:t>优先安排办理免办</w:t>
      </w:r>
      <w:r>
        <w:rPr>
          <w:rFonts w:hint="eastAsia" w:ascii="仿宋" w:hAnsi="仿宋" w:eastAsia="仿宋" w:cs="仿宋"/>
          <w:b w:val="0"/>
          <w:bCs w:val="0"/>
          <w:color w:val="000000"/>
          <w:spacing w:val="0"/>
          <w:w w:val="100"/>
          <w:position w:val="0"/>
          <w:sz w:val="32"/>
          <w:szCs w:val="32"/>
          <w:lang w:val="en-US" w:eastAsia="en-US" w:bidi="en-US"/>
        </w:rPr>
        <w:t>CCC</w:t>
      </w:r>
      <w:r>
        <w:rPr>
          <w:rFonts w:hint="eastAsia" w:ascii="仿宋" w:hAnsi="仿宋" w:eastAsia="仿宋" w:cs="仿宋"/>
          <w:b w:val="0"/>
          <w:bCs w:val="0"/>
          <w:color w:val="000000"/>
          <w:spacing w:val="0"/>
          <w:w w:val="100"/>
          <w:position w:val="0"/>
          <w:sz w:val="32"/>
          <w:szCs w:val="32"/>
        </w:rPr>
        <w:t>和免办</w:t>
      </w:r>
      <w:r>
        <w:rPr>
          <w:rFonts w:hint="eastAsia" w:ascii="仿宋" w:hAnsi="仿宋" w:eastAsia="仿宋" w:cs="仿宋"/>
          <w:b w:val="0"/>
          <w:bCs w:val="0"/>
          <w:color w:val="000000"/>
          <w:spacing w:val="0"/>
          <w:w w:val="100"/>
          <w:position w:val="0"/>
          <w:sz w:val="32"/>
          <w:szCs w:val="32"/>
          <w:lang w:val="en-US" w:eastAsia="en-US" w:bidi="en-US"/>
        </w:rPr>
        <w:t>CCC</w:t>
      </w:r>
      <w:r>
        <w:rPr>
          <w:rFonts w:hint="eastAsia" w:ascii="仿宋" w:hAnsi="仿宋" w:eastAsia="仿宋" w:cs="仿宋"/>
          <w:color w:val="000000"/>
          <w:spacing w:val="0"/>
          <w:w w:val="100"/>
          <w:position w:val="0"/>
          <w:sz w:val="32"/>
          <w:szCs w:val="32"/>
        </w:rPr>
        <w:t>认证货物担保放行以及后续核销等。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实施部门：质检总局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（十四）给予安全生产管理支持</w:t>
      </w:r>
    </w:p>
    <w:p>
      <w:pPr>
        <w:pStyle w:val="10"/>
        <w:keepNext w:val="0"/>
        <w:keepLines w:val="0"/>
        <w:pageBreakBefore w:val="0"/>
        <w:widowControl w:val="0"/>
        <w:numPr>
          <w:ilvl w:val="0"/>
          <w:numId w:val="3"/>
        </w:numPr>
        <w:shd w:val="clear" w:color="auto" w:fill="auto"/>
        <w:tabs>
          <w:tab w:val="left" w:pos="114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1" w:name="bookmark59"/>
      <w:bookmarkEnd w:id="51"/>
      <w:r>
        <w:rPr>
          <w:rFonts w:hint="eastAsia" w:ascii="仿宋" w:hAnsi="仿宋" w:eastAsia="仿宋" w:cs="仿宋"/>
          <w:color w:val="000000"/>
          <w:spacing w:val="0"/>
          <w:w w:val="100"/>
          <w:position w:val="0"/>
          <w:sz w:val="32"/>
          <w:szCs w:val="32"/>
        </w:rPr>
        <w:t>在海关高级认证企业提出申请后，依法对企业提供安全生产法律和政策支持。在办理安全生产行政许可事项时，对海关高级认证企业实行优先办理。</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实施部门：安全监管总局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（十五）给予食品药品管理支持</w:t>
      </w:r>
    </w:p>
    <w:p>
      <w:pPr>
        <w:pStyle w:val="10"/>
        <w:keepNext w:val="0"/>
        <w:keepLines w:val="0"/>
        <w:pageBreakBefore w:val="0"/>
        <w:widowControl w:val="0"/>
        <w:numPr>
          <w:ilvl w:val="0"/>
          <w:numId w:val="3"/>
        </w:numPr>
        <w:shd w:val="clear" w:color="auto" w:fill="auto"/>
        <w:tabs>
          <w:tab w:val="left" w:pos="111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2" w:name="bookmark60"/>
      <w:bookmarkEnd w:id="52"/>
      <w:r>
        <w:rPr>
          <w:rFonts w:hint="eastAsia" w:ascii="仿宋" w:hAnsi="仿宋" w:eastAsia="仿宋" w:cs="仿宋"/>
          <w:color w:val="000000"/>
          <w:spacing w:val="0"/>
          <w:w w:val="100"/>
          <w:position w:val="0"/>
          <w:sz w:val="32"/>
          <w:szCs w:val="32"/>
        </w:rPr>
        <w:t>建立绿色通道，在办理食品药品生产经营审批事项时根据实际情况提供便利服务。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实施部门：食品药品监管总局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（十六）给予外汇管理支持</w:t>
      </w:r>
    </w:p>
    <w:p>
      <w:pPr>
        <w:pStyle w:val="10"/>
        <w:keepNext w:val="0"/>
        <w:keepLines w:val="0"/>
        <w:pageBreakBefore w:val="0"/>
        <w:widowControl w:val="0"/>
        <w:numPr>
          <w:ilvl w:val="0"/>
          <w:numId w:val="3"/>
        </w:numPr>
        <w:shd w:val="clear" w:color="auto" w:fill="auto"/>
        <w:tabs>
          <w:tab w:val="left" w:pos="111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3" w:name="bookmark61"/>
      <w:bookmarkEnd w:id="53"/>
      <w:r>
        <w:rPr>
          <w:rFonts w:hint="eastAsia" w:ascii="仿宋" w:hAnsi="仿宋" w:eastAsia="仿宋" w:cs="仿宋"/>
          <w:color w:val="000000"/>
          <w:spacing w:val="0"/>
          <w:w w:val="100"/>
          <w:position w:val="0"/>
          <w:sz w:val="32"/>
          <w:szCs w:val="32"/>
        </w:rPr>
        <w:t>在外汇管理改革过程中，优先选择外汇业务合规性好的海关高级认证企业作为贸易投资便利化改革措施的先行先试对象。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实施部门：外汇局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（十七）优先给予先进荣誉</w:t>
      </w:r>
    </w:p>
    <w:p>
      <w:pPr>
        <w:pStyle w:val="10"/>
        <w:keepNext w:val="0"/>
        <w:keepLines w:val="0"/>
        <w:pageBreakBefore w:val="0"/>
        <w:widowControl w:val="0"/>
        <w:numPr>
          <w:ilvl w:val="0"/>
          <w:numId w:val="3"/>
        </w:numPr>
        <w:shd w:val="clear" w:color="auto" w:fill="auto"/>
        <w:tabs>
          <w:tab w:val="left" w:pos="117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4" w:name="bookmark62"/>
      <w:bookmarkEnd w:id="54"/>
      <w:r>
        <w:rPr>
          <w:rFonts w:hint="eastAsia" w:ascii="仿宋" w:hAnsi="仿宋" w:eastAsia="仿宋" w:cs="仿宋"/>
          <w:color w:val="000000"/>
          <w:spacing w:val="0"/>
          <w:w w:val="100"/>
          <w:position w:val="0"/>
          <w:sz w:val="32"/>
          <w:szCs w:val="32"/>
        </w:rPr>
        <w:t>在文明城市、文明单位评比中予以优先考虑。</w:t>
      </w:r>
    </w:p>
    <w:p>
      <w:pPr>
        <w:pStyle w:val="10"/>
        <w:keepNext w:val="0"/>
        <w:keepLines w:val="0"/>
        <w:pageBreakBefore w:val="0"/>
        <w:widowControl w:val="0"/>
        <w:numPr>
          <w:ilvl w:val="0"/>
          <w:numId w:val="3"/>
        </w:numPr>
        <w:shd w:val="clear" w:color="auto" w:fill="auto"/>
        <w:tabs>
          <w:tab w:val="left" w:pos="117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5" w:name="bookmark63"/>
      <w:bookmarkEnd w:id="55"/>
      <w:r>
        <w:rPr>
          <w:rFonts w:hint="eastAsia" w:ascii="仿宋" w:hAnsi="仿宋" w:eastAsia="仿宋" w:cs="仿宋"/>
          <w:color w:val="000000"/>
          <w:spacing w:val="0"/>
          <w:w w:val="100"/>
          <w:position w:val="0"/>
          <w:sz w:val="32"/>
          <w:szCs w:val="32"/>
        </w:rPr>
        <w:t>在评选五一劳动奖状时予以优先考虑。</w:t>
      </w:r>
    </w:p>
    <w:p>
      <w:pPr>
        <w:pStyle w:val="10"/>
        <w:keepNext w:val="0"/>
        <w:keepLines w:val="0"/>
        <w:pageBreakBefore w:val="0"/>
        <w:widowControl w:val="0"/>
        <w:numPr>
          <w:ilvl w:val="0"/>
          <w:numId w:val="3"/>
        </w:numPr>
        <w:shd w:val="clear" w:color="auto" w:fill="auto"/>
        <w:tabs>
          <w:tab w:val="left" w:pos="110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6" w:name="bookmark64"/>
      <w:bookmarkEnd w:id="56"/>
      <w:r>
        <w:rPr>
          <w:rFonts w:hint="eastAsia" w:ascii="仿宋" w:hAnsi="仿宋" w:eastAsia="仿宋" w:cs="仿宋"/>
          <w:color w:val="000000"/>
          <w:spacing w:val="0"/>
          <w:w w:val="100"/>
          <w:position w:val="0"/>
          <w:sz w:val="32"/>
          <w:szCs w:val="32"/>
        </w:rPr>
        <w:t>对海关高级认证企业的法定代表人或者负责人在评选</w:t>
      </w:r>
      <w:r>
        <w:rPr>
          <w:rFonts w:hint="eastAsia" w:ascii="仿宋" w:hAnsi="仿宋" w:eastAsia="仿宋" w:cs="仿宋"/>
          <w:color w:val="000000"/>
          <w:spacing w:val="0"/>
          <w:w w:val="100"/>
          <w:position w:val="0"/>
          <w:sz w:val="32"/>
          <w:szCs w:val="32"/>
          <w:lang w:val="zh-CN" w:eastAsia="zh-CN" w:bidi="zh-CN"/>
        </w:rPr>
        <w:t>“全</w:t>
      </w:r>
      <w:r>
        <w:rPr>
          <w:rFonts w:hint="eastAsia" w:ascii="仿宋" w:hAnsi="仿宋" w:eastAsia="仿宋" w:cs="仿宋"/>
          <w:color w:val="000000"/>
          <w:spacing w:val="0"/>
          <w:w w:val="100"/>
          <w:position w:val="0"/>
          <w:sz w:val="32"/>
          <w:szCs w:val="32"/>
        </w:rPr>
        <w:t>国三八红旗手”时予以优先考虑。</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实施部门：中央文明办、全国总工会、全国妇联</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（十八）给予促进外贸投资支持</w:t>
      </w:r>
    </w:p>
    <w:p>
      <w:pPr>
        <w:pStyle w:val="10"/>
        <w:keepNext w:val="0"/>
        <w:keepLines w:val="0"/>
        <w:pageBreakBefore w:val="0"/>
        <w:widowControl w:val="0"/>
        <w:numPr>
          <w:ilvl w:val="0"/>
          <w:numId w:val="3"/>
        </w:numPr>
        <w:shd w:val="clear" w:color="auto" w:fill="auto"/>
        <w:tabs>
          <w:tab w:val="left" w:pos="110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7" w:name="bookmark65"/>
      <w:bookmarkEnd w:id="57"/>
      <w:r>
        <w:rPr>
          <w:rFonts w:hint="eastAsia" w:ascii="仿宋" w:hAnsi="仿宋" w:eastAsia="仿宋" w:cs="仿宋"/>
          <w:color w:val="000000"/>
          <w:spacing w:val="0"/>
          <w:w w:val="100"/>
          <w:position w:val="0"/>
          <w:sz w:val="32"/>
          <w:szCs w:val="32"/>
        </w:rPr>
        <w:t>在举办和组织企业参加经贸展览会、论坛、洽谈会及有关国际会议时给予优先考虑。</w:t>
      </w:r>
    </w:p>
    <w:p>
      <w:pPr>
        <w:pStyle w:val="10"/>
        <w:keepNext w:val="0"/>
        <w:keepLines w:val="0"/>
        <w:pageBreakBefore w:val="0"/>
        <w:widowControl w:val="0"/>
        <w:numPr>
          <w:ilvl w:val="0"/>
          <w:numId w:val="3"/>
        </w:numPr>
        <w:shd w:val="clear" w:color="auto" w:fill="auto"/>
        <w:tabs>
          <w:tab w:val="left" w:pos="11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8" w:name="bookmark66"/>
      <w:bookmarkEnd w:id="58"/>
      <w:r>
        <w:rPr>
          <w:rFonts w:hint="eastAsia" w:ascii="仿宋" w:hAnsi="仿宋" w:eastAsia="仿宋" w:cs="仿宋"/>
          <w:color w:val="000000"/>
          <w:spacing w:val="0"/>
          <w:w w:val="100"/>
          <w:position w:val="0"/>
          <w:sz w:val="32"/>
          <w:szCs w:val="32"/>
        </w:rPr>
        <w:t>在法律顾问、商事调解、商事出证认证等方面优先提供咨询和支持。</w:t>
      </w:r>
    </w:p>
    <w:p>
      <w:pPr>
        <w:pStyle w:val="10"/>
        <w:keepNext w:val="0"/>
        <w:keepLines w:val="0"/>
        <w:pageBreakBefore w:val="0"/>
        <w:widowControl w:val="0"/>
        <w:numPr>
          <w:ilvl w:val="0"/>
          <w:numId w:val="3"/>
        </w:numPr>
        <w:shd w:val="clear" w:color="auto" w:fill="auto"/>
        <w:tabs>
          <w:tab w:val="left" w:pos="112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9" w:name="bookmark67"/>
      <w:bookmarkEnd w:id="59"/>
      <w:r>
        <w:rPr>
          <w:rFonts w:hint="eastAsia" w:ascii="仿宋" w:hAnsi="仿宋" w:eastAsia="仿宋" w:cs="仿宋"/>
          <w:color w:val="000000"/>
          <w:spacing w:val="0"/>
          <w:w w:val="100"/>
          <w:position w:val="0"/>
          <w:sz w:val="32"/>
          <w:szCs w:val="32"/>
        </w:rPr>
        <w:t>优先提供专利申请、商标注册、诉讼维权等知识产权方面服务。</w:t>
      </w:r>
    </w:p>
    <w:p>
      <w:pPr>
        <w:pStyle w:val="10"/>
        <w:keepNext w:val="0"/>
        <w:keepLines w:val="0"/>
        <w:pageBreakBefore w:val="0"/>
        <w:widowControl w:val="0"/>
        <w:shd w:val="clear" w:color="auto" w:fill="auto"/>
        <w:tabs>
          <w:tab w:val="left" w:pos="648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实施部门：贸促会</w:t>
      </w:r>
      <w:r>
        <w:rPr>
          <w:rFonts w:hint="eastAsia" w:ascii="仿宋" w:hAnsi="仿宋" w:eastAsia="仿宋" w:cs="仿宋"/>
          <w:color w:val="000000"/>
          <w:spacing w:val="0"/>
          <w:w w:val="100"/>
          <w:position w:val="0"/>
          <w:sz w:val="32"/>
          <w:szCs w:val="32"/>
          <w:lang w:val="en-US" w:eastAsia="en-US" w:bidi="en-US"/>
        </w:rPr>
        <w:tab/>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（十九）其他激励措施</w:t>
      </w:r>
    </w:p>
    <w:p>
      <w:pPr>
        <w:pStyle w:val="10"/>
        <w:keepNext w:val="0"/>
        <w:keepLines w:val="0"/>
        <w:pageBreakBefore w:val="0"/>
        <w:widowControl w:val="0"/>
        <w:numPr>
          <w:ilvl w:val="0"/>
          <w:numId w:val="3"/>
        </w:numPr>
        <w:shd w:val="clear" w:color="auto" w:fill="auto"/>
        <w:tabs>
          <w:tab w:val="left" w:pos="11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60" w:name="bookmark68"/>
      <w:bookmarkEnd w:id="60"/>
      <w:r>
        <w:rPr>
          <w:rFonts w:hint="eastAsia" w:ascii="仿宋" w:hAnsi="仿宋" w:eastAsia="仿宋" w:cs="仿宋"/>
          <w:color w:val="000000"/>
          <w:spacing w:val="0"/>
          <w:w w:val="100"/>
          <w:position w:val="0"/>
          <w:sz w:val="32"/>
          <w:szCs w:val="32"/>
        </w:rPr>
        <w:t>对海关高级认证企业给予重点支持，出台适宜在部分企业进行试点的优惠政策、便利服务措施时，考虑优先选择海关高级认证企业试点。</w:t>
      </w:r>
    </w:p>
    <w:p>
      <w:pPr>
        <w:pStyle w:val="10"/>
        <w:keepNext w:val="0"/>
        <w:keepLines w:val="0"/>
        <w:pageBreakBefore w:val="0"/>
        <w:widowControl w:val="0"/>
        <w:numPr>
          <w:ilvl w:val="0"/>
          <w:numId w:val="3"/>
        </w:numPr>
        <w:shd w:val="clear" w:color="auto" w:fill="auto"/>
        <w:tabs>
          <w:tab w:val="left" w:pos="112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61" w:name="bookmark69"/>
      <w:bookmarkEnd w:id="61"/>
      <w:r>
        <w:rPr>
          <w:rFonts w:hint="eastAsia" w:ascii="仿宋" w:hAnsi="仿宋" w:eastAsia="仿宋" w:cs="仿宋"/>
          <w:color w:val="000000"/>
          <w:spacing w:val="0"/>
          <w:w w:val="100"/>
          <w:position w:val="0"/>
          <w:sz w:val="32"/>
          <w:szCs w:val="32"/>
        </w:rPr>
        <w:t>作为各部门在本行业、本领域内向企业和个人颁发荣誉证书、嘉奖和表彰等荣誉性称号的重要参考，优先给予奖励和表彰。</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实施部门：各有关部门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pacing w:val="0"/>
          <w:w w:val="100"/>
          <w:position w:val="0"/>
          <w:sz w:val="32"/>
          <w:szCs w:val="32"/>
        </w:rPr>
        <w:t>五、其他事宜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各部门应密切协作，积极落实本备忘录，制定实施细则和操作流程，确保</w:t>
      </w:r>
      <w:r>
        <w:rPr>
          <w:rFonts w:hint="eastAsia" w:ascii="仿宋" w:hAnsi="仿宋" w:eastAsia="仿宋" w:cs="仿宋"/>
          <w:b w:val="0"/>
          <w:bCs w:val="0"/>
          <w:color w:val="000000"/>
          <w:spacing w:val="0"/>
          <w:w w:val="100"/>
          <w:position w:val="0"/>
          <w:sz w:val="32"/>
          <w:szCs w:val="32"/>
        </w:rPr>
        <w:t>2016</w:t>
      </w:r>
      <w:r>
        <w:rPr>
          <w:rFonts w:hint="eastAsia" w:ascii="仿宋" w:hAnsi="仿宋" w:eastAsia="仿宋" w:cs="仿宋"/>
          <w:color w:val="000000"/>
          <w:spacing w:val="0"/>
          <w:w w:val="100"/>
          <w:position w:val="0"/>
          <w:sz w:val="32"/>
          <w:szCs w:val="32"/>
        </w:rPr>
        <w:t>年年底前实现海关高级认证企业信息推送、共享和联合激励。</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eastAsia="zh-CN"/>
        </w:rPr>
        <w:sectPr>
          <w:footerReference r:id="rId7" w:type="default"/>
          <w:footerReference r:id="rId8" w:type="even"/>
          <w:footnotePr>
            <w:numFmt w:val="decimal"/>
          </w:footnotePr>
          <w:type w:val="continuous"/>
          <w:pgSz w:w="11900" w:h="16840"/>
          <w:pgMar w:top="2055" w:right="1620" w:bottom="1842" w:left="1705" w:header="1627" w:footer="3" w:gutter="0"/>
          <w:cols w:space="720" w:num="1"/>
          <w:rtlGutter w:val="0"/>
          <w:docGrid w:linePitch="360" w:charSpace="0"/>
        </w:sectPr>
      </w:pPr>
      <w:r>
        <w:rPr>
          <w:rFonts w:hint="eastAsia" w:ascii="仿宋" w:hAnsi="仿宋" w:eastAsia="仿宋" w:cs="仿宋"/>
          <w:color w:val="000000"/>
          <w:spacing w:val="0"/>
          <w:w w:val="100"/>
          <w:position w:val="0"/>
          <w:sz w:val="32"/>
          <w:szCs w:val="32"/>
        </w:rPr>
        <w:t>本备忘录签署后，各部门、各领域内相关法律法规修改或调整，与本备忘录不一致的</w:t>
      </w:r>
      <w:bookmarkStart w:id="62" w:name="_GoBack"/>
      <w:bookmarkEnd w:id="62"/>
      <w:r>
        <w:rPr>
          <w:rFonts w:hint="eastAsia" w:ascii="仿宋" w:hAnsi="仿宋" w:eastAsia="仿宋" w:cs="仿宋"/>
          <w:color w:val="000000"/>
          <w:spacing w:val="0"/>
          <w:w w:val="100"/>
          <w:position w:val="0"/>
          <w:sz w:val="32"/>
          <w:szCs w:val="32"/>
        </w:rPr>
        <w:t>，以法律法规为准。实施过程中具体操作问题，由各部门另行协商明确</w:t>
      </w:r>
      <w:r>
        <w:rPr>
          <w:rFonts w:hint="eastAsia" w:ascii="仿宋" w:hAnsi="仿宋" w:eastAsia="仿宋" w:cs="仿宋"/>
          <w:color w:val="000000"/>
          <w:spacing w:val="0"/>
          <w:w w:val="100"/>
          <w:position w:val="0"/>
          <w:sz w:val="32"/>
          <w:szCs w:val="32"/>
          <w:lang w:eastAsia="zh-CN"/>
        </w:rPr>
        <w:t>。</w:t>
      </w:r>
    </w:p>
    <w:p>
      <w:pPr>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仿宋" w:hAnsi="仿宋" w:eastAsia="仿宋" w:cs="仿宋"/>
          <w:sz w:val="32"/>
          <w:szCs w:val="32"/>
        </w:rPr>
      </w:pPr>
    </w:p>
    <w:sectPr>
      <w:footerReference r:id="rId9" w:type="default"/>
      <w:footerReference r:id="rId10" w:type="even"/>
      <w:footnotePr>
        <w:numFmt w:val="decimal"/>
      </w:footnotePr>
      <w:pgSz w:w="11900" w:h="16840"/>
      <w:pgMar w:top="15534" w:right="1835" w:bottom="488" w:left="1497" w:header="15106" w:footer="60" w:gutter="0"/>
      <w:pgNumType w:start="16"/>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3743325</wp:posOffset>
              </wp:positionH>
              <wp:positionV relativeFrom="page">
                <wp:posOffset>9776460</wp:posOffset>
              </wp:positionV>
              <wp:extent cx="45720" cy="82550"/>
              <wp:effectExtent l="0" t="0" r="0" b="0"/>
              <wp:wrapNone/>
              <wp:docPr id="32" name="Shape 32"/>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left:294.75pt;margin-top:769.8pt;height:6.5pt;width:3.6pt;mso-position-horizontal-relative:page;mso-position-vertical-relative:page;mso-wrap-style:none;z-index:-440400896;mso-width-relative:page;mso-height-relative:page;" filled="f" stroked="f" coordsize="21600,21600" o:gfxdata="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uOZLHYAAAADQEAAA8AAAAAAAAAAQAgAAAAIgAAAGRycy9kb3du&#10;cmV2LnhtbFBLAQIUABQAAAAIAIdO4kCLTYgTjQEAACEDAAAOAAAAAAAAAAEAIAAAACcBAABkcnMv&#10;ZTJvRG9jLnhtbFBLBQYAAAAABgAGAFkBAAAmBQ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3789045</wp:posOffset>
              </wp:positionH>
              <wp:positionV relativeFrom="page">
                <wp:posOffset>9744710</wp:posOffset>
              </wp:positionV>
              <wp:extent cx="45720" cy="82550"/>
              <wp:effectExtent l="0" t="0" r="0" b="0"/>
              <wp:wrapNone/>
              <wp:docPr id="34" name="Shape 34"/>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34" o:spid="_x0000_s1026" o:spt="202" type="#_x0000_t202" style="position:absolute;left:0pt;margin-left:298.35pt;margin-top:767.3pt;height:6.5pt;width:3.6pt;mso-position-horizontal-relative:page;mso-position-vertical-relative:page;mso-wrap-style:none;z-index:-440400896;mso-width-relative:page;mso-height-relative:page;" filled="f" stroked="f" coordsize="21600,21600" o:gfxdata="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UGXW12AAAAA0BAAAPAAAAAAAAAAEAIAAAACIAAABkcnMvZG93&#10;bnJldi54bWxQSwECFAAUAAAACACHTuJArxIKO44BAAAhAwAADgAAAAAAAAABACAAAAAn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3743325</wp:posOffset>
              </wp:positionH>
              <wp:positionV relativeFrom="page">
                <wp:posOffset>9776460</wp:posOffset>
              </wp:positionV>
              <wp:extent cx="45720" cy="82550"/>
              <wp:effectExtent l="0" t="0" r="0" b="0"/>
              <wp:wrapNone/>
              <wp:docPr id="36" name="Shape 36"/>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36" o:spid="_x0000_s1026" o:spt="202" type="#_x0000_t202" style="position:absolute;left:0pt;margin-left:294.75pt;margin-top:769.8pt;height:6.5pt;width:3.6pt;mso-position-horizontal-relative:page;mso-position-vertical-relative:page;mso-wrap-style:none;z-index:-440400896;mso-width-relative:page;mso-height-relative:page;" filled="f" stroked="f" coordsize="21600,21600" o:gfxdata="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LjmSx2AAAAA0BAAAPAAAAAAAAAAEAIAAAACIAAABkcnMvZG93&#10;bnJldi54bWxQSwECFAAUAAAACACHTuJAsyd0I44BAAAhAwAADgAAAAAAAAABACAAAAAn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3743325</wp:posOffset>
              </wp:positionH>
              <wp:positionV relativeFrom="page">
                <wp:posOffset>9776460</wp:posOffset>
              </wp:positionV>
              <wp:extent cx="45720" cy="82550"/>
              <wp:effectExtent l="0" t="0" r="0" b="0"/>
              <wp:wrapNone/>
              <wp:docPr id="38" name="Shape 38"/>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38" o:spid="_x0000_s1026" o:spt="202" type="#_x0000_t202" style="position:absolute;left:0pt;margin-left:294.75pt;margin-top:769.8pt;height:6.5pt;width:3.6pt;mso-position-horizontal-relative:page;mso-position-vertical-relative:page;mso-wrap-style:none;z-index:-440400896;mso-width-relative:page;mso-height-relative:page;" filled="f" stroked="f" coordsize="21600,21600" o:gfxdata="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uOZLHYAAAADQEAAA8AAAAAAAAAAQAgAAAAIgAAAGRycy9kb3du&#10;cmV2LnhtbFBLAQIUABQAAAAIAIdO4kDnrA5qjQEAACEDAAAOAAAAAAAAAAEAIAAAACcBAABkcnMv&#10;ZTJvRG9jLnhtbFBLBQYAAAAABgAGAFkBAAAmBQ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6"/>
      <w:numFmt w:val="decimal"/>
      <w:lvlText w:val="%1."/>
      <w:lvlJc w:val="left"/>
      <w:rPr>
        <w:rFonts w:ascii="宋体" w:hAnsi="宋体" w:eastAsia="宋体" w:cs="宋体"/>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1">
    <w:nsid w:val="0053208E"/>
    <w:multiLevelType w:val="singleLevel"/>
    <w:tmpl w:val="0053208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6"/>
        <w:szCs w:val="26"/>
        <w:u w:val="none"/>
        <w:shd w:val="clear" w:color="auto" w:fill="auto"/>
        <w:lang w:val="zh-TW" w:eastAsia="zh-TW" w:bidi="zh-TW"/>
      </w:rPr>
    </w:lvl>
  </w:abstractNum>
  <w:abstractNum w:abstractNumId="2">
    <w:nsid w:val="59ADCABA"/>
    <w:multiLevelType w:val="singleLevel"/>
    <w:tmpl w:val="59ADCABA"/>
    <w:lvl w:ilvl="0" w:tentative="0">
      <w:start w:val="32"/>
      <w:numFmt w:val="decimal"/>
      <w:lvlText w:val="%1."/>
      <w:lvlJc w:val="left"/>
      <w:rPr>
        <w:rFonts w:ascii="宋体" w:hAnsi="宋体" w:eastAsia="宋体" w:cs="宋体"/>
        <w:b/>
        <w:bCs/>
        <w:i w:val="0"/>
        <w:iCs w:val="0"/>
        <w:smallCaps w:val="0"/>
        <w:strike w:val="0"/>
        <w:color w:val="000000"/>
        <w:spacing w:val="0"/>
        <w:w w:val="100"/>
        <w:position w:val="0"/>
        <w:sz w:val="26"/>
        <w:szCs w:val="26"/>
        <w:u w:val="none"/>
        <w:shd w:val="clear" w:color="auto" w:fill="auto"/>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102CF1"/>
    <w:rsid w:val="1D85617C"/>
    <w:rsid w:val="36553EEA"/>
    <w:rsid w:val="6DCE28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2_"/>
    <w:basedOn w:val="4"/>
    <w:link w:val="6"/>
    <w:qFormat/>
    <w:uiPriority w:val="0"/>
    <w:rPr>
      <w:rFonts w:ascii="宋体" w:hAnsi="宋体" w:eastAsia="宋体" w:cs="宋体"/>
      <w:color w:val="ED7078"/>
      <w:sz w:val="22"/>
      <w:szCs w:val="22"/>
      <w:u w:val="none"/>
      <w:shd w:val="clear" w:color="auto" w:fill="auto"/>
      <w:lang w:val="zh-TW" w:eastAsia="zh-TW" w:bidi="zh-TW"/>
    </w:rPr>
  </w:style>
  <w:style w:type="paragraph" w:customStyle="1" w:styleId="6">
    <w:name w:val="Body text|2"/>
    <w:basedOn w:val="1"/>
    <w:link w:val="5"/>
    <w:qFormat/>
    <w:uiPriority w:val="0"/>
    <w:pPr>
      <w:widowControl w:val="0"/>
      <w:shd w:val="clear" w:color="auto" w:fill="auto"/>
      <w:spacing w:line="405" w:lineRule="exact"/>
    </w:pPr>
    <w:rPr>
      <w:rFonts w:ascii="宋体" w:hAnsi="宋体" w:eastAsia="宋体" w:cs="宋体"/>
      <w:color w:val="ED7078"/>
      <w:sz w:val="22"/>
      <w:szCs w:val="22"/>
      <w:u w:val="none"/>
      <w:shd w:val="clear" w:color="auto" w:fill="auto"/>
      <w:lang w:val="zh-TW" w:eastAsia="zh-TW" w:bidi="zh-TW"/>
    </w:rPr>
  </w:style>
  <w:style w:type="character" w:customStyle="1" w:styleId="7">
    <w:name w:val="Heading #1|1_"/>
    <w:basedOn w:val="4"/>
    <w:link w:val="8"/>
    <w:qFormat/>
    <w:uiPriority w:val="0"/>
    <w:rPr>
      <w:rFonts w:ascii="宋体" w:hAnsi="宋体" w:eastAsia="宋体" w:cs="宋体"/>
      <w:color w:val="ED7078"/>
      <w:sz w:val="126"/>
      <w:szCs w:val="126"/>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outlineLvl w:val="0"/>
    </w:pPr>
    <w:rPr>
      <w:rFonts w:ascii="宋体" w:hAnsi="宋体" w:eastAsia="宋体" w:cs="宋体"/>
      <w:color w:val="ED7078"/>
      <w:sz w:val="126"/>
      <w:szCs w:val="126"/>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26"/>
      <w:szCs w:val="26"/>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66" w:lineRule="auto"/>
      <w:ind w:firstLine="400"/>
    </w:pPr>
    <w:rPr>
      <w:rFonts w:ascii="宋体" w:hAnsi="宋体" w:eastAsia="宋体" w:cs="宋体"/>
      <w:sz w:val="26"/>
      <w:szCs w:val="26"/>
      <w:u w:val="none"/>
      <w:shd w:val="clear" w:color="auto" w:fill="auto"/>
      <w:lang w:val="zh-TW" w:eastAsia="zh-TW" w:bidi="zh-TW"/>
    </w:rPr>
  </w:style>
  <w:style w:type="character" w:customStyle="1" w:styleId="11">
    <w:name w:val="Heading #3|1_"/>
    <w:basedOn w:val="4"/>
    <w:link w:val="12"/>
    <w:qFormat/>
    <w:uiPriority w:val="0"/>
    <w:rPr>
      <w:rFonts w:ascii="宋体" w:hAnsi="宋体" w:eastAsia="宋体" w:cs="宋体"/>
      <w:sz w:val="36"/>
      <w:szCs w:val="36"/>
      <w:u w:val="none"/>
      <w:shd w:val="clear" w:color="auto" w:fill="auto"/>
      <w:lang w:val="zh-TW" w:eastAsia="zh-TW" w:bidi="zh-TW"/>
    </w:rPr>
  </w:style>
  <w:style w:type="paragraph" w:customStyle="1" w:styleId="12">
    <w:name w:val="Heading #3|1"/>
    <w:basedOn w:val="1"/>
    <w:link w:val="11"/>
    <w:qFormat/>
    <w:uiPriority w:val="0"/>
    <w:pPr>
      <w:widowControl w:val="0"/>
      <w:shd w:val="clear" w:color="auto" w:fill="auto"/>
      <w:spacing w:after="480" w:line="605" w:lineRule="exact"/>
      <w:jc w:val="center"/>
      <w:outlineLvl w:val="2"/>
    </w:pPr>
    <w:rPr>
      <w:rFonts w:ascii="宋体" w:hAnsi="宋体" w:eastAsia="宋体" w:cs="宋体"/>
      <w:sz w:val="36"/>
      <w:szCs w:val="36"/>
      <w:u w:val="none"/>
      <w:shd w:val="clear" w:color="auto" w:fill="auto"/>
      <w:lang w:val="zh-TW" w:eastAsia="zh-TW" w:bidi="zh-TW"/>
    </w:rPr>
  </w:style>
  <w:style w:type="character" w:customStyle="1" w:styleId="13">
    <w:name w:val="Header or footer|2_"/>
    <w:basedOn w:val="4"/>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Picture caption|1_"/>
    <w:basedOn w:val="4"/>
    <w:link w:val="16"/>
    <w:qFormat/>
    <w:uiPriority w:val="0"/>
    <w:rPr>
      <w:sz w:val="18"/>
      <w:szCs w:val="18"/>
      <w:u w:val="none"/>
      <w:shd w:val="clear" w:color="auto" w:fill="auto"/>
      <w:lang w:val="zh-CN" w:eastAsia="zh-CN" w:bidi="zh-CN"/>
    </w:rPr>
  </w:style>
  <w:style w:type="paragraph" w:customStyle="1" w:styleId="16">
    <w:name w:val="Picture caption|1"/>
    <w:basedOn w:val="1"/>
    <w:link w:val="15"/>
    <w:qFormat/>
    <w:uiPriority w:val="0"/>
    <w:pPr>
      <w:widowControl w:val="0"/>
      <w:shd w:val="clear" w:color="auto" w:fill="auto"/>
    </w:pPr>
    <w:rPr>
      <w:sz w:val="18"/>
      <w:szCs w:val="18"/>
      <w:u w:val="none"/>
      <w:shd w:val="clear" w:color="auto" w:fill="auto"/>
      <w:lang w:val="zh-CN" w:eastAsia="zh-CN" w:bidi="zh-CN"/>
    </w:rPr>
  </w:style>
  <w:style w:type="character" w:customStyle="1" w:styleId="17">
    <w:name w:val="Body text|3_"/>
    <w:basedOn w:val="4"/>
    <w:link w:val="18"/>
    <w:qFormat/>
    <w:uiPriority w:val="0"/>
    <w:rPr>
      <w:sz w:val="18"/>
      <w:szCs w:val="18"/>
      <w:u w:val="none"/>
      <w:shd w:val="clear" w:color="auto" w:fill="auto"/>
      <w:lang w:val="zh-CN"/>
    </w:rPr>
  </w:style>
  <w:style w:type="paragraph" w:customStyle="1" w:styleId="18">
    <w:name w:val="Body text|3"/>
    <w:basedOn w:val="1"/>
    <w:link w:val="17"/>
    <w:qFormat/>
    <w:uiPriority w:val="0"/>
    <w:pPr>
      <w:widowControl w:val="0"/>
      <w:shd w:val="clear" w:color="auto" w:fill="auto"/>
    </w:pPr>
    <w:rPr>
      <w:sz w:val="18"/>
      <w:szCs w:val="18"/>
      <w:u w:val="none"/>
      <w:shd w:val="clear" w:color="auto" w:fill="auto"/>
      <w:lang w:val="zh-CN"/>
    </w:rPr>
  </w:style>
  <w:style w:type="character" w:customStyle="1" w:styleId="19">
    <w:name w:val="Heading #2|1_"/>
    <w:basedOn w:val="4"/>
    <w:link w:val="20"/>
    <w:qFormat/>
    <w:uiPriority w:val="0"/>
    <w:rPr>
      <w:rFonts w:ascii="宋体" w:hAnsi="宋体" w:eastAsia="宋体" w:cs="宋体"/>
      <w:sz w:val="38"/>
      <w:szCs w:val="38"/>
      <w:u w:val="none"/>
      <w:shd w:val="clear" w:color="auto" w:fill="auto"/>
      <w:lang w:val="zh-TW" w:eastAsia="zh-TW" w:bidi="zh-TW"/>
    </w:rPr>
  </w:style>
  <w:style w:type="paragraph" w:customStyle="1" w:styleId="20">
    <w:name w:val="Heading #2|1"/>
    <w:basedOn w:val="1"/>
    <w:link w:val="19"/>
    <w:qFormat/>
    <w:uiPriority w:val="0"/>
    <w:pPr>
      <w:widowControl w:val="0"/>
      <w:shd w:val="clear" w:color="auto" w:fill="auto"/>
      <w:spacing w:after="1020" w:line="547" w:lineRule="exact"/>
      <w:jc w:val="center"/>
      <w:outlineLvl w:val="1"/>
    </w:pPr>
    <w:rPr>
      <w:rFonts w:ascii="宋体" w:hAnsi="宋体" w:eastAsia="宋体" w:cs="宋体"/>
      <w:sz w:val="38"/>
      <w:szCs w:val="38"/>
      <w:u w:val="none"/>
      <w:shd w:val="clear" w:color="auto" w:fill="auto"/>
      <w:lang w:val="zh-TW" w:eastAsia="zh-TW" w:bidi="zh-TW"/>
    </w:rPr>
  </w:style>
  <w:style w:type="character" w:customStyle="1" w:styleId="21">
    <w:name w:val="Header or footer|1_"/>
    <w:basedOn w:val="4"/>
    <w:link w:val="22"/>
    <w:qFormat/>
    <w:uiPriority w:val="0"/>
    <w:rPr>
      <w:sz w:val="28"/>
      <w:szCs w:val="28"/>
      <w:u w:val="none"/>
      <w:shd w:val="clear" w:color="auto" w:fill="auto"/>
      <w:lang w:val="zh-TW" w:eastAsia="zh-TW" w:bidi="zh-TW"/>
    </w:rPr>
  </w:style>
  <w:style w:type="paragraph" w:customStyle="1" w:styleId="22">
    <w:name w:val="Header or footer|1"/>
    <w:basedOn w:val="1"/>
    <w:link w:val="2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49</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2020-07-21T08:34:00Z</dcterms:created>
  <dc:creator> 丽  小木  </dc:creator>
  <cp:lastModifiedBy> 丽  小木  </cp:lastModifiedBy>
  <cp:lastPrinted>2020-07-22T07:01:12Z</cp:lastPrinted>
  <dcterms:modified xsi:type="dcterms:W3CDTF">2020-07-22T07:01:22Z</dcterms:modified>
  <dc:title>KMBT_C454-20161025164744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