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0"/>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w:t>
      </w:r>
    </w:p>
    <w:p>
      <w:pPr>
        <w:pStyle w:val="2"/>
        <w:spacing w:before="126" w:line="201" w:lineRule="auto"/>
        <w:ind w:left="0" w:leftChars="0" w:firstLine="0" w:firstLineChars="0"/>
        <w:jc w:val="both"/>
        <w:rPr>
          <w:rFonts w:hint="eastAsia" w:ascii="方正小标宋简体" w:hAnsi="方正小标宋简体" w:eastAsia="方正小标宋简体" w:cs="方正小标宋简体"/>
          <w:sz w:val="44"/>
          <w:szCs w:val="44"/>
        </w:rPr>
      </w:pP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关于对旅游领域严重失信相关责任主体</w:t>
      </w:r>
    </w:p>
    <w:p>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pPr>
      <w:r>
        <w:rPr>
          <w:rFonts w:hint="eastAsia" w:ascii="方正小标宋简体" w:hAnsi="方正小标宋简体" w:eastAsia="方正小标宋简体" w:cs="方正小标宋简体"/>
          <w:sz w:val="44"/>
          <w:szCs w:val="44"/>
        </w:rPr>
        <w:t>实施联合惩戒的合作备忘录</w:t>
      </w:r>
    </w:p>
    <w:p>
      <w:pPr>
        <w:pStyle w:val="3"/>
        <w:spacing w:before="4"/>
        <w:rPr>
          <w:sz w:val="35"/>
        </w:rPr>
      </w:pP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为全面贯彻党的十九大和十九届二中、三中全会精神，以习近</w:t>
      </w:r>
      <w:r>
        <w:rPr>
          <w:rFonts w:hint="eastAsia" w:ascii="仿宋" w:hAnsi="仿宋" w:eastAsia="仿宋" w:cs="仿宋"/>
          <w:spacing w:val="-4"/>
          <w:sz w:val="32"/>
          <w:szCs w:val="32"/>
        </w:rPr>
        <w:t>平新时代中国特色社会主义思想为指导，落实《中央文明委关于推进诚信建设制度化的意见</w:t>
      </w:r>
      <w:r>
        <w:rPr>
          <w:rFonts w:hint="eastAsia" w:ascii="仿宋" w:hAnsi="仿宋" w:eastAsia="仿宋" w:cs="仿宋"/>
          <w:spacing w:val="-176"/>
          <w:sz w:val="32"/>
          <w:szCs w:val="32"/>
        </w:rPr>
        <w:t>》</w:t>
      </w:r>
      <w:r>
        <w:rPr>
          <w:rFonts w:hint="eastAsia" w:ascii="仿宋" w:hAnsi="仿宋" w:eastAsia="仿宋" w:cs="仿宋"/>
          <w:sz w:val="32"/>
          <w:szCs w:val="32"/>
        </w:rPr>
        <w:t>（</w:t>
      </w:r>
      <w:r>
        <w:rPr>
          <w:rFonts w:hint="eastAsia" w:ascii="仿宋" w:hAnsi="仿宋" w:eastAsia="仿宋" w:cs="仿宋"/>
          <w:spacing w:val="-7"/>
          <w:sz w:val="32"/>
          <w:szCs w:val="32"/>
        </w:rPr>
        <w:t>文明委〔</w:t>
      </w:r>
      <w:r>
        <w:rPr>
          <w:rFonts w:hint="eastAsia" w:ascii="仿宋" w:hAnsi="仿宋" w:eastAsia="仿宋" w:cs="仿宋"/>
          <w:sz w:val="32"/>
          <w:szCs w:val="32"/>
        </w:rPr>
        <w:t>2014</w:t>
      </w:r>
      <w:r>
        <w:rPr>
          <w:rFonts w:hint="eastAsia" w:ascii="仿宋" w:hAnsi="仿宋" w:eastAsia="仿宋" w:cs="仿宋"/>
          <w:spacing w:val="-24"/>
          <w:sz w:val="32"/>
          <w:szCs w:val="32"/>
        </w:rPr>
        <w:t>〕</w:t>
      </w:r>
      <w:r>
        <w:rPr>
          <w:rFonts w:hint="eastAsia" w:ascii="仿宋" w:hAnsi="仿宋" w:eastAsia="仿宋" w:cs="仿宋"/>
          <w:sz w:val="32"/>
          <w:szCs w:val="32"/>
        </w:rPr>
        <w:t>7 号</w:t>
      </w:r>
      <w:r>
        <w:rPr>
          <w:rFonts w:hint="eastAsia" w:ascii="仿宋" w:hAnsi="仿宋" w:eastAsia="仿宋" w:cs="仿宋"/>
          <w:spacing w:val="-152"/>
          <w:sz w:val="32"/>
          <w:szCs w:val="32"/>
        </w:rPr>
        <w:t>）</w:t>
      </w:r>
      <w:r>
        <w:rPr>
          <w:rFonts w:hint="eastAsia" w:ascii="仿宋" w:hAnsi="仿宋" w:eastAsia="仿宋" w:cs="仿宋"/>
          <w:spacing w:val="-23"/>
          <w:sz w:val="32"/>
          <w:szCs w:val="32"/>
        </w:rPr>
        <w:t>、《国务院关于促</w:t>
      </w:r>
      <w:r>
        <w:rPr>
          <w:rFonts w:hint="eastAsia" w:ascii="仿宋" w:hAnsi="仿宋" w:eastAsia="仿宋" w:cs="仿宋"/>
          <w:spacing w:val="-5"/>
          <w:sz w:val="32"/>
          <w:szCs w:val="32"/>
        </w:rPr>
        <w:t>进市场公平竞争维护市场正常秩序的若干意见》</w:t>
      </w:r>
      <w:r>
        <w:rPr>
          <w:rFonts w:hint="eastAsia" w:ascii="仿宋" w:hAnsi="仿宋" w:eastAsia="仿宋" w:cs="仿宋"/>
          <w:spacing w:val="4"/>
          <w:sz w:val="32"/>
          <w:szCs w:val="32"/>
        </w:rPr>
        <w:t>（</w:t>
      </w:r>
      <w:r>
        <w:rPr>
          <w:rFonts w:hint="eastAsia" w:ascii="仿宋" w:hAnsi="仿宋" w:eastAsia="仿宋" w:cs="仿宋"/>
          <w:spacing w:val="2"/>
          <w:sz w:val="32"/>
          <w:szCs w:val="32"/>
        </w:rPr>
        <w:t>国发〔</w:t>
      </w:r>
      <w:r>
        <w:rPr>
          <w:rFonts w:hint="eastAsia" w:ascii="仿宋" w:hAnsi="仿宋" w:eastAsia="仿宋" w:cs="仿宋"/>
          <w:sz w:val="32"/>
          <w:szCs w:val="32"/>
        </w:rPr>
        <w:t>2014</w:t>
      </w:r>
      <w:r>
        <w:rPr>
          <w:rFonts w:hint="eastAsia" w:ascii="仿宋" w:hAnsi="仿宋" w:eastAsia="仿宋" w:cs="仿宋"/>
          <w:spacing w:val="4"/>
          <w:sz w:val="32"/>
          <w:szCs w:val="32"/>
        </w:rPr>
        <w:t>〕</w:t>
      </w:r>
      <w:r>
        <w:rPr>
          <w:rFonts w:hint="eastAsia" w:ascii="仿宋" w:hAnsi="仿宋" w:eastAsia="仿宋" w:cs="仿宋"/>
          <w:sz w:val="32"/>
          <w:szCs w:val="32"/>
        </w:rPr>
        <w:t>20 号</w:t>
      </w:r>
      <w:r>
        <w:rPr>
          <w:rFonts w:hint="eastAsia" w:ascii="仿宋" w:hAnsi="仿宋" w:eastAsia="仿宋" w:cs="仿宋"/>
          <w:spacing w:val="-149"/>
          <w:sz w:val="32"/>
          <w:szCs w:val="32"/>
        </w:rPr>
        <w:t>）</w:t>
      </w:r>
      <w:r>
        <w:rPr>
          <w:rFonts w:hint="eastAsia" w:ascii="仿宋" w:hAnsi="仿宋" w:eastAsia="仿宋" w:cs="仿宋"/>
          <w:spacing w:val="-15"/>
          <w:sz w:val="32"/>
          <w:szCs w:val="32"/>
        </w:rPr>
        <w:t>、《国务院关于印发社会信用体系建设规划纲要</w:t>
      </w:r>
      <w:r>
        <w:rPr>
          <w:rFonts w:hint="eastAsia" w:ascii="仿宋" w:hAnsi="仿宋" w:eastAsia="仿宋" w:cs="仿宋"/>
          <w:sz w:val="32"/>
          <w:szCs w:val="32"/>
        </w:rPr>
        <w:t>（2014-2020 年）</w:t>
      </w:r>
      <w:r>
        <w:rPr>
          <w:rFonts w:hint="eastAsia" w:ascii="仿宋" w:hAnsi="仿宋" w:eastAsia="仿宋" w:cs="仿宋"/>
          <w:spacing w:val="-37"/>
          <w:sz w:val="32"/>
          <w:szCs w:val="32"/>
        </w:rPr>
        <w:t>的通知》</w:t>
      </w:r>
      <w:r>
        <w:rPr>
          <w:rFonts w:hint="eastAsia" w:ascii="仿宋" w:hAnsi="仿宋" w:eastAsia="仿宋" w:cs="仿宋"/>
          <w:sz w:val="32"/>
          <w:szCs w:val="32"/>
        </w:rPr>
        <w:t>（国发〔2014〕21 号</w:t>
      </w:r>
      <w:r>
        <w:rPr>
          <w:rFonts w:hint="eastAsia" w:ascii="仿宋" w:hAnsi="仿宋" w:eastAsia="仿宋" w:cs="仿宋"/>
          <w:spacing w:val="-149"/>
          <w:sz w:val="32"/>
          <w:szCs w:val="32"/>
        </w:rPr>
        <w:t>）</w:t>
      </w:r>
      <w:r>
        <w:rPr>
          <w:rFonts w:hint="eastAsia" w:ascii="仿宋" w:hAnsi="仿宋" w:eastAsia="仿宋" w:cs="仿宋"/>
          <w:spacing w:val="-14"/>
          <w:sz w:val="32"/>
          <w:szCs w:val="32"/>
        </w:rPr>
        <w:t>、《国务院办公厅关于加强旅游市场</w:t>
      </w:r>
      <w:r>
        <w:rPr>
          <w:rFonts w:hint="eastAsia" w:ascii="仿宋" w:hAnsi="仿宋" w:eastAsia="仿宋" w:cs="仿宋"/>
          <w:spacing w:val="-35"/>
          <w:sz w:val="32"/>
          <w:szCs w:val="32"/>
        </w:rPr>
        <w:t>综合监管的通知》</w:t>
      </w:r>
      <w:r>
        <w:rPr>
          <w:rFonts w:hint="eastAsia" w:ascii="仿宋" w:hAnsi="仿宋" w:eastAsia="仿宋" w:cs="仿宋"/>
          <w:sz w:val="32"/>
          <w:szCs w:val="32"/>
        </w:rPr>
        <w:t>（</w:t>
      </w:r>
      <w:r>
        <w:rPr>
          <w:rFonts w:hint="eastAsia" w:ascii="仿宋" w:hAnsi="仿宋" w:eastAsia="仿宋" w:cs="仿宋"/>
          <w:spacing w:val="-6"/>
          <w:sz w:val="32"/>
          <w:szCs w:val="32"/>
        </w:rPr>
        <w:t>国办发〔</w:t>
      </w:r>
      <w:r>
        <w:rPr>
          <w:rFonts w:hint="eastAsia" w:ascii="仿宋" w:hAnsi="仿宋" w:eastAsia="仿宋" w:cs="仿宋"/>
          <w:sz w:val="32"/>
          <w:szCs w:val="32"/>
        </w:rPr>
        <w:t>2016</w:t>
      </w:r>
      <w:r>
        <w:rPr>
          <w:rFonts w:hint="eastAsia" w:ascii="仿宋" w:hAnsi="仿宋" w:eastAsia="仿宋" w:cs="仿宋"/>
          <w:spacing w:val="-24"/>
          <w:sz w:val="32"/>
          <w:szCs w:val="32"/>
        </w:rPr>
        <w:t>〕</w:t>
      </w:r>
      <w:r>
        <w:rPr>
          <w:rFonts w:hint="eastAsia" w:ascii="仿宋" w:hAnsi="仿宋" w:eastAsia="仿宋" w:cs="仿宋"/>
          <w:sz w:val="32"/>
          <w:szCs w:val="32"/>
        </w:rPr>
        <w:t>5 号</w:t>
      </w:r>
      <w:r>
        <w:rPr>
          <w:rFonts w:hint="eastAsia" w:ascii="仿宋" w:hAnsi="仿宋" w:eastAsia="仿宋" w:cs="仿宋"/>
          <w:spacing w:val="-152"/>
          <w:sz w:val="32"/>
          <w:szCs w:val="32"/>
        </w:rPr>
        <w:t>）</w:t>
      </w:r>
      <w:r>
        <w:rPr>
          <w:rFonts w:hint="eastAsia" w:ascii="仿宋" w:hAnsi="仿宋" w:eastAsia="仿宋" w:cs="仿宋"/>
          <w:spacing w:val="-17"/>
          <w:sz w:val="32"/>
          <w:szCs w:val="32"/>
        </w:rPr>
        <w:t>、《国务院关于建立完善守</w:t>
      </w:r>
      <w:r>
        <w:rPr>
          <w:rFonts w:hint="eastAsia" w:ascii="仿宋" w:hAnsi="仿宋" w:eastAsia="仿宋" w:cs="仿宋"/>
          <w:spacing w:val="8"/>
          <w:sz w:val="32"/>
          <w:szCs w:val="32"/>
        </w:rPr>
        <w:t>信联合激励和失信联合惩戒制度加快推进社会诚信建设的指导意</w:t>
      </w:r>
      <w:r>
        <w:rPr>
          <w:rFonts w:hint="eastAsia" w:ascii="仿宋" w:hAnsi="仿宋" w:eastAsia="仿宋" w:cs="仿宋"/>
          <w:spacing w:val="-82"/>
          <w:sz w:val="32"/>
          <w:szCs w:val="32"/>
        </w:rPr>
        <w:t>见》</w:t>
      </w:r>
      <w:r>
        <w:rPr>
          <w:rFonts w:hint="eastAsia" w:ascii="仿宋" w:hAnsi="仿宋" w:eastAsia="仿宋" w:cs="仿宋"/>
          <w:sz w:val="32"/>
          <w:szCs w:val="32"/>
        </w:rPr>
        <w:t>（</w:t>
      </w:r>
      <w:r>
        <w:rPr>
          <w:rFonts w:hint="eastAsia" w:ascii="仿宋" w:hAnsi="仿宋" w:eastAsia="仿宋" w:cs="仿宋"/>
          <w:spacing w:val="-7"/>
          <w:sz w:val="32"/>
          <w:szCs w:val="32"/>
        </w:rPr>
        <w:t>国发〔</w:t>
      </w:r>
      <w:r>
        <w:rPr>
          <w:rFonts w:hint="eastAsia" w:ascii="仿宋" w:hAnsi="仿宋" w:eastAsia="仿宋" w:cs="仿宋"/>
          <w:sz w:val="32"/>
          <w:szCs w:val="32"/>
        </w:rPr>
        <w:t>2016</w:t>
      </w:r>
      <w:r>
        <w:rPr>
          <w:rFonts w:hint="eastAsia" w:ascii="仿宋" w:hAnsi="仿宋" w:eastAsia="仿宋" w:cs="仿宋"/>
          <w:spacing w:val="-20"/>
          <w:sz w:val="32"/>
          <w:szCs w:val="32"/>
        </w:rPr>
        <w:t>〕</w:t>
      </w:r>
      <w:r>
        <w:rPr>
          <w:rFonts w:hint="eastAsia" w:ascii="仿宋" w:hAnsi="仿宋" w:eastAsia="仿宋" w:cs="仿宋"/>
          <w:sz w:val="32"/>
          <w:szCs w:val="32"/>
        </w:rPr>
        <w:t>33 号</w:t>
      </w:r>
      <w:r>
        <w:rPr>
          <w:rFonts w:hint="eastAsia" w:ascii="仿宋" w:hAnsi="仿宋" w:eastAsia="仿宋" w:cs="仿宋"/>
          <w:spacing w:val="-20"/>
          <w:sz w:val="32"/>
          <w:szCs w:val="32"/>
        </w:rPr>
        <w:t>）</w:t>
      </w:r>
      <w:r>
        <w:rPr>
          <w:rFonts w:hint="eastAsia" w:ascii="仿宋" w:hAnsi="仿宋" w:eastAsia="仿宋" w:cs="仿宋"/>
          <w:sz w:val="32"/>
          <w:szCs w:val="32"/>
        </w:rPr>
        <w:t>和《国家发展改革委 人民银行关于加强</w:t>
      </w:r>
      <w:r>
        <w:rPr>
          <w:rFonts w:hint="eastAsia" w:ascii="仿宋" w:hAnsi="仿宋" w:eastAsia="仿宋" w:cs="仿宋"/>
          <w:spacing w:val="8"/>
          <w:sz w:val="32"/>
          <w:szCs w:val="32"/>
        </w:rPr>
        <w:t>和规范守信联合激励和失信联合惩戒对象名单管理工作的指导意</w:t>
      </w:r>
      <w:r>
        <w:rPr>
          <w:rFonts w:hint="eastAsia" w:ascii="仿宋" w:hAnsi="仿宋" w:eastAsia="仿宋" w:cs="仿宋"/>
          <w:spacing w:val="-71"/>
          <w:sz w:val="32"/>
          <w:szCs w:val="32"/>
        </w:rPr>
        <w:t>见》</w:t>
      </w:r>
      <w:r>
        <w:rPr>
          <w:rFonts w:hint="eastAsia" w:ascii="仿宋" w:hAnsi="仿宋" w:eastAsia="仿宋" w:cs="仿宋"/>
          <w:sz w:val="32"/>
          <w:szCs w:val="32"/>
        </w:rPr>
        <w:t>（发改财金规〔2017〕1798 号）等文件要求，加快推进旅游诚</w:t>
      </w:r>
      <w:r>
        <w:rPr>
          <w:rFonts w:hint="eastAsia" w:ascii="仿宋" w:hAnsi="仿宋" w:eastAsia="仿宋" w:cs="仿宋"/>
          <w:spacing w:val="-3"/>
          <w:sz w:val="32"/>
          <w:szCs w:val="32"/>
        </w:rPr>
        <w:t>信体系建设，加大旅游领域严重失信行为惩戒力度，国家发展改革</w:t>
      </w:r>
      <w:r>
        <w:rPr>
          <w:rFonts w:hint="eastAsia" w:ascii="仿宋" w:hAnsi="仿宋" w:eastAsia="仿宋" w:cs="仿宋"/>
          <w:spacing w:val="-5"/>
          <w:sz w:val="32"/>
          <w:szCs w:val="32"/>
        </w:rPr>
        <w:t>委、人民银行、文化和旅游部、中央组织部、中央文明办、最高人</w:t>
      </w:r>
      <w:r>
        <w:rPr>
          <w:rFonts w:hint="eastAsia" w:ascii="仿宋" w:hAnsi="仿宋" w:eastAsia="仿宋" w:cs="仿宋"/>
          <w:spacing w:val="-8"/>
          <w:sz w:val="32"/>
          <w:szCs w:val="32"/>
        </w:rPr>
        <w:t>民法院、工业和信息化部、财政部、人力资源社会保障部、自然资</w:t>
      </w:r>
      <w:r>
        <w:rPr>
          <w:rFonts w:hint="eastAsia" w:ascii="仿宋" w:hAnsi="仿宋" w:eastAsia="仿宋" w:cs="仿宋"/>
          <w:spacing w:val="-6"/>
          <w:sz w:val="32"/>
          <w:szCs w:val="32"/>
        </w:rPr>
        <w:t>源部、住房城乡建设部、交通运输部、水利部、商务部、应急管理部、国资委、海关总署、税务总局、国家市场监督管理总局、中国</w:t>
      </w:r>
      <w:r>
        <w:rPr>
          <w:rFonts w:hint="eastAsia" w:ascii="仿宋" w:hAnsi="仿宋" w:eastAsia="仿宋" w:cs="仿宋"/>
          <w:spacing w:val="-5"/>
          <w:sz w:val="32"/>
          <w:szCs w:val="32"/>
        </w:rPr>
        <w:t>银行保险监督管理委员会、证监会、民航局、全国总工会、共青团</w:t>
      </w:r>
      <w:r>
        <w:rPr>
          <w:rFonts w:hint="eastAsia" w:ascii="仿宋" w:hAnsi="仿宋" w:eastAsia="仿宋" w:cs="仿宋"/>
          <w:spacing w:val="-6"/>
          <w:sz w:val="32"/>
          <w:szCs w:val="32"/>
        </w:rPr>
        <w:t>中央、全国妇联、铁路总公司等部门就针对旅游领域严重失信相关</w:t>
      </w:r>
      <w:r>
        <w:rPr>
          <w:rFonts w:hint="eastAsia" w:ascii="仿宋" w:hAnsi="仿宋" w:eastAsia="仿宋" w:cs="仿宋"/>
          <w:sz w:val="32"/>
          <w:szCs w:val="32"/>
        </w:rPr>
        <w:t>责任主体实施联合惩戒措施达成如下一致意见。</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bookmarkStart w:id="0" w:name="一、联合惩戒对象"/>
      <w:bookmarkEnd w:id="0"/>
      <w:r>
        <w:rPr>
          <w:rFonts w:hint="eastAsia" w:ascii="黑体" w:hAnsi="黑体" w:eastAsia="黑体" w:cs="黑体"/>
          <w:sz w:val="32"/>
          <w:szCs w:val="32"/>
        </w:rPr>
        <w:t>一、联合惩戒对象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联合惩戒的对象为文化和旅游部根据《旅游经营服务不良信息</w:t>
      </w:r>
      <w:r>
        <w:rPr>
          <w:rFonts w:hint="eastAsia" w:ascii="仿宋" w:hAnsi="仿宋" w:eastAsia="仿宋" w:cs="仿宋"/>
          <w:sz w:val="32"/>
          <w:szCs w:val="32"/>
        </w:rPr>
        <w:t>管理办法（试行</w:t>
      </w:r>
      <w:r>
        <w:rPr>
          <w:rFonts w:hint="eastAsia" w:ascii="仿宋" w:hAnsi="仿宋" w:eastAsia="仿宋" w:cs="仿宋"/>
          <w:spacing w:val="-147"/>
          <w:sz w:val="32"/>
          <w:szCs w:val="32"/>
        </w:rPr>
        <w:t>）</w:t>
      </w:r>
      <w:r>
        <w:rPr>
          <w:rFonts w:hint="eastAsia" w:ascii="仿宋" w:hAnsi="仿宋" w:eastAsia="仿宋" w:cs="仿宋"/>
          <w:spacing w:val="-149"/>
          <w:sz w:val="32"/>
          <w:szCs w:val="32"/>
        </w:rPr>
        <w:t>》</w:t>
      </w:r>
      <w:r>
        <w:rPr>
          <w:rFonts w:hint="eastAsia" w:ascii="仿宋" w:hAnsi="仿宋" w:eastAsia="仿宋" w:cs="仿宋"/>
          <w:sz w:val="32"/>
          <w:szCs w:val="32"/>
        </w:rPr>
        <w:t>（旅办发〔2015〕181 号）和相关法律、法规、</w:t>
      </w:r>
      <w:r>
        <w:rPr>
          <w:rFonts w:hint="eastAsia" w:ascii="仿宋" w:hAnsi="仿宋" w:eastAsia="仿宋" w:cs="仿宋"/>
          <w:spacing w:val="8"/>
          <w:sz w:val="32"/>
          <w:szCs w:val="32"/>
        </w:rPr>
        <w:t>规章及规范性文件等有关规定公布的存在旅游严重失信行为的相</w:t>
      </w:r>
      <w:r>
        <w:rPr>
          <w:rFonts w:hint="eastAsia" w:ascii="仿宋" w:hAnsi="仿宋" w:eastAsia="仿宋" w:cs="仿宋"/>
          <w:spacing w:val="-3"/>
          <w:sz w:val="32"/>
          <w:szCs w:val="32"/>
        </w:rPr>
        <w:t>关责任主体（</w:t>
      </w:r>
      <w:r>
        <w:rPr>
          <w:rFonts w:hint="eastAsia" w:ascii="仿宋" w:hAnsi="仿宋" w:eastAsia="仿宋" w:cs="仿宋"/>
          <w:sz w:val="32"/>
          <w:szCs w:val="32"/>
        </w:rPr>
        <w:t>以下简称</w:t>
      </w:r>
      <w:r>
        <w:rPr>
          <w:rFonts w:hint="eastAsia" w:ascii="仿宋" w:hAnsi="仿宋" w:eastAsia="仿宋" w:cs="仿宋"/>
          <w:spacing w:val="-2"/>
          <w:sz w:val="32"/>
          <w:szCs w:val="32"/>
        </w:rPr>
        <w:t>“</w:t>
      </w:r>
      <w:r>
        <w:rPr>
          <w:rFonts w:hint="eastAsia" w:ascii="仿宋" w:hAnsi="仿宋" w:eastAsia="仿宋" w:cs="仿宋"/>
          <w:sz w:val="32"/>
          <w:szCs w:val="32"/>
        </w:rPr>
        <w:t>失信当事人</w:t>
      </w:r>
      <w:r>
        <w:rPr>
          <w:rFonts w:hint="eastAsia" w:ascii="仿宋" w:hAnsi="仿宋" w:eastAsia="仿宋" w:cs="仿宋"/>
          <w:spacing w:val="1"/>
          <w:sz w:val="32"/>
          <w:szCs w:val="32"/>
        </w:rPr>
        <w:t>”</w:t>
      </w:r>
      <w:r>
        <w:rPr>
          <w:rFonts w:hint="eastAsia" w:ascii="仿宋" w:hAnsi="仿宋" w:eastAsia="仿宋" w:cs="仿宋"/>
          <w:spacing w:val="-152"/>
          <w:sz w:val="32"/>
          <w:szCs w:val="32"/>
        </w:rPr>
        <w:t>）</w:t>
      </w:r>
      <w:r>
        <w:rPr>
          <w:rFonts w:hint="eastAsia" w:ascii="仿宋" w:hAnsi="仿宋" w:eastAsia="仿宋" w:cs="仿宋"/>
          <w:spacing w:val="-11"/>
          <w:sz w:val="32"/>
          <w:szCs w:val="32"/>
        </w:rPr>
        <w:t>，包括旅行社、景区以及为旅</w:t>
      </w:r>
      <w:r>
        <w:rPr>
          <w:rFonts w:hint="eastAsia" w:ascii="仿宋" w:hAnsi="仿宋" w:eastAsia="仿宋" w:cs="仿宋"/>
          <w:spacing w:val="-5"/>
          <w:sz w:val="32"/>
          <w:szCs w:val="32"/>
        </w:rPr>
        <w:t>游者提供交通、住宿、餐饮、购物、娱乐等服务的经营者及其从业</w:t>
      </w:r>
      <w:r>
        <w:rPr>
          <w:rFonts w:hint="eastAsia" w:ascii="仿宋" w:hAnsi="仿宋" w:eastAsia="仿宋" w:cs="仿宋"/>
          <w:sz w:val="32"/>
          <w:szCs w:val="32"/>
        </w:rPr>
        <w:t>人员。旅游领域严重失信情形包括：</w:t>
      </w:r>
    </w:p>
    <w:p>
      <w:pPr>
        <w:pStyle w:val="8"/>
        <w:keepNext w:val="0"/>
        <w:keepLines w:val="0"/>
        <w:pageBreakBefore w:val="0"/>
        <w:widowControl w:val="0"/>
        <w:numPr>
          <w:ilvl w:val="0"/>
          <w:numId w:val="1"/>
        </w:numPr>
        <w:tabs>
          <w:tab w:val="left" w:pos="94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旅游经营者和旅游从业人员因侵害旅游者合法权益受到行政机关罚款以上处罚的；</w:t>
      </w:r>
    </w:p>
    <w:p>
      <w:pPr>
        <w:pStyle w:val="8"/>
        <w:keepNext w:val="0"/>
        <w:keepLines w:val="0"/>
        <w:pageBreakBefore w:val="0"/>
        <w:widowControl w:val="0"/>
        <w:numPr>
          <w:ilvl w:val="0"/>
          <w:numId w:val="1"/>
        </w:numPr>
        <w:tabs>
          <w:tab w:val="left" w:pos="943"/>
        </w:tabs>
        <w:kinsoku/>
        <w:wordWrap/>
        <w:overflowPunct/>
        <w:topLinePunct w:val="0"/>
        <w:autoSpaceDE w:val="0"/>
        <w:autoSpaceDN w:val="0"/>
        <w:bidi w:val="0"/>
        <w:adjustRightInd/>
        <w:snapToGrid/>
        <w:spacing w:before="0" w:after="0" w:line="60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旅游经营者发生重大安全事故，属于旅游经营者主要责任的；</w:t>
      </w:r>
    </w:p>
    <w:p>
      <w:pPr>
        <w:pStyle w:val="8"/>
        <w:keepNext w:val="0"/>
        <w:keepLines w:val="0"/>
        <w:pageBreakBefore w:val="0"/>
        <w:widowControl w:val="0"/>
        <w:numPr>
          <w:ilvl w:val="0"/>
          <w:numId w:val="1"/>
        </w:numPr>
        <w:tabs>
          <w:tab w:val="left" w:pos="94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旅游经营者和旅游从业人员因侵权、违约行为损害旅游者合</w:t>
      </w:r>
      <w:r>
        <w:rPr>
          <w:rFonts w:hint="eastAsia" w:ascii="仿宋" w:hAnsi="仿宋" w:eastAsia="仿宋" w:cs="仿宋"/>
          <w:spacing w:val="-5"/>
          <w:sz w:val="32"/>
          <w:szCs w:val="32"/>
        </w:rPr>
        <w:t>法权益，被人民法院判决承担全部或者主要民事责任，或拒不执行</w:t>
      </w:r>
      <w:r>
        <w:rPr>
          <w:rFonts w:hint="eastAsia" w:ascii="仿宋" w:hAnsi="仿宋" w:eastAsia="仿宋" w:cs="仿宋"/>
          <w:sz w:val="32"/>
          <w:szCs w:val="32"/>
        </w:rPr>
        <w:t>法院判决的；</w:t>
      </w:r>
    </w:p>
    <w:p>
      <w:pPr>
        <w:pStyle w:val="8"/>
        <w:keepNext w:val="0"/>
        <w:keepLines w:val="0"/>
        <w:pageBreakBefore w:val="0"/>
        <w:widowControl w:val="0"/>
        <w:numPr>
          <w:ilvl w:val="0"/>
          <w:numId w:val="1"/>
        </w:numPr>
        <w:tabs>
          <w:tab w:val="left" w:pos="94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lang w:val="zh-CN" w:eastAsia="zh-CN" w:bidi="zh-CN"/>
        </w:rPr>
      </w:pPr>
      <w:r>
        <w:rPr>
          <w:rFonts w:hint="eastAsia" w:ascii="仿宋" w:hAnsi="仿宋" w:eastAsia="仿宋" w:cs="仿宋"/>
          <w:sz w:val="32"/>
          <w:szCs w:val="32"/>
        </w:rPr>
        <w:t>旅游经营企业主要负责人和旅游从业人员因侵害旅游者合法权益，被人民法院判处刑罚的；</w:t>
      </w:r>
    </w:p>
    <w:p>
      <w:pPr>
        <w:pStyle w:val="8"/>
        <w:keepNext w:val="0"/>
        <w:keepLines w:val="0"/>
        <w:pageBreakBefore w:val="0"/>
        <w:widowControl w:val="0"/>
        <w:numPr>
          <w:ilvl w:val="0"/>
          <w:numId w:val="1"/>
        </w:numPr>
        <w:tabs>
          <w:tab w:val="left" w:pos="94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lang w:val="zh-CN" w:eastAsia="zh-CN" w:bidi="zh-CN"/>
        </w:rPr>
      </w:pPr>
      <w:r>
        <w:rPr>
          <w:rFonts w:hint="eastAsia" w:ascii="仿宋" w:hAnsi="仿宋" w:eastAsia="仿宋" w:cs="仿宋"/>
          <w:sz w:val="32"/>
          <w:szCs w:val="32"/>
          <w:lang w:val="zh-CN" w:eastAsia="zh-CN" w:bidi="zh-CN"/>
        </w:rPr>
        <w:t>旅游从业人员在执业过程中，因扰乱公共交通工具秩序、损坏公共设施、破坏旅游目的地文物古迹、违反旅游目的地社会风俗等行为，受到行政处罚或法院判决承担责任的；</w:t>
      </w:r>
    </w:p>
    <w:p>
      <w:pPr>
        <w:pStyle w:val="8"/>
        <w:keepNext w:val="0"/>
        <w:keepLines w:val="0"/>
        <w:pageBreakBefore w:val="0"/>
        <w:widowControl w:val="0"/>
        <w:numPr>
          <w:ilvl w:val="0"/>
          <w:numId w:val="1"/>
        </w:numPr>
        <w:tabs>
          <w:tab w:val="left" w:pos="94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旅游经营者和旅游从业人员侵害旅游者合法权益，造成严重社会不良影响的；</w:t>
      </w:r>
    </w:p>
    <w:p>
      <w:pPr>
        <w:pStyle w:val="8"/>
        <w:keepNext w:val="0"/>
        <w:keepLines w:val="0"/>
        <w:pageBreakBefore w:val="0"/>
        <w:widowControl w:val="0"/>
        <w:numPr>
          <w:ilvl w:val="0"/>
          <w:numId w:val="1"/>
        </w:numPr>
        <w:tabs>
          <w:tab w:val="left" w:pos="94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旅游经营者和旅游从业人员违反法律法规的其他情形。</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旅游领域严重失信情形根据《旅游经营服务不良信息管理办法（试行</w:t>
      </w:r>
      <w:r>
        <w:rPr>
          <w:rFonts w:hint="eastAsia" w:ascii="仿宋" w:hAnsi="仿宋" w:eastAsia="仿宋" w:cs="仿宋"/>
          <w:spacing w:val="-149"/>
          <w:sz w:val="32"/>
          <w:szCs w:val="32"/>
        </w:rPr>
        <w:t>）</w:t>
      </w:r>
      <w:r>
        <w:rPr>
          <w:rFonts w:hint="eastAsia" w:ascii="仿宋" w:hAnsi="仿宋" w:eastAsia="仿宋" w:cs="仿宋"/>
          <w:sz w:val="32"/>
          <w:szCs w:val="32"/>
        </w:rPr>
        <w:t>》及相关法律法规的调整而相应调整。</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bookmarkStart w:id="1" w:name="二、信息共享和联合惩戒的实施方式"/>
      <w:bookmarkEnd w:id="1"/>
      <w:r>
        <w:rPr>
          <w:rFonts w:hint="eastAsia" w:ascii="黑体" w:hAnsi="黑体" w:eastAsia="黑体" w:cs="黑体"/>
          <w:sz w:val="32"/>
          <w:szCs w:val="32"/>
        </w:rPr>
        <w:t>二、信息共享和联合惩戒的实施方式</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目前，文化和旅游部通过“信用中国”</w:t>
      </w:r>
      <w:r>
        <w:rPr>
          <w:rFonts w:hint="eastAsia" w:ascii="仿宋" w:hAnsi="仿宋" w:eastAsia="仿宋" w:cs="仿宋"/>
          <w:spacing w:val="-1"/>
          <w:sz w:val="32"/>
          <w:szCs w:val="32"/>
        </w:rPr>
        <w:t>网站、中国旅游诚信网、</w:t>
      </w:r>
      <w:r>
        <w:rPr>
          <w:rFonts w:hint="eastAsia" w:ascii="仿宋" w:hAnsi="仿宋" w:eastAsia="仿宋" w:cs="仿宋"/>
          <w:spacing w:val="-3"/>
          <w:sz w:val="32"/>
          <w:szCs w:val="32"/>
        </w:rPr>
        <w:t>国家企业信用信息公示系统向社会公布失信当事人信息。文化和旅</w:t>
      </w:r>
      <w:r>
        <w:rPr>
          <w:rFonts w:hint="eastAsia" w:ascii="仿宋" w:hAnsi="仿宋" w:eastAsia="仿宋" w:cs="仿宋"/>
          <w:spacing w:val="8"/>
          <w:sz w:val="32"/>
          <w:szCs w:val="32"/>
        </w:rPr>
        <w:t>游部通过专项通报向签署本备忘录的各相关部门推送失信当事人信息，各相关部门依照有关法律、法规、规章及规范性文件规定，</w:t>
      </w:r>
      <w:r>
        <w:rPr>
          <w:rFonts w:hint="eastAsia" w:ascii="仿宋" w:hAnsi="仿宋" w:eastAsia="仿宋" w:cs="仿宋"/>
          <w:spacing w:val="6"/>
          <w:sz w:val="32"/>
          <w:szCs w:val="32"/>
        </w:rPr>
        <w:t>对联合惩戒对象采取下列一种或多种惩戒措施</w:t>
      </w:r>
      <w:r>
        <w:rPr>
          <w:rFonts w:hint="eastAsia" w:ascii="仿宋" w:hAnsi="仿宋" w:eastAsia="仿宋" w:cs="仿宋"/>
          <w:sz w:val="32"/>
          <w:szCs w:val="32"/>
        </w:rPr>
        <w:t>（相关依据见附表</w:t>
      </w:r>
      <w:r>
        <w:rPr>
          <w:rFonts w:hint="eastAsia" w:ascii="仿宋" w:hAnsi="仿宋" w:eastAsia="仿宋" w:cs="仿宋"/>
          <w:spacing w:val="-158"/>
          <w:sz w:val="32"/>
          <w:szCs w:val="32"/>
        </w:rPr>
        <w:t>）</w:t>
      </w:r>
      <w:r>
        <w:rPr>
          <w:rFonts w:hint="eastAsia" w:ascii="仿宋" w:hAnsi="仿宋" w:eastAsia="仿宋" w:cs="仿宋"/>
          <w:spacing w:val="-9"/>
          <w:sz w:val="32"/>
          <w:szCs w:val="32"/>
        </w:rPr>
        <w:t>，</w:t>
      </w:r>
      <w:r>
        <w:rPr>
          <w:rFonts w:hint="eastAsia" w:ascii="仿宋" w:hAnsi="仿宋" w:eastAsia="仿宋" w:cs="仿宋"/>
          <w:spacing w:val="8"/>
          <w:sz w:val="32"/>
          <w:szCs w:val="32"/>
        </w:rPr>
        <w:t>并根据实际情况定期将联合惩戒实施情况反馈至国家发展改革委和文化和旅游部。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全国旅游监管服务平台建成并与全国信用信息共享平台联通</w:t>
      </w:r>
      <w:r>
        <w:rPr>
          <w:rFonts w:hint="eastAsia" w:ascii="仿宋" w:hAnsi="仿宋" w:eastAsia="仿宋" w:cs="仿宋"/>
          <w:spacing w:val="-7"/>
          <w:sz w:val="32"/>
          <w:szCs w:val="32"/>
        </w:rPr>
        <w:t xml:space="preserve">后，旅游领域失信当事人信息将通过上述平台实现数据交换和共享， </w:t>
      </w:r>
      <w:r>
        <w:rPr>
          <w:rFonts w:hint="eastAsia" w:ascii="仿宋" w:hAnsi="仿宋" w:eastAsia="仿宋" w:cs="仿宋"/>
          <w:spacing w:val="8"/>
          <w:sz w:val="32"/>
          <w:szCs w:val="32"/>
        </w:rPr>
        <w:t xml:space="preserve">文化和旅游部通过全国信用信息共享平台向签署本备忘录的各相 </w:t>
      </w:r>
      <w:r>
        <w:rPr>
          <w:rFonts w:hint="eastAsia" w:ascii="仿宋" w:hAnsi="仿宋" w:eastAsia="仿宋" w:cs="仿宋"/>
          <w:sz w:val="32"/>
          <w:szCs w:val="32"/>
        </w:rPr>
        <w:t>关部门推送失信当事人信息，各相关部门通过该平台联合奖惩子系</w:t>
      </w:r>
      <w:r>
        <w:rPr>
          <w:rFonts w:hint="eastAsia" w:ascii="仿宋" w:hAnsi="仿宋" w:eastAsia="仿宋" w:cs="仿宋"/>
          <w:spacing w:val="8"/>
          <w:sz w:val="32"/>
          <w:szCs w:val="32"/>
        </w:rPr>
        <w:t>统将联合惩戒实施情况及时反馈至国家发展改革委和文化和旅游部。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bookmarkStart w:id="2" w:name="三、联合惩戒措施"/>
      <w:bookmarkEnd w:id="2"/>
      <w:r>
        <w:rPr>
          <w:rFonts w:hint="eastAsia" w:ascii="黑体" w:hAnsi="黑体" w:eastAsia="黑体" w:cs="黑体"/>
          <w:sz w:val="32"/>
          <w:szCs w:val="32"/>
        </w:rPr>
        <w:t>三、联合惩戒措施</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z w:val="32"/>
          <w:szCs w:val="32"/>
        </w:rPr>
      </w:pPr>
      <w:bookmarkStart w:id="3" w:name="（一）限制或禁止失信当事人的市场准入、行政许可"/>
      <w:bookmarkEnd w:id="3"/>
      <w:r>
        <w:rPr>
          <w:rFonts w:hint="eastAsia" w:ascii="楷体" w:hAnsi="楷体" w:eastAsia="楷体" w:cs="楷体"/>
          <w:sz w:val="32"/>
          <w:szCs w:val="32"/>
        </w:rPr>
        <w:t>（一）限制或禁止失信当事人的市场准入、行政许可</w:t>
      </w:r>
      <w:bookmarkStart w:id="4" w:name="1.依法限制失信当事人进入旅游市场。（实施单位：文化和旅游部等其他有关市场准入部"/>
      <w:bookmarkEnd w:id="4"/>
      <w:bookmarkStart w:id="5" w:name="1.依法限制失信当事人进入旅游市场。（实施单位：文化和旅游部等其他有关市场准入部"/>
      <w:bookmarkEnd w:id="5"/>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依法限制失信当事人进入旅游市场</w:t>
      </w:r>
      <w:r>
        <w:rPr>
          <w:rFonts w:hint="eastAsia" w:ascii="仿宋" w:hAnsi="仿宋" w:eastAsia="仿宋" w:cs="仿宋"/>
          <w:spacing w:val="-200"/>
          <w:sz w:val="32"/>
          <w:szCs w:val="32"/>
        </w:rPr>
        <w:t>。</w:t>
      </w:r>
      <w:r>
        <w:rPr>
          <w:rFonts w:hint="eastAsia" w:ascii="仿宋" w:hAnsi="仿宋" w:eastAsia="仿宋" w:cs="仿宋"/>
          <w:sz w:val="32"/>
          <w:szCs w:val="32"/>
        </w:rPr>
        <w:t>（</w:t>
      </w:r>
      <w:r>
        <w:rPr>
          <w:rFonts w:hint="eastAsia" w:ascii="仿宋" w:hAnsi="仿宋" w:eastAsia="仿宋" w:cs="仿宋"/>
          <w:spacing w:val="-9"/>
          <w:sz w:val="32"/>
          <w:szCs w:val="32"/>
        </w:rPr>
        <w:t>实施单位：文化和旅游</w:t>
      </w:r>
      <w:r>
        <w:rPr>
          <w:rFonts w:hint="eastAsia" w:ascii="仿宋" w:hAnsi="仿宋" w:eastAsia="仿宋" w:cs="仿宋"/>
          <w:sz w:val="32"/>
          <w:szCs w:val="32"/>
        </w:rPr>
        <w:t>部等其他有关市场准入部门）</w:t>
      </w:r>
    </w:p>
    <w:p>
      <w:pPr>
        <w:pStyle w:val="8"/>
        <w:keepNext w:val="0"/>
        <w:keepLines w:val="0"/>
        <w:pageBreakBefore w:val="0"/>
        <w:widowControl w:val="0"/>
        <w:numPr>
          <w:ilvl w:val="0"/>
          <w:numId w:val="0"/>
        </w:numPr>
        <w:tabs>
          <w:tab w:val="left" w:pos="943"/>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6" w:name="2.限制企业经营时的审慎性参考。"/>
      <w:bookmarkEnd w:id="6"/>
      <w:bookmarkStart w:id="7" w:name="2.限制企业经营时的审慎性参考。"/>
      <w:bookmarkEnd w:id="7"/>
      <w:r>
        <w:rPr>
          <w:rFonts w:hint="eastAsia" w:ascii="仿宋" w:hAnsi="仿宋" w:eastAsia="仿宋" w:cs="仿宋"/>
          <w:sz w:val="32"/>
          <w:szCs w:val="32"/>
          <w:lang w:val="en-US" w:eastAsia="zh-CN"/>
        </w:rPr>
        <w:t>2.</w:t>
      </w:r>
      <w:r>
        <w:rPr>
          <w:rFonts w:hint="eastAsia" w:ascii="仿宋" w:hAnsi="仿宋" w:eastAsia="仿宋" w:cs="仿宋"/>
          <w:sz w:val="32"/>
          <w:szCs w:val="32"/>
        </w:rPr>
        <w:t>限制企业经营时的审慎性参考。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对失信当事人依法采取取消旅游领域等相关经营资质或限制</w:t>
      </w:r>
      <w:r>
        <w:rPr>
          <w:rFonts w:hint="eastAsia" w:ascii="仿宋" w:hAnsi="仿宋" w:eastAsia="仿宋" w:cs="仿宋"/>
          <w:spacing w:val="-5"/>
          <w:sz w:val="32"/>
          <w:szCs w:val="32"/>
        </w:rPr>
        <w:t>性经营等措施。将失信状况作为失信当事人重新从事旅游经营审批的审慎性参考依据。从严审查失信当事人的增值电信业务经营许可</w:t>
      </w:r>
      <w:r>
        <w:rPr>
          <w:rFonts w:hint="eastAsia" w:ascii="仿宋" w:hAnsi="仿宋" w:eastAsia="仿宋" w:cs="仿宋"/>
          <w:spacing w:val="-47"/>
          <w:sz w:val="32"/>
          <w:szCs w:val="32"/>
        </w:rPr>
        <w:t>申请。</w:t>
      </w:r>
      <w:r>
        <w:rPr>
          <w:rFonts w:hint="eastAsia" w:ascii="仿宋" w:hAnsi="仿宋" w:eastAsia="仿宋" w:cs="仿宋"/>
          <w:spacing w:val="4"/>
          <w:sz w:val="32"/>
          <w:szCs w:val="32"/>
        </w:rPr>
        <w:t>（</w:t>
      </w:r>
      <w:r>
        <w:rPr>
          <w:rFonts w:hint="eastAsia" w:ascii="仿宋" w:hAnsi="仿宋" w:eastAsia="仿宋" w:cs="仿宋"/>
          <w:sz w:val="32"/>
          <w:szCs w:val="32"/>
        </w:rPr>
        <w:t>实施单位：文化和旅游部、工业和信息化部等其他有关市场监管部门）</w:t>
      </w:r>
    </w:p>
    <w:p>
      <w:pPr>
        <w:pStyle w:val="8"/>
        <w:keepNext w:val="0"/>
        <w:keepLines w:val="0"/>
        <w:pageBreakBefore w:val="0"/>
        <w:widowControl w:val="0"/>
        <w:numPr>
          <w:ilvl w:val="0"/>
          <w:numId w:val="0"/>
        </w:numPr>
        <w:tabs>
          <w:tab w:val="left" w:pos="943"/>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8" w:name="3.依法限制取得生产许可。"/>
      <w:bookmarkEnd w:id="8"/>
      <w:bookmarkStart w:id="9" w:name="3.依法限制取得生产许可。"/>
      <w:bookmarkEnd w:id="9"/>
      <w:r>
        <w:rPr>
          <w:rFonts w:hint="eastAsia" w:ascii="仿宋" w:hAnsi="仿宋" w:eastAsia="仿宋" w:cs="仿宋"/>
          <w:sz w:val="32"/>
          <w:szCs w:val="32"/>
          <w:lang w:val="en-US" w:eastAsia="zh-CN"/>
        </w:rPr>
        <w:t>3.</w:t>
      </w:r>
      <w:r>
        <w:rPr>
          <w:rFonts w:hint="eastAsia" w:ascii="仿宋" w:hAnsi="仿宋" w:eastAsia="仿宋" w:cs="仿宋"/>
          <w:sz w:val="32"/>
          <w:szCs w:val="32"/>
        </w:rPr>
        <w:t>依法限制取得生产许可。</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依法限制对失信当事人申请工业产品生产许可。（实施单位： 国家市场监督管理总局）</w:t>
      </w:r>
    </w:p>
    <w:p>
      <w:pPr>
        <w:pStyle w:val="8"/>
        <w:keepNext w:val="0"/>
        <w:keepLines w:val="0"/>
        <w:pageBreakBefore w:val="0"/>
        <w:widowControl w:val="0"/>
        <w:numPr>
          <w:ilvl w:val="0"/>
          <w:numId w:val="0"/>
        </w:numPr>
        <w:tabs>
          <w:tab w:val="left" w:pos="943"/>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依法限制参加政府采购活动。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协助查询政府采购项目信息，依法限制失信当事人在一定期限内参与政府采购活动。（实施单位：财政部）</w:t>
      </w:r>
    </w:p>
    <w:p>
      <w:pPr>
        <w:pStyle w:val="8"/>
        <w:keepNext w:val="0"/>
        <w:keepLines w:val="0"/>
        <w:pageBreakBefore w:val="0"/>
        <w:widowControl w:val="0"/>
        <w:numPr>
          <w:ilvl w:val="0"/>
          <w:numId w:val="0"/>
        </w:numPr>
        <w:tabs>
          <w:tab w:val="left" w:pos="943"/>
        </w:tabs>
        <w:kinsoku/>
        <w:wordWrap/>
        <w:overflowPunct/>
        <w:topLinePunct w:val="0"/>
        <w:autoSpaceDE w:val="0"/>
        <w:autoSpaceDN w:val="0"/>
        <w:bidi w:val="0"/>
        <w:adjustRightInd/>
        <w:snapToGrid/>
        <w:spacing w:before="0" w:after="0" w:line="600" w:lineRule="exact"/>
        <w:ind w:right="0" w:rightChars="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lang w:val="en-US" w:eastAsia="zh-CN"/>
        </w:rPr>
        <w:t>5.</w:t>
      </w:r>
      <w:r>
        <w:rPr>
          <w:rFonts w:hint="eastAsia" w:ascii="仿宋" w:hAnsi="仿宋" w:eastAsia="仿宋" w:cs="仿宋"/>
          <w:spacing w:val="-5"/>
          <w:sz w:val="32"/>
          <w:szCs w:val="32"/>
        </w:rPr>
        <w:t>依法限制取得或终止其基础设施和公用事业特许经营。</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协助查询基础设施和公用事业特许经营，依法限制失信当事人在一定期限内参与基础设施和公用事业特许经营活动</w:t>
      </w:r>
      <w:r>
        <w:rPr>
          <w:rFonts w:hint="eastAsia" w:ascii="仿宋" w:hAnsi="仿宋" w:eastAsia="仿宋" w:cs="仿宋"/>
          <w:spacing w:val="-176"/>
          <w:sz w:val="32"/>
          <w:szCs w:val="32"/>
        </w:rPr>
        <w:t>。</w:t>
      </w:r>
      <w:r>
        <w:rPr>
          <w:rFonts w:hint="eastAsia" w:ascii="仿宋" w:hAnsi="仿宋" w:eastAsia="仿宋" w:cs="仿宋"/>
          <w:sz w:val="32"/>
          <w:szCs w:val="32"/>
        </w:rPr>
        <w:t>（</w:t>
      </w:r>
      <w:r>
        <w:rPr>
          <w:rFonts w:hint="eastAsia" w:ascii="仿宋" w:hAnsi="仿宋" w:eastAsia="仿宋" w:cs="仿宋"/>
          <w:spacing w:val="-4"/>
          <w:sz w:val="32"/>
          <w:szCs w:val="32"/>
        </w:rPr>
        <w:t>实施单位： 国家发展改革委、财政部、住房城乡建设部、交通运输部、水利部等相关部门）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bookmarkStart w:id="10" w:name="6.依法限制取得政府供应土地。"/>
      <w:bookmarkEnd w:id="10"/>
      <w:bookmarkStart w:id="11" w:name="6.依法限制取得政府供应土地。"/>
      <w:bookmarkEnd w:id="11"/>
      <w:r>
        <w:rPr>
          <w:rFonts w:hint="eastAsia" w:ascii="仿宋" w:hAnsi="仿宋" w:eastAsia="仿宋" w:cs="仿宋"/>
          <w:sz w:val="32"/>
          <w:szCs w:val="32"/>
          <w:lang w:val="en-US" w:eastAsia="zh-CN"/>
        </w:rPr>
        <w:t>6.</w:t>
      </w:r>
      <w:r>
        <w:rPr>
          <w:rFonts w:hint="eastAsia" w:ascii="仿宋" w:hAnsi="仿宋" w:eastAsia="仿宋" w:cs="仿宋"/>
          <w:sz w:val="32"/>
          <w:szCs w:val="32"/>
        </w:rPr>
        <w:t>依法限制取得政府供应土地。</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对失信当事人申请用地或参与土地竞买进行必要限制。（实施单位：自然资源部）</w:t>
      </w:r>
    </w:p>
    <w:p>
      <w:pPr>
        <w:pStyle w:val="8"/>
        <w:keepNext w:val="0"/>
        <w:keepLines w:val="0"/>
        <w:pageBreakBefore w:val="0"/>
        <w:widowControl w:val="0"/>
        <w:numPr>
          <w:ilvl w:val="0"/>
          <w:numId w:val="0"/>
        </w:numPr>
        <w:tabs>
          <w:tab w:val="left" w:pos="943"/>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2" w:name="7.依法限制参与工程建设项目招投标活动。（实施单位：国家发展改革委、文化和旅游部"/>
      <w:bookmarkEnd w:id="12"/>
      <w:bookmarkStart w:id="13" w:name="7.依法限制参与工程建设项目招投标活动。（实施单位：国家发展改革委、文化和旅游部"/>
      <w:bookmarkEnd w:id="13"/>
      <w:r>
        <w:rPr>
          <w:rFonts w:hint="eastAsia" w:ascii="仿宋" w:hAnsi="仿宋" w:eastAsia="仿宋" w:cs="仿宋"/>
          <w:sz w:val="32"/>
          <w:szCs w:val="32"/>
          <w:lang w:val="en-US" w:eastAsia="zh-CN"/>
        </w:rPr>
        <w:t>7.</w:t>
      </w:r>
      <w:r>
        <w:rPr>
          <w:rFonts w:hint="eastAsia" w:ascii="仿宋" w:hAnsi="仿宋" w:eastAsia="仿宋" w:cs="仿宋"/>
          <w:sz w:val="32"/>
          <w:szCs w:val="32"/>
        </w:rPr>
        <w:t>依法限制参与工程建设项目招投标活动</w:t>
      </w:r>
      <w:r>
        <w:rPr>
          <w:rFonts w:hint="eastAsia" w:ascii="仿宋" w:hAnsi="仿宋" w:eastAsia="仿宋" w:cs="仿宋"/>
          <w:spacing w:val="-200"/>
          <w:sz w:val="32"/>
          <w:szCs w:val="32"/>
        </w:rPr>
        <w:t>。</w:t>
      </w:r>
      <w:r>
        <w:rPr>
          <w:rFonts w:hint="eastAsia" w:ascii="仿宋" w:hAnsi="仿宋" w:eastAsia="仿宋" w:cs="仿宋"/>
          <w:sz w:val="32"/>
          <w:szCs w:val="32"/>
        </w:rPr>
        <w:t>（</w:t>
      </w:r>
      <w:r>
        <w:rPr>
          <w:rFonts w:hint="eastAsia" w:ascii="仿宋" w:hAnsi="仿宋" w:eastAsia="仿宋" w:cs="仿宋"/>
          <w:spacing w:val="-10"/>
          <w:sz w:val="32"/>
          <w:szCs w:val="32"/>
        </w:rPr>
        <w:t>实施单位：国家发</w:t>
      </w:r>
      <w:r>
        <w:rPr>
          <w:rFonts w:hint="eastAsia" w:ascii="仿宋" w:hAnsi="仿宋" w:eastAsia="仿宋" w:cs="仿宋"/>
          <w:spacing w:val="-6"/>
          <w:sz w:val="32"/>
          <w:szCs w:val="32"/>
        </w:rPr>
        <w:t>展改革委、文化和旅游部、工业和信息化部、住房城乡建设部、交</w:t>
      </w:r>
      <w:r>
        <w:rPr>
          <w:rFonts w:hint="eastAsia" w:ascii="仿宋" w:hAnsi="仿宋" w:eastAsia="仿宋" w:cs="仿宋"/>
          <w:sz w:val="32"/>
          <w:szCs w:val="32"/>
        </w:rPr>
        <w:t>通运输部、水利部、商务部、民航局、铁路总公司等相关部门）</w:t>
      </w:r>
    </w:p>
    <w:p>
      <w:pPr>
        <w:pStyle w:val="8"/>
        <w:keepNext w:val="0"/>
        <w:keepLines w:val="0"/>
        <w:pageBreakBefore w:val="0"/>
        <w:widowControl w:val="0"/>
        <w:numPr>
          <w:ilvl w:val="0"/>
          <w:numId w:val="0"/>
        </w:numPr>
        <w:tabs>
          <w:tab w:val="left" w:pos="943"/>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4" w:name="8.依法限制取得安全生产许可证。（实施单位：住房城乡建设部等相关部门）"/>
      <w:bookmarkEnd w:id="14"/>
      <w:bookmarkStart w:id="15" w:name="8.依法限制取得安全生产许可证。（实施单位：住房城乡建设部等相关部门）"/>
      <w:bookmarkEnd w:id="15"/>
      <w:r>
        <w:rPr>
          <w:rFonts w:hint="eastAsia" w:ascii="仿宋" w:hAnsi="仿宋" w:eastAsia="仿宋" w:cs="仿宋"/>
          <w:sz w:val="32"/>
          <w:szCs w:val="32"/>
          <w:lang w:val="en-US" w:eastAsia="zh-CN"/>
        </w:rPr>
        <w:t>8.</w:t>
      </w:r>
      <w:r>
        <w:rPr>
          <w:rFonts w:hint="eastAsia" w:ascii="仿宋" w:hAnsi="仿宋" w:eastAsia="仿宋" w:cs="仿宋"/>
          <w:sz w:val="32"/>
          <w:szCs w:val="32"/>
        </w:rPr>
        <w:t>依法限制取得安全生产许可证</w:t>
      </w:r>
      <w:r>
        <w:rPr>
          <w:rFonts w:hint="eastAsia" w:ascii="仿宋" w:hAnsi="仿宋" w:eastAsia="仿宋" w:cs="仿宋"/>
          <w:spacing w:val="-200"/>
          <w:sz w:val="32"/>
          <w:szCs w:val="32"/>
        </w:rPr>
        <w:t>。</w:t>
      </w:r>
      <w:r>
        <w:rPr>
          <w:rFonts w:hint="eastAsia" w:ascii="仿宋" w:hAnsi="仿宋" w:eastAsia="仿宋" w:cs="仿宋"/>
          <w:sz w:val="32"/>
          <w:szCs w:val="32"/>
        </w:rPr>
        <w:t>（</w:t>
      </w:r>
      <w:r>
        <w:rPr>
          <w:rFonts w:hint="eastAsia" w:ascii="仿宋" w:hAnsi="仿宋" w:eastAsia="仿宋" w:cs="仿宋"/>
          <w:spacing w:val="-9"/>
          <w:sz w:val="32"/>
          <w:szCs w:val="32"/>
        </w:rPr>
        <w:t>实施单位：住房城乡建设部</w:t>
      </w:r>
      <w:r>
        <w:rPr>
          <w:rFonts w:hint="eastAsia" w:ascii="仿宋" w:hAnsi="仿宋" w:eastAsia="仿宋" w:cs="仿宋"/>
          <w:sz w:val="32"/>
          <w:szCs w:val="32"/>
        </w:rPr>
        <w:t>等相关部门）</w:t>
      </w:r>
    </w:p>
    <w:p>
      <w:pPr>
        <w:pStyle w:val="8"/>
        <w:keepNext w:val="0"/>
        <w:keepLines w:val="0"/>
        <w:pageBreakBefore w:val="0"/>
        <w:widowControl w:val="0"/>
        <w:numPr>
          <w:ilvl w:val="0"/>
          <w:numId w:val="0"/>
        </w:numPr>
        <w:tabs>
          <w:tab w:val="left" w:pos="943"/>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限制成为海关认证企业，申请适用海关认证企业管理的，不</w:t>
      </w:r>
      <w:r>
        <w:rPr>
          <w:rFonts w:hint="eastAsia" w:ascii="仿宋" w:hAnsi="仿宋" w:eastAsia="仿宋" w:cs="仿宋"/>
          <w:spacing w:val="-16"/>
          <w:sz w:val="32"/>
          <w:szCs w:val="32"/>
        </w:rPr>
        <w:t>予通过认证；对已经成为认证企业的，按照规定下调企业信用等级。</w:t>
      </w:r>
      <w:r>
        <w:rPr>
          <w:rFonts w:hint="eastAsia" w:ascii="仿宋" w:hAnsi="仿宋" w:eastAsia="仿宋" w:cs="仿宋"/>
          <w:sz w:val="32"/>
          <w:szCs w:val="32"/>
        </w:rPr>
        <w:t>（实施单位：海关总署）</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lang w:val="en-US" w:eastAsia="zh-CN"/>
        </w:rPr>
        <w:t>10.</w:t>
      </w:r>
      <w:r>
        <w:rPr>
          <w:rFonts w:hint="eastAsia" w:ascii="仿宋" w:hAnsi="仿宋" w:eastAsia="仿宋" w:cs="仿宋"/>
          <w:spacing w:val="-9"/>
          <w:sz w:val="32"/>
          <w:szCs w:val="32"/>
        </w:rPr>
        <w:t>办理海关相关业务时，对其进出口货物实施严密监管，加强</w:t>
      </w:r>
      <w:r>
        <w:rPr>
          <w:rFonts w:hint="eastAsia" w:ascii="仿宋" w:hAnsi="仿宋" w:eastAsia="仿宋" w:cs="仿宋"/>
          <w:spacing w:val="-5"/>
          <w:sz w:val="32"/>
          <w:szCs w:val="32"/>
        </w:rPr>
        <w:t>单证审核、布控查验、加工贸易担保征收、统计监督核查或后续稽</w:t>
      </w:r>
      <w:r>
        <w:rPr>
          <w:rFonts w:hint="eastAsia" w:ascii="仿宋" w:hAnsi="仿宋" w:eastAsia="仿宋" w:cs="仿宋"/>
          <w:spacing w:val="-75"/>
          <w:sz w:val="32"/>
          <w:szCs w:val="32"/>
        </w:rPr>
        <w:t>查。</w:t>
      </w:r>
      <w:r>
        <w:rPr>
          <w:rFonts w:hint="eastAsia" w:ascii="仿宋" w:hAnsi="仿宋" w:eastAsia="仿宋" w:cs="仿宋"/>
          <w:sz w:val="32"/>
          <w:szCs w:val="32"/>
        </w:rPr>
        <w:t>（实施单位：海关总署）</w:t>
      </w:r>
    </w:p>
    <w:p>
      <w:pPr>
        <w:pStyle w:val="8"/>
        <w:keepNext w:val="0"/>
        <w:keepLines w:val="0"/>
        <w:pageBreakBefore w:val="0"/>
        <w:widowControl w:val="0"/>
        <w:numPr>
          <w:ilvl w:val="0"/>
          <w:numId w:val="0"/>
        </w:numPr>
        <w:tabs>
          <w:tab w:val="left" w:pos="1082"/>
        </w:tabs>
        <w:kinsoku/>
        <w:wordWrap/>
        <w:overflowPunct/>
        <w:topLinePunct w:val="0"/>
        <w:autoSpaceDE w:val="0"/>
        <w:autoSpaceDN w:val="0"/>
        <w:bidi w:val="0"/>
        <w:adjustRightInd/>
        <w:snapToGrid/>
        <w:spacing w:before="0" w:after="0" w:line="600" w:lineRule="exact"/>
        <w:ind w:right="0" w:rightChars="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lang w:val="en-US" w:eastAsia="zh-CN"/>
        </w:rPr>
        <w:t>11.</w:t>
      </w:r>
      <w:r>
        <w:rPr>
          <w:rFonts w:hint="eastAsia" w:ascii="仿宋" w:hAnsi="仿宋" w:eastAsia="仿宋" w:cs="仿宋"/>
          <w:spacing w:val="-8"/>
          <w:sz w:val="32"/>
          <w:szCs w:val="32"/>
        </w:rPr>
        <w:t>对严重失信责任主体，限制其取得认证机构资质；限制其获</w:t>
      </w:r>
      <w:r>
        <w:rPr>
          <w:rFonts w:hint="eastAsia" w:ascii="仿宋" w:hAnsi="仿宋" w:eastAsia="仿宋" w:cs="仿宋"/>
          <w:spacing w:val="-25"/>
          <w:sz w:val="32"/>
          <w:szCs w:val="32"/>
        </w:rPr>
        <w:t>得认证证书。</w:t>
      </w:r>
      <w:r>
        <w:rPr>
          <w:rFonts w:hint="eastAsia" w:ascii="仿宋" w:hAnsi="仿宋" w:eastAsia="仿宋" w:cs="仿宋"/>
          <w:sz w:val="32"/>
          <w:szCs w:val="32"/>
        </w:rPr>
        <w:t>（实施单位：国家市场监督管理总局）</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12.</w:t>
      </w:r>
      <w:r>
        <w:rPr>
          <w:rFonts w:hint="eastAsia" w:ascii="仿宋" w:hAnsi="仿宋" w:eastAsia="仿宋" w:cs="仿宋"/>
          <w:spacing w:val="-12"/>
          <w:sz w:val="32"/>
          <w:szCs w:val="32"/>
        </w:rPr>
        <w:t>在股票、可转换债券发行审核及在全国中小企业股份转让系</w:t>
      </w:r>
      <w:r>
        <w:rPr>
          <w:rFonts w:hint="eastAsia" w:ascii="仿宋" w:hAnsi="仿宋" w:eastAsia="仿宋" w:cs="仿宋"/>
          <w:spacing w:val="-6"/>
          <w:sz w:val="32"/>
          <w:szCs w:val="32"/>
        </w:rPr>
        <w:t>统挂牌公开转让审核中，将失信信息作为参考。</w:t>
      </w:r>
      <w:r>
        <w:rPr>
          <w:rFonts w:hint="eastAsia" w:ascii="仿宋" w:hAnsi="仿宋" w:eastAsia="仿宋" w:cs="仿宋"/>
          <w:spacing w:val="4"/>
          <w:sz w:val="32"/>
          <w:szCs w:val="32"/>
        </w:rPr>
        <w:t>（</w:t>
      </w:r>
      <w:r>
        <w:rPr>
          <w:rFonts w:hint="eastAsia" w:ascii="仿宋" w:hAnsi="仿宋" w:eastAsia="仿宋" w:cs="仿宋"/>
          <w:spacing w:val="1"/>
          <w:sz w:val="32"/>
          <w:szCs w:val="32"/>
        </w:rPr>
        <w:t>实施单位：证监会）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4" w:firstLineChars="200"/>
        <w:jc w:val="both"/>
        <w:textAlignment w:val="auto"/>
        <w:rPr>
          <w:rFonts w:hint="eastAsia" w:ascii="仿宋" w:hAnsi="仿宋" w:eastAsia="仿宋" w:cs="仿宋"/>
          <w:sz w:val="32"/>
          <w:szCs w:val="32"/>
        </w:rPr>
      </w:pPr>
      <w:r>
        <w:rPr>
          <w:rFonts w:hint="eastAsia" w:ascii="仿宋" w:hAnsi="仿宋" w:eastAsia="仿宋" w:cs="仿宋"/>
          <w:spacing w:val="-9"/>
          <w:sz w:val="32"/>
          <w:szCs w:val="32"/>
          <w:lang w:val="en-US" w:eastAsia="zh-CN"/>
        </w:rPr>
        <w:t>13.</w:t>
      </w:r>
      <w:r>
        <w:rPr>
          <w:rFonts w:hint="eastAsia" w:ascii="仿宋" w:hAnsi="仿宋" w:eastAsia="仿宋" w:cs="仿宋"/>
          <w:spacing w:val="-9"/>
          <w:sz w:val="32"/>
          <w:szCs w:val="32"/>
        </w:rPr>
        <w:t>将失信信息作为证券公司、保险公司、基金管理公司及期货</w:t>
      </w:r>
      <w:r>
        <w:rPr>
          <w:rFonts w:hint="eastAsia" w:ascii="仿宋" w:hAnsi="仿宋" w:eastAsia="仿宋" w:cs="仿宋"/>
          <w:spacing w:val="-3"/>
          <w:sz w:val="32"/>
          <w:szCs w:val="32"/>
        </w:rPr>
        <w:t>公司的设立及股权或实际控制人变更审批或备案，私募投资基金管</w:t>
      </w:r>
      <w:r>
        <w:rPr>
          <w:rFonts w:hint="eastAsia" w:ascii="仿宋" w:hAnsi="仿宋" w:eastAsia="仿宋" w:cs="仿宋"/>
          <w:spacing w:val="-6"/>
          <w:sz w:val="32"/>
          <w:szCs w:val="32"/>
        </w:rPr>
        <w:t>理人登记、重大事项变更以及基金备案的参考。</w:t>
      </w:r>
      <w:r>
        <w:rPr>
          <w:rFonts w:hint="eastAsia" w:ascii="仿宋" w:hAnsi="仿宋" w:eastAsia="仿宋" w:cs="仿宋"/>
          <w:spacing w:val="4"/>
          <w:sz w:val="32"/>
          <w:szCs w:val="32"/>
        </w:rPr>
        <w:t>（</w:t>
      </w:r>
      <w:r>
        <w:rPr>
          <w:rFonts w:hint="eastAsia" w:ascii="仿宋" w:hAnsi="仿宋" w:eastAsia="仿宋" w:cs="仿宋"/>
          <w:spacing w:val="1"/>
          <w:sz w:val="32"/>
          <w:szCs w:val="32"/>
        </w:rPr>
        <w:t>实施单位：证监</w:t>
      </w:r>
      <w:r>
        <w:rPr>
          <w:rFonts w:hint="eastAsia" w:ascii="仿宋" w:hAnsi="仿宋" w:eastAsia="仿宋" w:cs="仿宋"/>
          <w:sz w:val="32"/>
          <w:szCs w:val="32"/>
        </w:rPr>
        <w:t>会、中国银行保险监督管理委员会）</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04"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pacing w:val="-9"/>
          <w:sz w:val="32"/>
          <w:szCs w:val="32"/>
          <w:lang w:val="en-US" w:eastAsia="zh-CN"/>
        </w:rPr>
        <w:t>14.</w:t>
      </w:r>
      <w:r>
        <w:rPr>
          <w:rFonts w:hint="eastAsia" w:ascii="仿宋" w:hAnsi="仿宋" w:eastAsia="仿宋" w:cs="仿宋"/>
          <w:spacing w:val="-9"/>
          <w:sz w:val="32"/>
          <w:szCs w:val="32"/>
        </w:rPr>
        <w:t>将失信信息作为证券公司、保险公司、基金管理公司、期货</w:t>
      </w:r>
      <w:r>
        <w:rPr>
          <w:rFonts w:hint="eastAsia" w:ascii="仿宋" w:hAnsi="仿宋" w:eastAsia="仿宋" w:cs="仿宋"/>
          <w:spacing w:val="-6"/>
          <w:sz w:val="32"/>
          <w:szCs w:val="32"/>
        </w:rPr>
        <w:t>公司的董事、监事和高级管理人员及分支机构负责人任职审批或备</w:t>
      </w:r>
      <w:r>
        <w:rPr>
          <w:rFonts w:hint="eastAsia" w:ascii="仿宋" w:hAnsi="仿宋" w:eastAsia="仿宋" w:cs="仿宋"/>
          <w:spacing w:val="-31"/>
          <w:sz w:val="32"/>
          <w:szCs w:val="32"/>
        </w:rPr>
        <w:t>案的参考。</w:t>
      </w:r>
      <w:r>
        <w:rPr>
          <w:rFonts w:hint="eastAsia" w:ascii="仿宋" w:hAnsi="仿宋" w:eastAsia="仿宋" w:cs="仿宋"/>
          <w:sz w:val="32"/>
          <w:szCs w:val="32"/>
        </w:rPr>
        <w:t>（实施单位：证监会、中国银行保险监督管理委员会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pacing w:val="-9"/>
          <w:sz w:val="32"/>
          <w:szCs w:val="32"/>
          <w:lang w:val="en-US" w:eastAsia="zh-CN"/>
        </w:rPr>
        <w:t>对存在失信记录的相关主体在上市公司或者非上市公众公司收购的事中事后监管中予以重点关注。（实施单位：证监会）</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将失信信息作为非上市公众公司重大资产重组审核的参考。（实施单位：证监会）</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将失信信息作为独立基金销售机构审批的参考</w:t>
      </w:r>
      <w:r>
        <w:rPr>
          <w:rFonts w:hint="eastAsia" w:ascii="仿宋" w:hAnsi="仿宋" w:eastAsia="仿宋" w:cs="仿宋"/>
          <w:spacing w:val="-252"/>
          <w:sz w:val="32"/>
          <w:szCs w:val="32"/>
        </w:rPr>
        <w:t>。</w:t>
      </w:r>
      <w:r>
        <w:rPr>
          <w:rFonts w:hint="eastAsia" w:ascii="仿宋" w:hAnsi="仿宋" w:eastAsia="仿宋" w:cs="仿宋"/>
          <w:sz w:val="32"/>
          <w:szCs w:val="32"/>
        </w:rPr>
        <w:t>（</w:t>
      </w:r>
      <w:r>
        <w:rPr>
          <w:rFonts w:hint="eastAsia" w:ascii="仿宋" w:hAnsi="仿宋" w:eastAsia="仿宋" w:cs="仿宋"/>
          <w:spacing w:val="-4"/>
          <w:sz w:val="32"/>
          <w:szCs w:val="32"/>
        </w:rPr>
        <w:t xml:space="preserve">实施单位： </w:t>
      </w:r>
      <w:r>
        <w:rPr>
          <w:rFonts w:hint="eastAsia" w:ascii="仿宋" w:hAnsi="仿宋" w:eastAsia="仿宋" w:cs="仿宋"/>
          <w:sz w:val="32"/>
          <w:szCs w:val="32"/>
        </w:rPr>
        <w:t>证监会）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bookmarkStart w:id="16" w:name="（二）对失信当事人加强日常监管，限制融资和消费"/>
      <w:bookmarkEnd w:id="16"/>
      <w:r>
        <w:rPr>
          <w:rFonts w:hint="eastAsia" w:ascii="楷体" w:hAnsi="楷体" w:eastAsia="楷体" w:cs="楷体"/>
          <w:sz w:val="32"/>
          <w:szCs w:val="32"/>
        </w:rPr>
        <w:t>（二）对失信当事人加强日常监管，限制融资和消费</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7" w:name="18.加强旅游经营和服务质量监管。"/>
      <w:bookmarkEnd w:id="17"/>
      <w:bookmarkStart w:id="18" w:name="18.加强旅游经营和服务质量监管。"/>
      <w:bookmarkEnd w:id="18"/>
      <w:r>
        <w:rPr>
          <w:rFonts w:hint="eastAsia" w:ascii="仿宋" w:hAnsi="仿宋" w:eastAsia="仿宋" w:cs="仿宋"/>
          <w:sz w:val="32"/>
          <w:szCs w:val="32"/>
          <w:lang w:val="en-US" w:eastAsia="zh-CN"/>
        </w:rPr>
        <w:t>18.</w:t>
      </w:r>
      <w:r>
        <w:rPr>
          <w:rFonts w:hint="eastAsia" w:ascii="仿宋" w:hAnsi="仿宋" w:eastAsia="仿宋" w:cs="仿宋"/>
          <w:sz w:val="32"/>
          <w:szCs w:val="32"/>
        </w:rPr>
        <w:t>加强旅游经营和服务质量监管。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596" w:firstLineChars="200"/>
        <w:jc w:val="both"/>
        <w:textAlignment w:val="auto"/>
        <w:rPr>
          <w:rFonts w:hint="eastAsia" w:ascii="仿宋" w:hAnsi="仿宋" w:eastAsia="仿宋" w:cs="仿宋"/>
          <w:sz w:val="32"/>
          <w:szCs w:val="32"/>
        </w:rPr>
      </w:pPr>
      <w:r>
        <w:rPr>
          <w:rFonts w:hint="eastAsia" w:ascii="仿宋" w:hAnsi="仿宋" w:eastAsia="仿宋" w:cs="仿宋"/>
          <w:spacing w:val="-11"/>
          <w:sz w:val="32"/>
          <w:szCs w:val="32"/>
        </w:rPr>
        <w:t>对失信当事人从事旅行社、景区以及为旅游者提供交通、住宿、</w:t>
      </w:r>
      <w:r>
        <w:rPr>
          <w:rFonts w:hint="eastAsia" w:ascii="仿宋" w:hAnsi="仿宋" w:eastAsia="仿宋" w:cs="仿宋"/>
          <w:spacing w:val="-6"/>
          <w:sz w:val="32"/>
          <w:szCs w:val="32"/>
        </w:rPr>
        <w:t>餐饮、购物、娱乐等服务的经营活动加强审查和监督检查。</w:t>
      </w:r>
      <w:r>
        <w:rPr>
          <w:rFonts w:hint="eastAsia" w:ascii="仿宋" w:hAnsi="仿宋" w:eastAsia="仿宋" w:cs="仿宋"/>
          <w:spacing w:val="4"/>
          <w:sz w:val="32"/>
          <w:szCs w:val="32"/>
        </w:rPr>
        <w:t>（</w:t>
      </w:r>
      <w:r>
        <w:rPr>
          <w:rFonts w:hint="eastAsia" w:ascii="仿宋" w:hAnsi="仿宋" w:eastAsia="仿宋" w:cs="仿宋"/>
          <w:spacing w:val="2"/>
          <w:sz w:val="32"/>
          <w:szCs w:val="32"/>
        </w:rPr>
        <w:t>实施</w:t>
      </w:r>
      <w:r>
        <w:rPr>
          <w:rFonts w:hint="eastAsia" w:ascii="仿宋" w:hAnsi="仿宋" w:eastAsia="仿宋" w:cs="仿宋"/>
          <w:spacing w:val="-5"/>
          <w:sz w:val="32"/>
          <w:szCs w:val="32"/>
        </w:rPr>
        <w:t>单位：文化和旅游部、国家发展改革委、交通运输部、商务部、国家市场监督管理总局、住房城乡建设部等相关部门）</w:t>
      </w:r>
    </w:p>
    <w:p>
      <w:pPr>
        <w:pStyle w:val="8"/>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19.</w:t>
      </w:r>
      <w:r>
        <w:rPr>
          <w:rFonts w:hint="eastAsia" w:ascii="仿宋" w:hAnsi="仿宋" w:eastAsia="仿宋" w:cs="仿宋"/>
          <w:sz w:val="32"/>
          <w:szCs w:val="32"/>
        </w:rPr>
        <w:t>作为导游证审验换发及领队资格确认时的重要参考。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将失信当事人违反法律法规的情况作为其导游证通过审验换发及领队资格确认的重要参考。（实施单位：文化和旅游部）</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19" w:name="20.加强安全生产经营监管。"/>
      <w:bookmarkEnd w:id="19"/>
      <w:bookmarkStart w:id="20" w:name="20.加强安全生产经营监管。"/>
      <w:bookmarkEnd w:id="20"/>
      <w:r>
        <w:rPr>
          <w:rFonts w:hint="eastAsia" w:ascii="仿宋" w:hAnsi="仿宋" w:eastAsia="仿宋" w:cs="仿宋"/>
          <w:sz w:val="32"/>
          <w:szCs w:val="32"/>
          <w:lang w:val="en-US" w:eastAsia="zh-CN"/>
        </w:rPr>
        <w:t>20.</w:t>
      </w:r>
      <w:r>
        <w:rPr>
          <w:rFonts w:hint="eastAsia" w:ascii="仿宋" w:hAnsi="仿宋" w:eastAsia="仿宋" w:cs="仿宋"/>
          <w:sz w:val="32"/>
          <w:szCs w:val="32"/>
        </w:rPr>
        <w:t>加强安全生产经营监管。</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将失信当事人作为重点监管对象，加大日常监管力度，提高随</w:t>
      </w:r>
      <w:r>
        <w:rPr>
          <w:rFonts w:hint="eastAsia" w:ascii="仿宋" w:hAnsi="仿宋" w:eastAsia="仿宋" w:cs="仿宋"/>
          <w:spacing w:val="-14"/>
          <w:sz w:val="32"/>
          <w:szCs w:val="32"/>
        </w:rPr>
        <w:t>机抽查的比例和频次。建立常态化暗查暗访机制，不定期开展抽查。</w:t>
      </w:r>
      <w:r>
        <w:rPr>
          <w:rFonts w:hint="eastAsia" w:ascii="仿宋" w:hAnsi="仿宋" w:eastAsia="仿宋" w:cs="仿宋"/>
          <w:spacing w:val="-2"/>
          <w:sz w:val="32"/>
          <w:szCs w:val="32"/>
        </w:rPr>
        <w:t>发现有新的安全生产经营严重违法失信行为的，要依法依规从重处</w:t>
      </w:r>
      <w:r>
        <w:rPr>
          <w:rFonts w:hint="eastAsia" w:ascii="仿宋" w:hAnsi="仿宋" w:eastAsia="仿宋" w:cs="仿宋"/>
          <w:spacing w:val="-76"/>
          <w:sz w:val="32"/>
          <w:szCs w:val="32"/>
        </w:rPr>
        <w:t>罚。</w:t>
      </w:r>
      <w:r>
        <w:rPr>
          <w:rFonts w:hint="eastAsia" w:ascii="仿宋" w:hAnsi="仿宋" w:eastAsia="仿宋" w:cs="仿宋"/>
          <w:sz w:val="32"/>
          <w:szCs w:val="32"/>
        </w:rPr>
        <w:t>（实施单位：文化和旅游部、应急管理部等有关部门）</w:t>
      </w:r>
    </w:p>
    <w:p>
      <w:pPr>
        <w:pStyle w:val="8"/>
        <w:keepNext w:val="0"/>
        <w:keepLines w:val="0"/>
        <w:pageBreakBefore w:val="0"/>
        <w:widowControl w:val="0"/>
        <w:numPr>
          <w:ilvl w:val="0"/>
          <w:numId w:val="0"/>
        </w:numPr>
        <w:tabs>
          <w:tab w:val="left" w:pos="1097"/>
        </w:tabs>
        <w:kinsoku/>
        <w:wordWrap/>
        <w:overflowPunct/>
        <w:topLinePunct w:val="0"/>
        <w:autoSpaceDE w:val="0"/>
        <w:autoSpaceDN w:val="0"/>
        <w:bidi w:val="0"/>
        <w:adjustRightInd/>
        <w:snapToGrid/>
        <w:spacing w:before="0" w:after="0" w:line="600" w:lineRule="exact"/>
        <w:ind w:right="0" w:rightChars="0" w:firstLine="664" w:firstLineChars="200"/>
        <w:jc w:val="both"/>
        <w:textAlignment w:val="auto"/>
        <w:rPr>
          <w:rFonts w:hint="eastAsia" w:ascii="仿宋" w:hAnsi="仿宋" w:eastAsia="仿宋" w:cs="仿宋"/>
          <w:sz w:val="32"/>
          <w:szCs w:val="32"/>
        </w:rPr>
      </w:pPr>
      <w:bookmarkStart w:id="21" w:name="21.将失信信息作为公开发行其他公司信用类债券核准或注册的参考。（实施单位：证监"/>
      <w:bookmarkEnd w:id="21"/>
      <w:bookmarkStart w:id="22" w:name="21.将失信信息作为公开发行其他公司信用类债券核准或注册的参考。（实施单位：证监"/>
      <w:bookmarkEnd w:id="22"/>
      <w:r>
        <w:rPr>
          <w:rFonts w:hint="eastAsia" w:ascii="仿宋" w:hAnsi="仿宋" w:eastAsia="仿宋" w:cs="仿宋"/>
          <w:spacing w:val="6"/>
          <w:sz w:val="32"/>
          <w:szCs w:val="32"/>
          <w:lang w:val="en-US" w:eastAsia="zh-CN"/>
        </w:rPr>
        <w:t>21.</w:t>
      </w:r>
      <w:r>
        <w:rPr>
          <w:rFonts w:hint="eastAsia" w:ascii="仿宋" w:hAnsi="仿宋" w:eastAsia="仿宋" w:cs="仿宋"/>
          <w:spacing w:val="6"/>
          <w:sz w:val="32"/>
          <w:szCs w:val="32"/>
        </w:rPr>
        <w:t>将失信信息作为公开发行其他公司信用类债券核准或注册</w:t>
      </w:r>
      <w:r>
        <w:rPr>
          <w:rFonts w:hint="eastAsia" w:ascii="仿宋" w:hAnsi="仿宋" w:eastAsia="仿宋" w:cs="仿宋"/>
          <w:spacing w:val="-33"/>
          <w:sz w:val="32"/>
          <w:szCs w:val="32"/>
        </w:rPr>
        <w:t>的参考。</w:t>
      </w:r>
      <w:r>
        <w:rPr>
          <w:rFonts w:hint="eastAsia" w:ascii="仿宋" w:hAnsi="仿宋" w:eastAsia="仿宋" w:cs="仿宋"/>
          <w:sz w:val="32"/>
          <w:szCs w:val="32"/>
        </w:rPr>
        <w:t>（实施单位：证监会）</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23" w:name="22.金融机构融资授信时的审慎性参考。"/>
      <w:bookmarkEnd w:id="23"/>
      <w:bookmarkStart w:id="24" w:name="22.金融机构融资授信时的审慎性参考。"/>
      <w:bookmarkEnd w:id="24"/>
      <w:r>
        <w:rPr>
          <w:rFonts w:hint="eastAsia" w:ascii="仿宋" w:hAnsi="仿宋" w:eastAsia="仿宋" w:cs="仿宋"/>
          <w:sz w:val="32"/>
          <w:szCs w:val="32"/>
          <w:lang w:val="en-US" w:eastAsia="zh-CN"/>
        </w:rPr>
        <w:t>22.</w:t>
      </w:r>
      <w:r>
        <w:rPr>
          <w:rFonts w:hint="eastAsia" w:ascii="仿宋" w:hAnsi="仿宋" w:eastAsia="仿宋" w:cs="仿宋"/>
          <w:sz w:val="32"/>
          <w:szCs w:val="32"/>
        </w:rPr>
        <w:t>金融机构融资授信时的审慎性参考。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将失信当事人的失信记录作为金融机构对其融资授信的参考。（实施单位：人民银行、中国银行保险监督管理委员会）</w:t>
      </w:r>
    </w:p>
    <w:p>
      <w:pPr>
        <w:pStyle w:val="8"/>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before="0" w:after="0" w:line="600" w:lineRule="exact"/>
        <w:ind w:right="0" w:rightChars="0" w:firstLine="620" w:firstLineChars="200"/>
        <w:jc w:val="both"/>
        <w:textAlignment w:val="auto"/>
        <w:rPr>
          <w:rFonts w:hint="eastAsia" w:ascii="仿宋" w:hAnsi="仿宋" w:eastAsia="仿宋" w:cs="仿宋"/>
          <w:sz w:val="32"/>
          <w:szCs w:val="32"/>
        </w:rPr>
      </w:pPr>
      <w:r>
        <w:rPr>
          <w:rFonts w:hint="eastAsia" w:ascii="仿宋" w:hAnsi="仿宋" w:eastAsia="仿宋" w:cs="仿宋"/>
          <w:spacing w:val="-5"/>
          <w:sz w:val="32"/>
          <w:szCs w:val="32"/>
          <w:lang w:val="en-US" w:eastAsia="zh-CN"/>
        </w:rPr>
        <w:t>23.</w:t>
      </w:r>
      <w:r>
        <w:rPr>
          <w:rFonts w:hint="eastAsia" w:ascii="仿宋" w:hAnsi="仿宋" w:eastAsia="仿宋" w:cs="仿宋"/>
          <w:spacing w:val="-5"/>
          <w:sz w:val="32"/>
          <w:szCs w:val="32"/>
        </w:rPr>
        <w:t>在实施政府性资金项目安排和其他投资领域优惠政策时，采</w:t>
      </w:r>
      <w:r>
        <w:rPr>
          <w:rFonts w:hint="eastAsia" w:ascii="仿宋" w:hAnsi="仿宋" w:eastAsia="仿宋" w:cs="仿宋"/>
          <w:spacing w:val="-6"/>
          <w:sz w:val="32"/>
          <w:szCs w:val="32"/>
        </w:rPr>
        <w:t>取从严审核或降低支持力度或不予支持等限制措施。</w:t>
      </w:r>
      <w:r>
        <w:rPr>
          <w:rFonts w:hint="eastAsia" w:ascii="仿宋" w:hAnsi="仿宋" w:eastAsia="仿宋" w:cs="仿宋"/>
          <w:spacing w:val="4"/>
          <w:sz w:val="32"/>
          <w:szCs w:val="32"/>
        </w:rPr>
        <w:t>（</w:t>
      </w:r>
      <w:r>
        <w:rPr>
          <w:rFonts w:hint="eastAsia" w:ascii="仿宋" w:hAnsi="仿宋" w:eastAsia="仿宋" w:cs="仿宋"/>
          <w:spacing w:val="1"/>
          <w:sz w:val="32"/>
          <w:szCs w:val="32"/>
        </w:rPr>
        <w:t>实施单位：国家发展改革委、财政部）</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00" w:firstLineChars="200"/>
        <w:jc w:val="both"/>
        <w:textAlignment w:val="auto"/>
        <w:rPr>
          <w:rFonts w:hint="eastAsia" w:ascii="仿宋" w:hAnsi="仿宋" w:eastAsia="仿宋" w:cs="仿宋"/>
          <w:sz w:val="32"/>
          <w:szCs w:val="32"/>
        </w:rPr>
      </w:pPr>
      <w:bookmarkStart w:id="25" w:name="24.依法对申请发行企业债券不予受理。（实施单位：国家发展改革委）"/>
      <w:bookmarkEnd w:id="25"/>
      <w:bookmarkStart w:id="26" w:name="24.依法对申请发行企业债券不予受理。（实施单位：国家发展改革委）"/>
      <w:bookmarkEnd w:id="26"/>
      <w:r>
        <w:rPr>
          <w:rFonts w:hint="eastAsia" w:ascii="仿宋" w:hAnsi="仿宋" w:eastAsia="仿宋" w:cs="仿宋"/>
          <w:spacing w:val="-10"/>
          <w:sz w:val="32"/>
          <w:szCs w:val="32"/>
          <w:lang w:val="en-US" w:eastAsia="zh-CN"/>
        </w:rPr>
        <w:t>24.</w:t>
      </w:r>
      <w:r>
        <w:rPr>
          <w:rFonts w:hint="eastAsia" w:ascii="仿宋" w:hAnsi="仿宋" w:eastAsia="仿宋" w:cs="仿宋"/>
          <w:spacing w:val="-10"/>
          <w:sz w:val="32"/>
          <w:szCs w:val="32"/>
        </w:rPr>
        <w:t>依法对申请发行企业债券不予受理。</w:t>
      </w:r>
      <w:r>
        <w:rPr>
          <w:rFonts w:hint="eastAsia" w:ascii="仿宋" w:hAnsi="仿宋" w:eastAsia="仿宋" w:cs="仿宋"/>
          <w:sz w:val="32"/>
          <w:szCs w:val="32"/>
        </w:rPr>
        <w:t>（实施单位：国家发展改革委）</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08" w:firstLineChars="200"/>
        <w:jc w:val="both"/>
        <w:textAlignment w:val="auto"/>
        <w:rPr>
          <w:rFonts w:hint="eastAsia" w:ascii="仿宋" w:hAnsi="仿宋" w:eastAsia="仿宋" w:cs="仿宋"/>
          <w:sz w:val="32"/>
          <w:szCs w:val="32"/>
        </w:rPr>
      </w:pPr>
      <w:bookmarkStart w:id="27" w:name="25.在政府出资产业投资基金申报中不予支持。（实施单位：财政部、国家发展改革委）"/>
      <w:bookmarkEnd w:id="27"/>
      <w:bookmarkStart w:id="28" w:name="25.在政府出资产业投资基金申报中不予支持。（实施单位：财政部、国家发展改革委）"/>
      <w:bookmarkEnd w:id="28"/>
      <w:r>
        <w:rPr>
          <w:rFonts w:hint="eastAsia" w:ascii="仿宋" w:hAnsi="仿宋" w:eastAsia="仿宋" w:cs="仿宋"/>
          <w:spacing w:val="-8"/>
          <w:sz w:val="32"/>
          <w:szCs w:val="32"/>
          <w:lang w:val="en-US" w:eastAsia="zh-CN"/>
        </w:rPr>
        <w:t>25.</w:t>
      </w:r>
      <w:r>
        <w:rPr>
          <w:rFonts w:hint="eastAsia" w:ascii="仿宋" w:hAnsi="仿宋" w:eastAsia="仿宋" w:cs="仿宋"/>
          <w:spacing w:val="-8"/>
          <w:sz w:val="32"/>
          <w:szCs w:val="32"/>
        </w:rPr>
        <w:t>在政府出资产业投资基金申报中不予支持。</w:t>
      </w:r>
      <w:r>
        <w:rPr>
          <w:rFonts w:hint="eastAsia" w:ascii="仿宋" w:hAnsi="仿宋" w:eastAsia="仿宋" w:cs="仿宋"/>
          <w:sz w:val="32"/>
          <w:szCs w:val="32"/>
        </w:rPr>
        <w:t>（实施单位：财政部、国家发展改革委）</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00" w:firstLineChars="200"/>
        <w:jc w:val="both"/>
        <w:textAlignment w:val="auto"/>
        <w:rPr>
          <w:rFonts w:hint="eastAsia" w:ascii="仿宋" w:hAnsi="仿宋" w:eastAsia="仿宋" w:cs="仿宋"/>
          <w:sz w:val="32"/>
          <w:szCs w:val="32"/>
        </w:rPr>
      </w:pPr>
      <w:bookmarkStart w:id="29" w:name="26.在国家重大建设项目稽察、中央财政性建设资金投资安排实施情况的监督检查、价格"/>
      <w:bookmarkEnd w:id="29"/>
      <w:bookmarkStart w:id="30" w:name="26.在国家重大建设项目稽察、中央财政性建设资金投资安排实施情况的监督检查、价格"/>
      <w:bookmarkEnd w:id="30"/>
      <w:r>
        <w:rPr>
          <w:rFonts w:hint="eastAsia" w:ascii="仿宋" w:hAnsi="仿宋" w:eastAsia="仿宋" w:cs="仿宋"/>
          <w:spacing w:val="-10"/>
          <w:sz w:val="32"/>
          <w:szCs w:val="32"/>
          <w:lang w:val="en-US" w:eastAsia="zh-CN"/>
        </w:rPr>
        <w:t>26.</w:t>
      </w:r>
      <w:r>
        <w:rPr>
          <w:rFonts w:hint="eastAsia" w:ascii="仿宋" w:hAnsi="仿宋" w:eastAsia="仿宋" w:cs="仿宋"/>
          <w:spacing w:val="-10"/>
          <w:sz w:val="32"/>
          <w:szCs w:val="32"/>
        </w:rPr>
        <w:t>在国家重大建设项目稽察、中央财政性建设资金投资安排实</w:t>
      </w:r>
      <w:r>
        <w:rPr>
          <w:rFonts w:hint="eastAsia" w:ascii="仿宋" w:hAnsi="仿宋" w:eastAsia="仿宋" w:cs="仿宋"/>
          <w:spacing w:val="-4"/>
          <w:sz w:val="32"/>
          <w:szCs w:val="32"/>
        </w:rPr>
        <w:t>施情况的监督检查、价格执法检查等监管活动中，将失信当事人列</w:t>
      </w:r>
      <w:r>
        <w:rPr>
          <w:rFonts w:hint="eastAsia" w:ascii="仿宋" w:hAnsi="仿宋" w:eastAsia="仿宋" w:cs="仿宋"/>
          <w:spacing w:val="-6"/>
          <w:sz w:val="32"/>
          <w:szCs w:val="32"/>
        </w:rPr>
        <w:t>为重点监督检查对象，提高随机抽查的比例和频次。</w:t>
      </w:r>
      <w:r>
        <w:rPr>
          <w:rFonts w:hint="eastAsia" w:ascii="仿宋" w:hAnsi="仿宋" w:eastAsia="仿宋" w:cs="仿宋"/>
          <w:spacing w:val="4"/>
          <w:sz w:val="32"/>
          <w:szCs w:val="32"/>
        </w:rPr>
        <w:t>（</w:t>
      </w:r>
      <w:r>
        <w:rPr>
          <w:rFonts w:hint="eastAsia" w:ascii="仿宋" w:hAnsi="仿宋" w:eastAsia="仿宋" w:cs="仿宋"/>
          <w:spacing w:val="1"/>
          <w:sz w:val="32"/>
          <w:szCs w:val="32"/>
        </w:rPr>
        <w:t>实施单位： 国家发展改革委等有关部门）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 w:hAnsi="仿宋" w:eastAsia="仿宋" w:cs="仿宋"/>
          <w:sz w:val="32"/>
          <w:szCs w:val="32"/>
        </w:rPr>
      </w:pPr>
      <w:bookmarkStart w:id="31" w:name="27.对存在失信记录的相关主体在证券、基金、期货从业资格申请中予以从严审核，对已"/>
      <w:bookmarkEnd w:id="31"/>
      <w:bookmarkStart w:id="32" w:name="27.对存在失信记录的相关主体在证券、基金、期货从业资格申请中予以从严审核，对已"/>
      <w:bookmarkEnd w:id="32"/>
      <w:r>
        <w:rPr>
          <w:rFonts w:hint="eastAsia" w:ascii="仿宋" w:hAnsi="仿宋" w:eastAsia="仿宋" w:cs="仿宋"/>
          <w:spacing w:val="-8"/>
          <w:sz w:val="32"/>
          <w:szCs w:val="32"/>
          <w:lang w:val="en-US" w:eastAsia="zh-CN"/>
        </w:rPr>
        <w:t>27.</w:t>
      </w:r>
      <w:r>
        <w:rPr>
          <w:rFonts w:hint="eastAsia" w:ascii="仿宋" w:hAnsi="仿宋" w:eastAsia="仿宋" w:cs="仿宋"/>
          <w:spacing w:val="-8"/>
          <w:sz w:val="32"/>
          <w:szCs w:val="32"/>
        </w:rPr>
        <w:t>对存在失信记录的相关主体在证券、基金、期货从业资格申</w:t>
      </w:r>
      <w:r>
        <w:rPr>
          <w:rFonts w:hint="eastAsia" w:ascii="仿宋" w:hAnsi="仿宋" w:eastAsia="仿宋" w:cs="仿宋"/>
          <w:spacing w:val="-4"/>
          <w:sz w:val="32"/>
          <w:szCs w:val="32"/>
        </w:rPr>
        <w:t>请中予以从严审核，对已成为证券、基金、期货从业人员的相关主</w:t>
      </w:r>
      <w:r>
        <w:rPr>
          <w:rFonts w:hint="eastAsia" w:ascii="仿宋" w:hAnsi="仿宋" w:eastAsia="仿宋" w:cs="仿宋"/>
          <w:sz w:val="32"/>
          <w:szCs w:val="32"/>
        </w:rPr>
        <w:t>体予以重点关注。（实施单位：证监会）</w:t>
      </w:r>
    </w:p>
    <w:p>
      <w:pPr>
        <w:pStyle w:val="8"/>
        <w:keepNext w:val="0"/>
        <w:keepLines w:val="0"/>
        <w:pageBreakBefore w:val="0"/>
        <w:widowControl w:val="0"/>
        <w:numPr>
          <w:ilvl w:val="0"/>
          <w:numId w:val="0"/>
        </w:numPr>
        <w:tabs>
          <w:tab w:val="left" w:pos="1097"/>
        </w:tabs>
        <w:kinsoku/>
        <w:wordWrap/>
        <w:overflowPunct/>
        <w:topLinePunct w:val="0"/>
        <w:autoSpaceDE w:val="0"/>
        <w:autoSpaceDN w:val="0"/>
        <w:bidi w:val="0"/>
        <w:adjustRightInd/>
        <w:snapToGrid/>
        <w:spacing w:before="0" w:after="0" w:line="600" w:lineRule="exact"/>
        <w:ind w:right="0" w:rightChars="0" w:firstLine="664" w:firstLineChars="200"/>
        <w:jc w:val="both"/>
        <w:textAlignment w:val="auto"/>
        <w:rPr>
          <w:rFonts w:hint="eastAsia" w:ascii="仿宋" w:hAnsi="仿宋" w:eastAsia="仿宋" w:cs="仿宋"/>
          <w:sz w:val="32"/>
          <w:szCs w:val="32"/>
        </w:rPr>
      </w:pPr>
      <w:bookmarkStart w:id="33" w:name="28.将失信信息作为境内上市公司实行股权激励计划或相关人员成为股权激励对象事中事"/>
      <w:bookmarkEnd w:id="33"/>
      <w:bookmarkStart w:id="34" w:name="28.将失信信息作为境内上市公司实行股权激励计划或相关人员成为股权激励对象事中事"/>
      <w:bookmarkEnd w:id="34"/>
      <w:r>
        <w:rPr>
          <w:rFonts w:hint="eastAsia" w:ascii="仿宋" w:hAnsi="仿宋" w:eastAsia="仿宋" w:cs="仿宋"/>
          <w:spacing w:val="6"/>
          <w:sz w:val="32"/>
          <w:szCs w:val="32"/>
          <w:lang w:val="en-US" w:eastAsia="zh-CN"/>
        </w:rPr>
        <w:t>28.</w:t>
      </w:r>
      <w:r>
        <w:rPr>
          <w:rFonts w:hint="eastAsia" w:ascii="仿宋" w:hAnsi="仿宋" w:eastAsia="仿宋" w:cs="仿宋"/>
          <w:spacing w:val="6"/>
          <w:sz w:val="32"/>
          <w:szCs w:val="32"/>
        </w:rPr>
        <w:t>将失信信息作为境内上市公司实行股权激励计划或相关人</w:t>
      </w:r>
      <w:r>
        <w:rPr>
          <w:rFonts w:hint="eastAsia" w:ascii="仿宋" w:hAnsi="仿宋" w:eastAsia="仿宋" w:cs="仿宋"/>
          <w:spacing w:val="-3"/>
          <w:sz w:val="32"/>
          <w:szCs w:val="32"/>
        </w:rPr>
        <w:t>员成为股权激励对象事中事后监管的参考</w:t>
      </w:r>
      <w:r>
        <w:rPr>
          <w:rFonts w:hint="eastAsia" w:ascii="仿宋" w:hAnsi="仿宋" w:eastAsia="仿宋" w:cs="仿宋"/>
          <w:spacing w:val="-20"/>
          <w:sz w:val="32"/>
          <w:szCs w:val="32"/>
        </w:rPr>
        <w:t>。（实施单位：证监会）</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bookmarkStart w:id="35" w:name="（三）限制失信当事人享受优惠政策、评优表彰和相关任职"/>
      <w:bookmarkEnd w:id="35"/>
      <w:r>
        <w:rPr>
          <w:rFonts w:hint="eastAsia" w:ascii="楷体" w:hAnsi="楷体" w:eastAsia="楷体" w:cs="楷体"/>
          <w:sz w:val="32"/>
          <w:szCs w:val="32"/>
        </w:rPr>
        <w:t>（三）限制失信当事人享受优惠政策、评优表彰和相关任职</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bookmarkStart w:id="36" w:name="29.限制部分高消费行为。"/>
      <w:bookmarkEnd w:id="36"/>
      <w:bookmarkStart w:id="37" w:name="29.限制部分高消费行为。"/>
      <w:bookmarkEnd w:id="37"/>
      <w:r>
        <w:rPr>
          <w:rFonts w:hint="eastAsia" w:ascii="仿宋" w:hAnsi="仿宋" w:eastAsia="仿宋" w:cs="仿宋"/>
          <w:sz w:val="32"/>
          <w:szCs w:val="32"/>
          <w:lang w:val="en-US" w:eastAsia="zh-CN"/>
        </w:rPr>
        <w:t>29.</w:t>
      </w:r>
      <w:r>
        <w:rPr>
          <w:rFonts w:hint="eastAsia" w:ascii="仿宋" w:hAnsi="仿宋" w:eastAsia="仿宋" w:cs="仿宋"/>
          <w:sz w:val="32"/>
          <w:szCs w:val="32"/>
        </w:rPr>
        <w:t>限制部分高消费行为。</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被人民法院按照有关规定依法采取限制消费措施或依法纳入</w:t>
      </w:r>
      <w:r>
        <w:rPr>
          <w:rFonts w:hint="eastAsia" w:ascii="仿宋" w:hAnsi="仿宋" w:eastAsia="仿宋" w:cs="仿宋"/>
          <w:spacing w:val="-3"/>
          <w:sz w:val="32"/>
          <w:szCs w:val="32"/>
        </w:rPr>
        <w:t>失信被执行人名单的，限制乘坐飞机、列车软卧、</w:t>
      </w:r>
      <w:r>
        <w:rPr>
          <w:rFonts w:hint="eastAsia" w:ascii="仿宋" w:hAnsi="仿宋" w:eastAsia="仿宋" w:cs="仿宋"/>
          <w:sz w:val="32"/>
          <w:szCs w:val="32"/>
        </w:rPr>
        <w:t xml:space="preserve">G </w:t>
      </w:r>
      <w:r>
        <w:rPr>
          <w:rFonts w:hint="eastAsia" w:ascii="仿宋" w:hAnsi="仿宋" w:eastAsia="仿宋" w:cs="仿宋"/>
          <w:spacing w:val="-3"/>
          <w:sz w:val="32"/>
          <w:szCs w:val="32"/>
        </w:rPr>
        <w:t>字头动车组列</w:t>
      </w:r>
      <w:r>
        <w:rPr>
          <w:rFonts w:hint="eastAsia" w:ascii="仿宋" w:hAnsi="仿宋" w:eastAsia="仿宋" w:cs="仿宋"/>
          <w:spacing w:val="-6"/>
          <w:sz w:val="32"/>
          <w:szCs w:val="32"/>
        </w:rPr>
        <w:t>车全部座位、其他动车组列车一等以上座位等高消费及其他非生活</w:t>
      </w:r>
      <w:r>
        <w:rPr>
          <w:rFonts w:hint="eastAsia" w:ascii="仿宋" w:hAnsi="仿宋" w:eastAsia="仿宋" w:cs="仿宋"/>
          <w:spacing w:val="-11"/>
          <w:sz w:val="32"/>
          <w:szCs w:val="32"/>
        </w:rPr>
        <w:t>和工作必需的消费行为。</w:t>
      </w:r>
      <w:r>
        <w:rPr>
          <w:rFonts w:hint="eastAsia" w:ascii="仿宋" w:hAnsi="仿宋" w:eastAsia="仿宋" w:cs="仿宋"/>
          <w:spacing w:val="4"/>
          <w:sz w:val="32"/>
          <w:szCs w:val="32"/>
        </w:rPr>
        <w:t>（</w:t>
      </w:r>
      <w:r>
        <w:rPr>
          <w:rFonts w:hint="eastAsia" w:ascii="仿宋" w:hAnsi="仿宋" w:eastAsia="仿宋" w:cs="仿宋"/>
          <w:sz w:val="32"/>
          <w:szCs w:val="32"/>
        </w:rPr>
        <w:t>实施单位：最高人民法院、文化和旅游部、交通运输部、民航局、铁路总公司）</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592" w:firstLineChars="200"/>
        <w:jc w:val="both"/>
        <w:textAlignment w:val="auto"/>
        <w:rPr>
          <w:rFonts w:hint="eastAsia" w:ascii="仿宋" w:hAnsi="仿宋" w:eastAsia="仿宋" w:cs="仿宋"/>
          <w:sz w:val="32"/>
          <w:szCs w:val="32"/>
        </w:rPr>
      </w:pPr>
      <w:r>
        <w:rPr>
          <w:rFonts w:hint="eastAsia" w:ascii="仿宋" w:hAnsi="仿宋" w:eastAsia="仿宋" w:cs="仿宋"/>
          <w:spacing w:val="-12"/>
          <w:sz w:val="32"/>
          <w:szCs w:val="32"/>
          <w:lang w:val="en-US" w:eastAsia="zh-CN"/>
        </w:rPr>
        <w:t>30.</w:t>
      </w:r>
      <w:r>
        <w:rPr>
          <w:rFonts w:hint="eastAsia" w:ascii="仿宋" w:hAnsi="仿宋" w:eastAsia="仿宋" w:cs="仿宋"/>
          <w:spacing w:val="-12"/>
          <w:sz w:val="32"/>
          <w:szCs w:val="32"/>
        </w:rPr>
        <w:t>依法限制、暂停或取消政策性资金、政府补贴性资金和社会</w:t>
      </w:r>
      <w:r>
        <w:rPr>
          <w:rFonts w:hint="eastAsia" w:ascii="仿宋" w:hAnsi="仿宋" w:eastAsia="仿宋" w:cs="仿宋"/>
          <w:spacing w:val="-19"/>
          <w:sz w:val="32"/>
          <w:szCs w:val="32"/>
        </w:rPr>
        <w:t>保障资金支持。</w:t>
      </w:r>
      <w:r>
        <w:rPr>
          <w:rFonts w:hint="eastAsia" w:ascii="仿宋" w:hAnsi="仿宋" w:eastAsia="仿宋" w:cs="仿宋"/>
          <w:spacing w:val="4"/>
          <w:sz w:val="32"/>
          <w:szCs w:val="32"/>
        </w:rPr>
        <w:t>（</w:t>
      </w:r>
      <w:r>
        <w:rPr>
          <w:rFonts w:hint="eastAsia" w:ascii="仿宋" w:hAnsi="仿宋" w:eastAsia="仿宋" w:cs="仿宋"/>
          <w:sz w:val="32"/>
          <w:szCs w:val="32"/>
        </w:rPr>
        <w:t>实施单位：国家发展改革委、人力资源社会保障部、财政部、国资委等有关部门）</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31.</w:t>
      </w:r>
      <w:r>
        <w:rPr>
          <w:rFonts w:hint="eastAsia" w:ascii="仿宋" w:hAnsi="仿宋" w:eastAsia="仿宋" w:cs="仿宋"/>
          <w:sz w:val="32"/>
          <w:szCs w:val="32"/>
        </w:rPr>
        <w:t>限制失信当事人享受优惠性政策的审慎性参考。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在实施投融资等领域相关优惠性政策时，将失信状况作为限制</w:t>
      </w:r>
      <w:r>
        <w:rPr>
          <w:rFonts w:hint="eastAsia" w:ascii="仿宋" w:hAnsi="仿宋" w:eastAsia="仿宋" w:cs="仿宋"/>
          <w:spacing w:val="-8"/>
          <w:sz w:val="32"/>
          <w:szCs w:val="32"/>
        </w:rPr>
        <w:t>失信当事人享受该政策的审慎性参考。</w:t>
      </w:r>
      <w:r>
        <w:rPr>
          <w:rFonts w:hint="eastAsia" w:ascii="仿宋" w:hAnsi="仿宋" w:eastAsia="仿宋" w:cs="仿宋"/>
          <w:spacing w:val="4"/>
          <w:sz w:val="32"/>
          <w:szCs w:val="32"/>
        </w:rPr>
        <w:t>（</w:t>
      </w:r>
      <w:r>
        <w:rPr>
          <w:rFonts w:hint="eastAsia" w:ascii="仿宋" w:hAnsi="仿宋" w:eastAsia="仿宋" w:cs="仿宋"/>
          <w:sz w:val="32"/>
          <w:szCs w:val="32"/>
        </w:rPr>
        <w:t>实施单位：国家发展改革委、商务部、文化和旅游部等有关部门）</w:t>
      </w:r>
    </w:p>
    <w:p>
      <w:pPr>
        <w:pStyle w:val="8"/>
        <w:keepNext w:val="0"/>
        <w:keepLines w:val="0"/>
        <w:pageBreakBefore w:val="0"/>
        <w:widowControl w:val="0"/>
        <w:numPr>
          <w:ilvl w:val="0"/>
          <w:numId w:val="0"/>
        </w:numPr>
        <w:tabs>
          <w:tab w:val="left" w:pos="10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32.</w:t>
      </w:r>
      <w:r>
        <w:rPr>
          <w:rFonts w:hint="eastAsia" w:ascii="仿宋" w:hAnsi="仿宋" w:eastAsia="仿宋" w:cs="仿宋"/>
          <w:sz w:val="32"/>
          <w:szCs w:val="32"/>
        </w:rPr>
        <w:t>供纳税信用管理时的审慎性参考。</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在失信当事人纳税信用管理中，将失信状况作为信用信息采集和评价的审慎性参考依据。（实施单位：税务总局）</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lang w:val="en-US" w:eastAsia="zh-CN"/>
        </w:rPr>
        <w:t>33.</w:t>
      </w:r>
      <w:r>
        <w:rPr>
          <w:rFonts w:hint="eastAsia" w:ascii="仿宋" w:hAnsi="仿宋" w:eastAsia="仿宋" w:cs="仿宋"/>
          <w:spacing w:val="-8"/>
          <w:sz w:val="32"/>
          <w:szCs w:val="32"/>
        </w:rPr>
        <w:t>按程序及时撤销相关荣誉，取消惩戒对象参加评先评优资格，</w:t>
      </w:r>
      <w:r>
        <w:rPr>
          <w:rFonts w:hint="eastAsia" w:ascii="仿宋" w:hAnsi="仿宋" w:eastAsia="仿宋" w:cs="仿宋"/>
          <w:sz w:val="32"/>
          <w:szCs w:val="32"/>
        </w:rPr>
        <w:t>不得向惩戒对象授予“文明单位”“道德模范”“劳动模范”“五一劳动奖”“工人先锋号”等荣誉。（实施单位：中央文明办、全国总工会、共青团中央、全国妇联等有关部门）</w:t>
      </w:r>
    </w:p>
    <w:p>
      <w:pPr>
        <w:pStyle w:val="8"/>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before="0" w:after="0" w:line="600" w:lineRule="exact"/>
        <w:ind w:right="0" w:rightChars="0" w:firstLine="608"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lang w:val="en-US" w:eastAsia="zh-CN"/>
        </w:rPr>
        <w:t>34.</w:t>
      </w:r>
      <w:r>
        <w:rPr>
          <w:rFonts w:hint="eastAsia" w:ascii="仿宋" w:hAnsi="仿宋" w:eastAsia="仿宋" w:cs="仿宋"/>
          <w:spacing w:val="-8"/>
          <w:sz w:val="32"/>
          <w:szCs w:val="32"/>
        </w:rPr>
        <w:t>限制招录</w:t>
      </w:r>
      <w:r>
        <w:rPr>
          <w:rFonts w:hint="eastAsia" w:ascii="仿宋" w:hAnsi="仿宋" w:eastAsia="仿宋" w:cs="仿宋"/>
          <w:sz w:val="32"/>
          <w:szCs w:val="32"/>
        </w:rPr>
        <w:t>（聘</w:t>
      </w:r>
      <w:r>
        <w:rPr>
          <w:rFonts w:hint="eastAsia" w:ascii="仿宋" w:hAnsi="仿宋" w:eastAsia="仿宋" w:cs="仿宋"/>
          <w:spacing w:val="-29"/>
          <w:sz w:val="32"/>
          <w:szCs w:val="32"/>
        </w:rPr>
        <w:t>）</w:t>
      </w:r>
      <w:r>
        <w:rPr>
          <w:rFonts w:hint="eastAsia" w:ascii="仿宋" w:hAnsi="仿宋" w:eastAsia="仿宋" w:cs="仿宋"/>
          <w:sz w:val="32"/>
          <w:szCs w:val="32"/>
        </w:rPr>
        <w:t>为公务员或事业单位工作人员</w:t>
      </w:r>
      <w:r>
        <w:rPr>
          <w:rFonts w:hint="eastAsia" w:ascii="仿宋" w:hAnsi="仿宋" w:eastAsia="仿宋" w:cs="仿宋"/>
          <w:spacing w:val="-180"/>
          <w:sz w:val="32"/>
          <w:szCs w:val="32"/>
        </w:rPr>
        <w:t>。</w:t>
      </w:r>
      <w:r>
        <w:rPr>
          <w:rFonts w:hint="eastAsia" w:ascii="仿宋" w:hAnsi="仿宋" w:eastAsia="仿宋" w:cs="仿宋"/>
          <w:sz w:val="32"/>
          <w:szCs w:val="32"/>
        </w:rPr>
        <w:t>（</w:t>
      </w:r>
      <w:r>
        <w:rPr>
          <w:rFonts w:hint="eastAsia" w:ascii="仿宋" w:hAnsi="仿宋" w:eastAsia="仿宋" w:cs="仿宋"/>
          <w:spacing w:val="-4"/>
          <w:sz w:val="32"/>
          <w:szCs w:val="32"/>
        </w:rPr>
        <w:t>实施单位：</w:t>
      </w:r>
      <w:r>
        <w:rPr>
          <w:rFonts w:hint="eastAsia" w:ascii="仿宋" w:hAnsi="仿宋" w:eastAsia="仿宋" w:cs="仿宋"/>
          <w:sz w:val="32"/>
          <w:szCs w:val="32"/>
        </w:rPr>
        <w:t>中央组织部、人力资源社会保障部等有关部门）</w:t>
      </w:r>
    </w:p>
    <w:p>
      <w:pPr>
        <w:pStyle w:val="8"/>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35.</w:t>
      </w:r>
      <w:r>
        <w:rPr>
          <w:rFonts w:hint="eastAsia" w:ascii="仿宋" w:hAnsi="仿宋" w:eastAsia="仿宋" w:cs="仿宋"/>
          <w:sz w:val="32"/>
          <w:szCs w:val="32"/>
        </w:rPr>
        <w:t>限制失信当事人担任生产经营单位的相关任职。</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依法限制失信当事人担任生产经营单位主要负责人及董事、监</w:t>
      </w:r>
      <w:r>
        <w:rPr>
          <w:rFonts w:hint="eastAsia" w:ascii="仿宋" w:hAnsi="仿宋" w:eastAsia="仿宋" w:cs="仿宋"/>
          <w:spacing w:val="-20"/>
          <w:sz w:val="32"/>
          <w:szCs w:val="32"/>
        </w:rPr>
        <w:t>事、高级管理人员，已担任相关职务的，按规定程序要求变更。</w:t>
      </w:r>
      <w:r>
        <w:rPr>
          <w:rFonts w:hint="eastAsia" w:ascii="仿宋" w:hAnsi="仿宋" w:eastAsia="仿宋" w:cs="仿宋"/>
          <w:sz w:val="32"/>
          <w:szCs w:val="32"/>
        </w:rPr>
        <w:t>（</w:t>
      </w:r>
      <w:r>
        <w:rPr>
          <w:rFonts w:hint="eastAsia" w:ascii="仿宋" w:hAnsi="仿宋" w:eastAsia="仿宋" w:cs="仿宋"/>
          <w:spacing w:val="-14"/>
          <w:sz w:val="32"/>
          <w:szCs w:val="32"/>
        </w:rPr>
        <w:t>实</w:t>
      </w:r>
      <w:r>
        <w:rPr>
          <w:rFonts w:hint="eastAsia" w:ascii="仿宋" w:hAnsi="仿宋" w:eastAsia="仿宋" w:cs="仿宋"/>
          <w:sz w:val="32"/>
          <w:szCs w:val="32"/>
        </w:rPr>
        <w:t>施单位：国家市场监督管理总局、应急管理部等有关部门）</w:t>
      </w:r>
    </w:p>
    <w:p>
      <w:pPr>
        <w:pStyle w:val="8"/>
        <w:keepNext w:val="0"/>
        <w:keepLines w:val="0"/>
        <w:pageBreakBefore w:val="0"/>
        <w:widowControl w:val="0"/>
        <w:numPr>
          <w:ilvl w:val="0"/>
          <w:numId w:val="0"/>
        </w:numPr>
        <w:tabs>
          <w:tab w:val="left" w:pos="1080"/>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36.</w:t>
      </w:r>
      <w:r>
        <w:rPr>
          <w:rFonts w:hint="eastAsia" w:ascii="仿宋" w:hAnsi="仿宋" w:eastAsia="仿宋" w:cs="仿宋"/>
          <w:sz w:val="32"/>
          <w:szCs w:val="32"/>
        </w:rPr>
        <w:t>其他惩戒措施。</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72" w:firstLineChars="200"/>
        <w:jc w:val="both"/>
        <w:textAlignment w:val="auto"/>
        <w:rPr>
          <w:rFonts w:hint="eastAsia" w:ascii="仿宋" w:hAnsi="仿宋" w:eastAsia="仿宋" w:cs="仿宋"/>
          <w:sz w:val="32"/>
          <w:szCs w:val="32"/>
        </w:rPr>
      </w:pPr>
      <w:r>
        <w:rPr>
          <w:rFonts w:hint="eastAsia" w:ascii="仿宋" w:hAnsi="仿宋" w:eastAsia="仿宋" w:cs="仿宋"/>
          <w:spacing w:val="8"/>
          <w:sz w:val="32"/>
          <w:szCs w:val="32"/>
        </w:rPr>
        <w:t>相关市场监管部门将失信当事人失信状况作为审慎性参考依</w:t>
      </w:r>
      <w:r>
        <w:rPr>
          <w:rFonts w:hint="eastAsia" w:ascii="仿宋" w:hAnsi="仿宋" w:eastAsia="仿宋" w:cs="仿宋"/>
          <w:sz w:val="32"/>
          <w:szCs w:val="32"/>
        </w:rPr>
        <w:t>据。（实施单位：各有关部门）</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bookmarkStart w:id="38" w:name="四、联合惩戒的动态管理"/>
      <w:bookmarkEnd w:id="38"/>
      <w:r>
        <w:rPr>
          <w:rFonts w:hint="eastAsia" w:ascii="黑体" w:hAnsi="黑体" w:eastAsia="黑体" w:cs="黑体"/>
          <w:sz w:val="32"/>
          <w:szCs w:val="32"/>
        </w:rPr>
        <w:t>四、联合惩戒的动态管理</w:t>
      </w:r>
      <w:bookmarkStart w:id="40" w:name="_GoBack"/>
      <w:bookmarkEnd w:id="40"/>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8" w:firstLineChars="200"/>
        <w:jc w:val="both"/>
        <w:textAlignment w:val="auto"/>
        <w:rPr>
          <w:rFonts w:hint="eastAsia" w:ascii="仿宋" w:hAnsi="仿宋" w:eastAsia="仿宋" w:cs="仿宋"/>
          <w:sz w:val="32"/>
          <w:szCs w:val="32"/>
        </w:rPr>
      </w:pPr>
      <w:r>
        <w:rPr>
          <w:rFonts w:hint="eastAsia" w:ascii="仿宋" w:hAnsi="仿宋" w:eastAsia="仿宋" w:cs="仿宋"/>
          <w:spacing w:val="-3"/>
          <w:sz w:val="32"/>
          <w:szCs w:val="32"/>
        </w:rPr>
        <w:t>文化和旅游部对旅游领域失信当事人名单进行动态管理。失信</w:t>
      </w:r>
      <w:r>
        <w:rPr>
          <w:rFonts w:hint="eastAsia" w:ascii="仿宋" w:hAnsi="仿宋" w:eastAsia="仿宋" w:cs="仿宋"/>
          <w:spacing w:val="-1"/>
          <w:sz w:val="32"/>
          <w:szCs w:val="32"/>
        </w:rPr>
        <w:t xml:space="preserve">信息自公布之日起满 </w:t>
      </w:r>
      <w:r>
        <w:rPr>
          <w:rFonts w:hint="eastAsia" w:ascii="仿宋" w:hAnsi="仿宋" w:eastAsia="仿宋" w:cs="仿宋"/>
          <w:sz w:val="32"/>
          <w:szCs w:val="32"/>
        </w:rPr>
        <w:t xml:space="preserve">2 </w:t>
      </w:r>
      <w:r>
        <w:rPr>
          <w:rFonts w:hint="eastAsia" w:ascii="仿宋" w:hAnsi="仿宋" w:eastAsia="仿宋" w:cs="仿宋"/>
          <w:spacing w:val="-5"/>
          <w:sz w:val="32"/>
          <w:szCs w:val="32"/>
        </w:rPr>
        <w:t>年的，或者在规定期限内纠正失信行为、消</w:t>
      </w:r>
      <w:r>
        <w:rPr>
          <w:rFonts w:hint="eastAsia" w:ascii="仿宋" w:hAnsi="仿宋" w:eastAsia="仿宋" w:cs="仿宋"/>
          <w:spacing w:val="-4"/>
          <w:sz w:val="32"/>
          <w:szCs w:val="32"/>
        </w:rPr>
        <w:t>除不良影响的，不再作为联合惩戒对象，不再将失信信息向社会进行公开公示，相关失信记录在后台予以保存。文化和旅游部将上述信息推送至有关部门，有关部门依据各自法定职责，按照法律法规</w:t>
      </w:r>
      <w:r>
        <w:rPr>
          <w:rFonts w:hint="eastAsia" w:ascii="仿宋" w:hAnsi="仿宋" w:eastAsia="仿宋" w:cs="仿宋"/>
          <w:sz w:val="32"/>
          <w:szCs w:val="32"/>
        </w:rPr>
        <w:t>和有关规定实施惩戒或者解除惩戒。</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z w:val="32"/>
          <w:szCs w:val="32"/>
        </w:rPr>
      </w:pPr>
      <w:bookmarkStart w:id="39" w:name="五、其他事宜"/>
      <w:bookmarkEnd w:id="39"/>
      <w:r>
        <w:rPr>
          <w:rFonts w:hint="eastAsia" w:ascii="黑体" w:hAnsi="黑体" w:eastAsia="黑体" w:cs="黑体"/>
          <w:sz w:val="32"/>
          <w:szCs w:val="32"/>
        </w:rPr>
        <w:t>五、其他事宜</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各部门应当密切协作，积极落实本备忘录，制定失信信息的使</w:t>
      </w:r>
      <w:r>
        <w:rPr>
          <w:rFonts w:hint="eastAsia" w:ascii="仿宋" w:hAnsi="仿宋" w:eastAsia="仿宋" w:cs="仿宋"/>
          <w:spacing w:val="-7"/>
          <w:sz w:val="32"/>
          <w:szCs w:val="32"/>
        </w:rPr>
        <w:t>用、撤销、管理、监督的相关实施细则和操作流程，指导本系统各</w:t>
      </w:r>
      <w:r>
        <w:rPr>
          <w:rFonts w:hint="eastAsia" w:ascii="仿宋" w:hAnsi="仿宋" w:eastAsia="仿宋" w:cs="仿宋"/>
          <w:spacing w:val="-3"/>
          <w:sz w:val="32"/>
          <w:szCs w:val="32"/>
        </w:rPr>
        <w:t>级单位依法依规实施联合惩戒措施。文化和旅游部负责失信当事人</w:t>
      </w:r>
      <w:r>
        <w:rPr>
          <w:rFonts w:hint="eastAsia" w:ascii="仿宋" w:hAnsi="仿宋" w:eastAsia="仿宋" w:cs="仿宋"/>
          <w:sz w:val="32"/>
          <w:szCs w:val="32"/>
        </w:rPr>
        <w:t>相关信息的归集和共享。</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本合作备忘录实施过程中涉及部门之间协同配合的问题，由各部门协商解决。</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24" w:firstLineChars="200"/>
        <w:jc w:val="both"/>
        <w:textAlignment w:val="auto"/>
        <w:rPr>
          <w:rFonts w:hint="eastAsia" w:ascii="仿宋" w:hAnsi="仿宋" w:eastAsia="仿宋" w:cs="仿宋"/>
          <w:sz w:val="32"/>
          <w:szCs w:val="32"/>
        </w:rPr>
      </w:pPr>
      <w:r>
        <w:rPr>
          <w:rFonts w:hint="eastAsia" w:ascii="仿宋" w:hAnsi="仿宋" w:eastAsia="仿宋" w:cs="仿宋"/>
          <w:spacing w:val="-4"/>
          <w:sz w:val="32"/>
          <w:szCs w:val="32"/>
        </w:rPr>
        <w:t>本备忘录签署后，各项惩戒措施依据的法律、法规、规章及规范性文件有修改或者调整的，以修改后的法律、法规、规章及规范</w:t>
      </w:r>
      <w:r>
        <w:rPr>
          <w:rFonts w:hint="eastAsia" w:ascii="仿宋" w:hAnsi="仿宋" w:eastAsia="仿宋" w:cs="仿宋"/>
          <w:sz w:val="32"/>
          <w:szCs w:val="32"/>
        </w:rPr>
        <w:t>性文件为准。</w:t>
      </w:r>
    </w:p>
    <w:p>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right="0" w:firstLine="640" w:firstLineChars="200"/>
        <w:jc w:val="both"/>
        <w:textAlignment w:val="auto"/>
      </w:pPr>
      <w:r>
        <w:rPr>
          <w:rFonts w:hint="eastAsia" w:ascii="仿宋" w:hAnsi="仿宋" w:eastAsia="仿宋" w:cs="仿宋"/>
          <w:sz w:val="32"/>
          <w:szCs w:val="32"/>
        </w:rPr>
        <w:t>附表：联合惩戒措施相关依据和实施部门</w:t>
      </w:r>
    </w:p>
    <w:p>
      <w:pPr>
        <w:spacing w:after="0" w:line="516" w:lineRule="exact"/>
        <w:sectPr>
          <w:footerReference r:id="rId3" w:type="default"/>
          <w:pgSz w:w="11910" w:h="16840"/>
          <w:pgMar w:top="1871" w:right="1417" w:bottom="1871" w:left="1417" w:header="0" w:footer="1995" w:gutter="0"/>
          <w:pgNumType w:start="1"/>
        </w:sectPr>
      </w:pPr>
    </w:p>
    <w:p>
      <w:pPr>
        <w:pStyle w:val="3"/>
        <w:spacing w:before="6"/>
        <w:rPr>
          <w:sz w:val="29"/>
        </w:rPr>
      </w:pPr>
    </w:p>
    <w:p>
      <w:pPr>
        <w:spacing w:before="66"/>
        <w:ind w:left="220" w:right="0" w:firstLine="0"/>
        <w:jc w:val="left"/>
        <w:rPr>
          <w:rFonts w:hint="eastAsia" w:ascii="黑体" w:eastAsia="黑体"/>
          <w:sz w:val="24"/>
          <w:lang w:eastAsia="zh-CN"/>
        </w:rPr>
      </w:pPr>
      <w:r>
        <w:rPr>
          <w:rFonts w:hint="eastAsia" w:ascii="黑体" w:eastAsia="黑体"/>
          <w:sz w:val="24"/>
        </w:rPr>
        <w:t>附表</w:t>
      </w:r>
      <w:r>
        <w:rPr>
          <w:rFonts w:hint="eastAsia" w:ascii="黑体" w:eastAsia="黑体"/>
          <w:sz w:val="24"/>
          <w:lang w:eastAsia="zh-CN"/>
        </w:rPr>
        <w:t>：</w:t>
      </w:r>
    </w:p>
    <w:p>
      <w:pPr>
        <w:pStyle w:val="2"/>
        <w:ind w:left="4180" w:right="3960" w:firstLine="0"/>
        <w:jc w:val="center"/>
      </w:pPr>
      <w:r>
        <mc:AlternateContent>
          <mc:Choice Requires="wps">
            <w:drawing>
              <wp:anchor distT="0" distB="0" distL="114300" distR="114300" simplePos="0" relativeHeight="251658240" behindDoc="0" locked="0" layoutInCell="1" allowOverlap="1">
                <wp:simplePos x="0" y="0"/>
                <wp:positionH relativeFrom="page">
                  <wp:posOffset>842645</wp:posOffset>
                </wp:positionH>
                <wp:positionV relativeFrom="paragraph">
                  <wp:posOffset>404495</wp:posOffset>
                </wp:positionV>
                <wp:extent cx="8866505" cy="4391660"/>
                <wp:effectExtent l="0" t="0" r="0" b="0"/>
                <wp:wrapNone/>
                <wp:docPr id="1" name="文本框 2"/>
                <wp:cNvGraphicFramePr/>
                <a:graphic xmlns:a="http://schemas.openxmlformats.org/drawingml/2006/main">
                  <a:graphicData uri="http://schemas.microsoft.com/office/word/2010/wordprocessingShape">
                    <wps:wsp>
                      <wps:cNvSpPr txBox="1"/>
                      <wps:spPr>
                        <a:xfrm>
                          <a:off x="0" y="0"/>
                          <a:ext cx="8866505" cy="4391660"/>
                        </a:xfrm>
                        <a:prstGeom prst="rect">
                          <a:avLst/>
                        </a:prstGeom>
                        <a:noFill/>
                        <a:ln>
                          <a:noFill/>
                        </a:ln>
                      </wps:spPr>
                      <wps:txbx>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Pr>
                                <w:p>
                                  <w:pPr>
                                    <w:pStyle w:val="9"/>
                                    <w:spacing w:before="2" w:line="250" w:lineRule="exact"/>
                                    <w:ind w:left="270"/>
                                    <w:rPr>
                                      <w:b/>
                                      <w:sz w:val="21"/>
                                    </w:rPr>
                                  </w:pPr>
                                  <w:r>
                                    <w:rPr>
                                      <w:b/>
                                      <w:sz w:val="21"/>
                                    </w:rPr>
                                    <w:t>惩戒措施</w:t>
                                  </w:r>
                                </w:p>
                              </w:tc>
                              <w:tc>
                                <w:tcPr>
                                  <w:tcW w:w="10064" w:type="dxa"/>
                                </w:tcPr>
                                <w:p>
                                  <w:pPr>
                                    <w:pStyle w:val="9"/>
                                    <w:spacing w:before="2" w:line="250" w:lineRule="exact"/>
                                    <w:ind w:right="96"/>
                                    <w:jc w:val="center"/>
                                    <w:rPr>
                                      <w:b/>
                                      <w:sz w:val="21"/>
                                    </w:rPr>
                                  </w:pPr>
                                  <w:r>
                                    <w:rPr>
                                      <w:b/>
                                      <w:sz w:val="21"/>
                                    </w:rPr>
                                    <w:t>法律及政策依据</w:t>
                                  </w:r>
                                </w:p>
                              </w:tc>
                              <w:tc>
                                <w:tcPr>
                                  <w:tcW w:w="2500" w:type="dxa"/>
                                </w:tcPr>
                                <w:p>
                                  <w:pPr>
                                    <w:pStyle w:val="9"/>
                                    <w:spacing w:before="2" w:line="250" w:lineRule="exact"/>
                                    <w:ind w:left="830"/>
                                    <w:rPr>
                                      <w:b/>
                                      <w:sz w:val="21"/>
                                    </w:rPr>
                                  </w:pPr>
                                  <w:r>
                                    <w:rPr>
                                      <w:b/>
                                      <w:sz w:val="21"/>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84" w:type="dxa"/>
                                  <w:tcBorders>
                                    <w:bottom w:val="nil"/>
                                  </w:tcBorders>
                                </w:tcPr>
                                <w:p>
                                  <w:pPr>
                                    <w:pStyle w:val="9"/>
                                    <w:spacing w:before="1"/>
                                    <w:ind w:left="107"/>
                                    <w:rPr>
                                      <w:sz w:val="21"/>
                                    </w:rPr>
                                  </w:pPr>
                                  <w:r>
                                    <w:rPr>
                                      <w:rFonts w:ascii="Times New Roman" w:eastAsia="Times New Roman"/>
                                      <w:sz w:val="21"/>
                                    </w:rPr>
                                    <w:t>1</w:t>
                                  </w:r>
                                  <w:r>
                                    <w:rPr>
                                      <w:rFonts w:ascii="Times New Roman" w:eastAsia="Times New Roman"/>
                                      <w:spacing w:val="-8"/>
                                      <w:sz w:val="21"/>
                                    </w:rPr>
                                    <w:t xml:space="preserve">. </w:t>
                                  </w:r>
                                  <w:r>
                                    <w:rPr>
                                      <w:spacing w:val="32"/>
                                      <w:sz w:val="21"/>
                                    </w:rPr>
                                    <w:t>依法限制</w:t>
                                  </w:r>
                                </w:p>
                                <w:p>
                                  <w:pPr>
                                    <w:pStyle w:val="9"/>
                                    <w:spacing w:before="2" w:line="252" w:lineRule="exact"/>
                                    <w:ind w:left="107"/>
                                    <w:rPr>
                                      <w:sz w:val="21"/>
                                    </w:rPr>
                                  </w:pPr>
                                  <w:r>
                                    <w:rPr>
                                      <w:spacing w:val="24"/>
                                      <w:w w:val="95"/>
                                      <w:sz w:val="21"/>
                                    </w:rPr>
                                    <w:t>失信当事人</w:t>
                                  </w:r>
                                </w:p>
                              </w:tc>
                              <w:tc>
                                <w:tcPr>
                                  <w:tcW w:w="10064" w:type="dxa"/>
                                  <w:tcBorders>
                                    <w:bottom w:val="nil"/>
                                  </w:tcBorders>
                                </w:tcPr>
                                <w:p>
                                  <w:pPr>
                                    <w:pStyle w:val="9"/>
                                    <w:spacing w:before="1"/>
                                    <w:rPr>
                                      <w:b/>
                                      <w:sz w:val="21"/>
                                    </w:rPr>
                                  </w:pPr>
                                  <w:r>
                                    <w:rPr>
                                      <w:b/>
                                      <w:sz w:val="21"/>
                                    </w:rPr>
                                    <w:t>《中华人民共和国旅游法》</w:t>
                                  </w:r>
                                </w:p>
                                <w:p>
                                  <w:pPr>
                                    <w:pStyle w:val="9"/>
                                    <w:spacing w:before="2" w:line="252" w:lineRule="exact"/>
                                    <w:ind w:left="528"/>
                                    <w:rPr>
                                      <w:sz w:val="21"/>
                                    </w:rPr>
                                  </w:pPr>
                                  <w:r>
                                    <w:rPr>
                                      <w:sz w:val="21"/>
                                    </w:rPr>
                                    <w:t>第二十八条 设立旅行社，招</w:t>
                                  </w:r>
                                  <w:r>
                                    <w:rPr>
                                      <w:rFonts w:hint="eastAsia"/>
                                      <w:sz w:val="21"/>
                                      <w:lang w:eastAsia="zh-CN"/>
                                    </w:rPr>
                                    <w:t>待</w:t>
                                  </w:r>
                                  <w:r>
                                    <w:rPr>
                                      <w:sz w:val="21"/>
                                    </w:rPr>
                                    <w:t>、组织、接待旅游者，为其提供旅游服务，应当具备下列条件，取得旅</w:t>
                                  </w:r>
                                </w:p>
                              </w:tc>
                              <w:tc>
                                <w:tcPr>
                                  <w:tcW w:w="2500" w:type="dxa"/>
                                  <w:tcBorders>
                                    <w:bottom w:val="nil"/>
                                  </w:tcBorders>
                                </w:tcPr>
                                <w:p>
                                  <w:pPr>
                                    <w:pStyle w:val="9"/>
                                    <w:spacing w:before="1"/>
                                    <w:ind w:left="76" w:right="71"/>
                                    <w:jc w:val="center"/>
                                    <w:rPr>
                                      <w:sz w:val="21"/>
                                    </w:rPr>
                                  </w:pPr>
                                  <w:r>
                                    <w:rPr>
                                      <w:sz w:val="21"/>
                                    </w:rPr>
                                    <w:t>文化和旅游部等其他有</w:t>
                                  </w:r>
                                </w:p>
                                <w:p>
                                  <w:pPr>
                                    <w:pStyle w:val="9"/>
                                    <w:spacing w:before="2" w:line="252" w:lineRule="exact"/>
                                    <w:ind w:left="81" w:right="71"/>
                                    <w:jc w:val="center"/>
                                    <w:rPr>
                                      <w:sz w:val="21"/>
                                    </w:rPr>
                                  </w:pPr>
                                  <w:r>
                                    <w:rPr>
                                      <w:sz w:val="21"/>
                                    </w:rPr>
                                    <w:t>关市场监管部门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384" w:type="dxa"/>
                                  <w:tcBorders>
                                    <w:top w:val="nil"/>
                                    <w:bottom w:val="nil"/>
                                  </w:tcBorders>
                                </w:tcPr>
                                <w:p>
                                  <w:pPr>
                                    <w:pStyle w:val="9"/>
                                    <w:spacing w:before="2" w:line="252" w:lineRule="exact"/>
                                    <w:ind w:left="107"/>
                                    <w:rPr>
                                      <w:sz w:val="21"/>
                                    </w:rPr>
                                  </w:pPr>
                                  <w:r>
                                    <w:rPr>
                                      <w:sz w:val="21"/>
                                    </w:rPr>
                                    <w:t>进入旅游市</w:t>
                                  </w:r>
                                </w:p>
                              </w:tc>
                              <w:tc>
                                <w:tcPr>
                                  <w:tcW w:w="10064" w:type="dxa"/>
                                  <w:tcBorders>
                                    <w:top w:val="nil"/>
                                    <w:bottom w:val="nil"/>
                                  </w:tcBorders>
                                </w:tcPr>
                                <w:p>
                                  <w:pPr>
                                    <w:pStyle w:val="9"/>
                                    <w:spacing w:before="2" w:line="252" w:lineRule="exact"/>
                                    <w:rPr>
                                      <w:sz w:val="21"/>
                                    </w:rPr>
                                  </w:pPr>
                                  <w:r>
                                    <w:rPr>
                                      <w:sz w:val="21"/>
                                    </w:rPr>
                                    <w:t>游主管部门的许可，依法办理工商登记：</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spacing w:before="2" w:line="250" w:lineRule="exact"/>
                                    <w:ind w:left="107"/>
                                    <w:rPr>
                                      <w:sz w:val="21"/>
                                    </w:rPr>
                                  </w:pPr>
                                  <w:r>
                                    <w:rPr>
                                      <w:sz w:val="21"/>
                                    </w:rPr>
                                    <w:t>场。</w:t>
                                  </w:r>
                                </w:p>
                              </w:tc>
                              <w:tc>
                                <w:tcPr>
                                  <w:tcW w:w="10064" w:type="dxa"/>
                                  <w:tcBorders>
                                    <w:top w:val="nil"/>
                                    <w:bottom w:val="nil"/>
                                  </w:tcBorders>
                                </w:tcPr>
                                <w:p>
                                  <w:pPr>
                                    <w:pStyle w:val="9"/>
                                    <w:spacing w:before="2" w:line="250" w:lineRule="exact"/>
                                    <w:ind w:left="528"/>
                                    <w:rPr>
                                      <w:sz w:val="21"/>
                                    </w:rPr>
                                  </w:pPr>
                                  <w:r>
                                    <w:rPr>
                                      <w:sz w:val="21"/>
                                    </w:rPr>
                                    <w:t>（一）有固定的经营场所；</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1" w:lineRule="exact"/>
                                    <w:ind w:left="528"/>
                                    <w:rPr>
                                      <w:sz w:val="21"/>
                                    </w:rPr>
                                  </w:pPr>
                                  <w:r>
                                    <w:rPr>
                                      <w:sz w:val="21"/>
                                    </w:rPr>
                                    <w:t>（二）有必要的营业设施；</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（三）有符合规定的注册资本；</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（四）有必要的经营管理人员和导游；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（五）法律、行政法规规定的其他条件。</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第二十九条 旅行社可以经营下列业务：</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（一）境内旅游；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（二）出境旅游；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（三）边境旅游；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（四）入境旅游；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0" w:lineRule="exact"/>
                                    <w:ind w:left="528"/>
                                    <w:rPr>
                                      <w:sz w:val="21"/>
                                    </w:rPr>
                                  </w:pPr>
                                  <w:r>
                                    <w:rPr>
                                      <w:sz w:val="21"/>
                                    </w:rPr>
                                    <w:t>（五）其他旅游业务。</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旅行社经营前款第二项和第三项业务，应当取得相应的业务经营许可，具体条件由国务院规定。</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2" w:lineRule="exact"/>
                                    <w:ind w:left="528"/>
                                    <w:rPr>
                                      <w:sz w:val="21"/>
                                    </w:rPr>
                                  </w:pPr>
                                  <w:r>
                                    <w:rPr>
                                      <w:sz w:val="21"/>
                                    </w:rPr>
                                    <w:t>第四十二条 景区开放应当具备下列条件，并听取旅游主管部门的意见：</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（一）有必要的旅游配套服务和辅助设施；</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（二）有必要的安全设施及制度，经过安全风险评估，满足安全条件；</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（三）有必要的环境保护设施和生态保护措施；</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0" w:lineRule="exact"/>
                                    <w:ind w:left="528"/>
                                    <w:rPr>
                                      <w:sz w:val="21"/>
                                    </w:rPr>
                                  </w:pPr>
                                  <w:r>
                                    <w:rPr>
                                      <w:sz w:val="21"/>
                                    </w:rPr>
                                    <w:t>（四）法律、行政法规规定的其他条件。</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0" w:right="-15"/>
                                    <w:jc w:val="right"/>
                                    <w:rPr>
                                      <w:sz w:val="21"/>
                                    </w:rPr>
                                  </w:pPr>
                                  <w:r>
                                    <w:rPr>
                                      <w:sz w:val="21"/>
                                    </w:rPr>
                                    <w:t>第四十九条 为旅游者提供交通、住宿、餐饮、娱乐等服务的经营者，应当符合法律、法规规定的要求，</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61" w:lineRule="exact"/>
                                    <w:rPr>
                                      <w:sz w:val="21"/>
                                    </w:rPr>
                                  </w:pPr>
                                  <w:r>
                                    <w:rPr>
                                      <w:sz w:val="21"/>
                                    </w:rPr>
                                    <w:t>按照合同约定履行义务。</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1"/>
                                    <w:ind w:left="528"/>
                                    <w:rPr>
                                      <w:sz w:val="21"/>
                                    </w:rPr>
                                  </w:pPr>
                                  <w:r>
                                    <w:rPr>
                                      <w:sz w:val="21"/>
                                    </w:rPr>
                                    <w:t>第五十三条 从事道路旅游客运的经营者应当遵守道路客运安全管理的各项制度，并在车辆显著位置明</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84" w:type="dxa"/>
                                  <w:tcBorders>
                                    <w:top w:val="nil"/>
                                  </w:tcBorders>
                                </w:tcPr>
                                <w:p>
                                  <w:pPr>
                                    <w:pStyle w:val="9"/>
                                    <w:ind w:left="0"/>
                                    <w:rPr>
                                      <w:rFonts w:ascii="Times New Roman"/>
                                      <w:sz w:val="20"/>
                                    </w:rPr>
                                  </w:pPr>
                                </w:p>
                              </w:tc>
                              <w:tc>
                                <w:tcPr>
                                  <w:tcW w:w="10064" w:type="dxa"/>
                                  <w:tcBorders>
                                    <w:top w:val="nil"/>
                                  </w:tcBorders>
                                </w:tcPr>
                                <w:p>
                                  <w:pPr>
                                    <w:pStyle w:val="9"/>
                                    <w:spacing w:before="21"/>
                                    <w:ind w:left="0" w:right="-15"/>
                                    <w:jc w:val="right"/>
                                    <w:rPr>
                                      <w:sz w:val="21"/>
                                    </w:rPr>
                                  </w:pPr>
                                  <w:r>
                                    <w:rPr>
                                      <w:w w:val="95"/>
                                      <w:sz w:val="21"/>
                                    </w:rPr>
                                    <w:t>示道路旅游客运专用标识，在车厢内显著位置公示经营者和驾驶人信息、道路运输管理机构监督电话等事项。</w:t>
                                  </w:r>
                                </w:p>
                              </w:tc>
                              <w:tc>
                                <w:tcPr>
                                  <w:tcW w:w="2500" w:type="dxa"/>
                                  <w:tcBorders>
                                    <w:top w:val="nil"/>
                                  </w:tcBorders>
                                </w:tcPr>
                                <w:p>
                                  <w:pPr>
                                    <w:pStyle w:val="9"/>
                                    <w:ind w:left="0"/>
                                    <w:rPr>
                                      <w:rFonts w:ascii="Times New Roman"/>
                                      <w:sz w:val="20"/>
                                    </w:rPr>
                                  </w:pPr>
                                </w:p>
                              </w:tc>
                            </w:tr>
                          </w:tbl>
                          <w:p>
                            <w:pPr>
                              <w:pStyle w:val="3"/>
                            </w:pPr>
                          </w:p>
                        </w:txbxContent>
                      </wps:txbx>
                      <wps:bodyPr lIns="0" tIns="0" rIns="0" bIns="0" upright="1"/>
                    </wps:wsp>
                  </a:graphicData>
                </a:graphic>
              </wp:anchor>
            </w:drawing>
          </mc:Choice>
          <mc:Fallback>
            <w:pict>
              <v:shape id="文本框 2" o:spid="_x0000_s1026" o:spt="202" type="#_x0000_t202" style="position:absolute;left:0pt;margin-left:66.35pt;margin-top:31.85pt;height:345.8pt;width:698.15pt;mso-position-horizontal-relative:page;z-index:251658240;mso-width-relative:page;mso-height-relative:page;" filled="f" stroked="f" coordsize="21600,21600" o:gfxdata="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sLgvZAAAACwEAAA8AAAAA&#10;AAAAAQAgAAAAIgAAAGRycy9kb3ducmV2LnhtbFBLAQIUABQAAAAIAIdO4kAKu8ZxoQEAACUDAAAO&#10;AAAAAAAAAAEAIAAAACgBAABkcnMvZTJvRG9jLnhtbFBLBQYAAAAABgAGAFkBAAA7BQAAAAA=&#10;">
                <v:fill on="f" focussize="0,0"/>
                <v:stroke on="f"/>
                <v:imagedata o:title=""/>
                <o:lock v:ext="edit" aspectratio="f"/>
                <v:textbox inset="0mm,0mm,0mm,0mm">
                  <w:txbxContent>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Pr>
                          <w:p>
                            <w:pPr>
                              <w:pStyle w:val="9"/>
                              <w:spacing w:before="2" w:line="250" w:lineRule="exact"/>
                              <w:ind w:left="270"/>
                              <w:rPr>
                                <w:b/>
                                <w:sz w:val="21"/>
                              </w:rPr>
                            </w:pPr>
                            <w:r>
                              <w:rPr>
                                <w:b/>
                                <w:sz w:val="21"/>
                              </w:rPr>
                              <w:t>惩戒措施</w:t>
                            </w:r>
                          </w:p>
                        </w:tc>
                        <w:tc>
                          <w:tcPr>
                            <w:tcW w:w="10064" w:type="dxa"/>
                          </w:tcPr>
                          <w:p>
                            <w:pPr>
                              <w:pStyle w:val="9"/>
                              <w:spacing w:before="2" w:line="250" w:lineRule="exact"/>
                              <w:ind w:right="96"/>
                              <w:jc w:val="center"/>
                              <w:rPr>
                                <w:b/>
                                <w:sz w:val="21"/>
                              </w:rPr>
                            </w:pPr>
                            <w:r>
                              <w:rPr>
                                <w:b/>
                                <w:sz w:val="21"/>
                              </w:rPr>
                              <w:t>法律及政策依据</w:t>
                            </w:r>
                          </w:p>
                        </w:tc>
                        <w:tc>
                          <w:tcPr>
                            <w:tcW w:w="2500" w:type="dxa"/>
                          </w:tcPr>
                          <w:p>
                            <w:pPr>
                              <w:pStyle w:val="9"/>
                              <w:spacing w:before="2" w:line="250" w:lineRule="exact"/>
                              <w:ind w:left="830"/>
                              <w:rPr>
                                <w:b/>
                                <w:sz w:val="21"/>
                              </w:rPr>
                            </w:pPr>
                            <w:r>
                              <w:rPr>
                                <w:b/>
                                <w:sz w:val="21"/>
                              </w:rPr>
                              <w:t>实施部门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84" w:type="dxa"/>
                            <w:tcBorders>
                              <w:bottom w:val="nil"/>
                            </w:tcBorders>
                          </w:tcPr>
                          <w:p>
                            <w:pPr>
                              <w:pStyle w:val="9"/>
                              <w:spacing w:before="1"/>
                              <w:ind w:left="107"/>
                              <w:rPr>
                                <w:sz w:val="21"/>
                              </w:rPr>
                            </w:pPr>
                            <w:r>
                              <w:rPr>
                                <w:rFonts w:ascii="Times New Roman" w:eastAsia="Times New Roman"/>
                                <w:sz w:val="21"/>
                              </w:rPr>
                              <w:t>1</w:t>
                            </w:r>
                            <w:r>
                              <w:rPr>
                                <w:rFonts w:ascii="Times New Roman" w:eastAsia="Times New Roman"/>
                                <w:spacing w:val="-8"/>
                                <w:sz w:val="21"/>
                              </w:rPr>
                              <w:t xml:space="preserve">. </w:t>
                            </w:r>
                            <w:r>
                              <w:rPr>
                                <w:spacing w:val="32"/>
                                <w:sz w:val="21"/>
                              </w:rPr>
                              <w:t>依法限制</w:t>
                            </w:r>
                          </w:p>
                          <w:p>
                            <w:pPr>
                              <w:pStyle w:val="9"/>
                              <w:spacing w:before="2" w:line="252" w:lineRule="exact"/>
                              <w:ind w:left="107"/>
                              <w:rPr>
                                <w:sz w:val="21"/>
                              </w:rPr>
                            </w:pPr>
                            <w:r>
                              <w:rPr>
                                <w:spacing w:val="24"/>
                                <w:w w:val="95"/>
                                <w:sz w:val="21"/>
                              </w:rPr>
                              <w:t>失信当事人</w:t>
                            </w:r>
                          </w:p>
                        </w:tc>
                        <w:tc>
                          <w:tcPr>
                            <w:tcW w:w="10064" w:type="dxa"/>
                            <w:tcBorders>
                              <w:bottom w:val="nil"/>
                            </w:tcBorders>
                          </w:tcPr>
                          <w:p>
                            <w:pPr>
                              <w:pStyle w:val="9"/>
                              <w:spacing w:before="1"/>
                              <w:rPr>
                                <w:b/>
                                <w:sz w:val="21"/>
                              </w:rPr>
                            </w:pPr>
                            <w:r>
                              <w:rPr>
                                <w:b/>
                                <w:sz w:val="21"/>
                              </w:rPr>
                              <w:t>《中华人民共和国旅游法》</w:t>
                            </w:r>
                          </w:p>
                          <w:p>
                            <w:pPr>
                              <w:pStyle w:val="9"/>
                              <w:spacing w:before="2" w:line="252" w:lineRule="exact"/>
                              <w:ind w:left="528"/>
                              <w:rPr>
                                <w:sz w:val="21"/>
                              </w:rPr>
                            </w:pPr>
                            <w:r>
                              <w:rPr>
                                <w:sz w:val="21"/>
                              </w:rPr>
                              <w:t>第二十八条 设立旅行社，招</w:t>
                            </w:r>
                            <w:r>
                              <w:rPr>
                                <w:rFonts w:hint="eastAsia"/>
                                <w:sz w:val="21"/>
                                <w:lang w:eastAsia="zh-CN"/>
                              </w:rPr>
                              <w:t>待</w:t>
                            </w:r>
                            <w:r>
                              <w:rPr>
                                <w:sz w:val="21"/>
                              </w:rPr>
                              <w:t>、组织、接待旅游者，为其提供旅游服务，应当具备下列条件，取得旅</w:t>
                            </w:r>
                          </w:p>
                        </w:tc>
                        <w:tc>
                          <w:tcPr>
                            <w:tcW w:w="2500" w:type="dxa"/>
                            <w:tcBorders>
                              <w:bottom w:val="nil"/>
                            </w:tcBorders>
                          </w:tcPr>
                          <w:p>
                            <w:pPr>
                              <w:pStyle w:val="9"/>
                              <w:spacing w:before="1"/>
                              <w:ind w:left="76" w:right="71"/>
                              <w:jc w:val="center"/>
                              <w:rPr>
                                <w:sz w:val="21"/>
                              </w:rPr>
                            </w:pPr>
                            <w:r>
                              <w:rPr>
                                <w:sz w:val="21"/>
                              </w:rPr>
                              <w:t>文化和旅游部等其他有</w:t>
                            </w:r>
                          </w:p>
                          <w:p>
                            <w:pPr>
                              <w:pStyle w:val="9"/>
                              <w:spacing w:before="2" w:line="252" w:lineRule="exact"/>
                              <w:ind w:left="81" w:right="71"/>
                              <w:jc w:val="center"/>
                              <w:rPr>
                                <w:sz w:val="21"/>
                              </w:rPr>
                            </w:pPr>
                            <w:r>
                              <w:rPr>
                                <w:sz w:val="21"/>
                              </w:rPr>
                              <w:t>关市场监管部门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384" w:type="dxa"/>
                            <w:tcBorders>
                              <w:top w:val="nil"/>
                              <w:bottom w:val="nil"/>
                            </w:tcBorders>
                          </w:tcPr>
                          <w:p>
                            <w:pPr>
                              <w:pStyle w:val="9"/>
                              <w:spacing w:before="2" w:line="252" w:lineRule="exact"/>
                              <w:ind w:left="107"/>
                              <w:rPr>
                                <w:sz w:val="21"/>
                              </w:rPr>
                            </w:pPr>
                            <w:r>
                              <w:rPr>
                                <w:sz w:val="21"/>
                              </w:rPr>
                              <w:t>进入旅游市</w:t>
                            </w:r>
                          </w:p>
                        </w:tc>
                        <w:tc>
                          <w:tcPr>
                            <w:tcW w:w="10064" w:type="dxa"/>
                            <w:tcBorders>
                              <w:top w:val="nil"/>
                              <w:bottom w:val="nil"/>
                            </w:tcBorders>
                          </w:tcPr>
                          <w:p>
                            <w:pPr>
                              <w:pStyle w:val="9"/>
                              <w:spacing w:before="2" w:line="252" w:lineRule="exact"/>
                              <w:rPr>
                                <w:sz w:val="21"/>
                              </w:rPr>
                            </w:pPr>
                            <w:r>
                              <w:rPr>
                                <w:sz w:val="21"/>
                              </w:rPr>
                              <w:t>游主管部门的许可，依法办理工商登记：</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spacing w:before="2" w:line="250" w:lineRule="exact"/>
                              <w:ind w:left="107"/>
                              <w:rPr>
                                <w:sz w:val="21"/>
                              </w:rPr>
                            </w:pPr>
                            <w:r>
                              <w:rPr>
                                <w:sz w:val="21"/>
                              </w:rPr>
                              <w:t>场。</w:t>
                            </w:r>
                          </w:p>
                        </w:tc>
                        <w:tc>
                          <w:tcPr>
                            <w:tcW w:w="10064" w:type="dxa"/>
                            <w:tcBorders>
                              <w:top w:val="nil"/>
                              <w:bottom w:val="nil"/>
                            </w:tcBorders>
                          </w:tcPr>
                          <w:p>
                            <w:pPr>
                              <w:pStyle w:val="9"/>
                              <w:spacing w:before="2" w:line="250" w:lineRule="exact"/>
                              <w:ind w:left="528"/>
                              <w:rPr>
                                <w:sz w:val="21"/>
                              </w:rPr>
                            </w:pPr>
                            <w:r>
                              <w:rPr>
                                <w:sz w:val="21"/>
                              </w:rPr>
                              <w:t>（一）有固定的经营场所；</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1" w:lineRule="exact"/>
                              <w:ind w:left="528"/>
                              <w:rPr>
                                <w:sz w:val="21"/>
                              </w:rPr>
                            </w:pPr>
                            <w:r>
                              <w:rPr>
                                <w:sz w:val="21"/>
                              </w:rPr>
                              <w:t>（二）有必要的营业设施；</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（三）有符合规定的注册资本；</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（四）有必要的经营管理人员和导游；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（五）法律、行政法规规定的其他条件。</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第二十九条 旅行社可以经营下列业务：</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（一）境内旅游；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（二）出境旅游；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（三）边境旅游；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（四）入境旅游；</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0" w:lineRule="exact"/>
                              <w:ind w:left="528"/>
                              <w:rPr>
                                <w:sz w:val="21"/>
                              </w:rPr>
                            </w:pPr>
                            <w:r>
                              <w:rPr>
                                <w:sz w:val="21"/>
                              </w:rPr>
                              <w:t>（五）其他旅游业务。</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旅行社经营前款第二项和第三项业务，应当取得相应的业务经营许可，具体条件由国务院规定。</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2" w:lineRule="exact"/>
                              <w:ind w:left="528"/>
                              <w:rPr>
                                <w:sz w:val="21"/>
                              </w:rPr>
                            </w:pPr>
                            <w:r>
                              <w:rPr>
                                <w:sz w:val="21"/>
                              </w:rPr>
                              <w:t>第四十二条 景区开放应当具备下列条件，并听取旅游主管部门的意见：</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（一）有必要的旅游配套服务和辅助设施；</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528"/>
                              <w:rPr>
                                <w:sz w:val="21"/>
                              </w:rPr>
                            </w:pPr>
                            <w:r>
                              <w:rPr>
                                <w:sz w:val="21"/>
                              </w:rPr>
                              <w:t>（二）有必要的安全设施及制度，经过安全风险评估，满足安全条件；</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528"/>
                              <w:rPr>
                                <w:sz w:val="21"/>
                              </w:rPr>
                            </w:pPr>
                            <w:r>
                              <w:rPr>
                                <w:sz w:val="21"/>
                              </w:rPr>
                              <w:t>（三）有必要的环境保护设施和生态保护措施；</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0" w:lineRule="exact"/>
                              <w:ind w:left="528"/>
                              <w:rPr>
                                <w:sz w:val="21"/>
                              </w:rPr>
                            </w:pPr>
                            <w:r>
                              <w:rPr>
                                <w:sz w:val="21"/>
                              </w:rPr>
                              <w:t>（四）法律、行政法规规定的其他条件。</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0" w:right="-15"/>
                              <w:jc w:val="right"/>
                              <w:rPr>
                                <w:sz w:val="21"/>
                              </w:rPr>
                            </w:pPr>
                            <w:r>
                              <w:rPr>
                                <w:sz w:val="21"/>
                              </w:rPr>
                              <w:t>第四十九条 为旅游者提供交通、住宿、餐饮、娱乐等服务的经营者，应当符合法律、法规规定的要求，</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3"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61" w:lineRule="exact"/>
                              <w:rPr>
                                <w:sz w:val="21"/>
                              </w:rPr>
                            </w:pPr>
                            <w:r>
                              <w:rPr>
                                <w:sz w:val="21"/>
                              </w:rPr>
                              <w:t>按照合同约定履行义务。</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1"/>
                              <w:ind w:left="528"/>
                              <w:rPr>
                                <w:sz w:val="21"/>
                              </w:rPr>
                            </w:pPr>
                            <w:r>
                              <w:rPr>
                                <w:sz w:val="21"/>
                              </w:rPr>
                              <w:t>第五十三条 从事道路旅游客运的经营者应当遵守道路客运安全管理的各项制度，并在车辆显著位置明</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1384" w:type="dxa"/>
                            <w:tcBorders>
                              <w:top w:val="nil"/>
                            </w:tcBorders>
                          </w:tcPr>
                          <w:p>
                            <w:pPr>
                              <w:pStyle w:val="9"/>
                              <w:ind w:left="0"/>
                              <w:rPr>
                                <w:rFonts w:ascii="Times New Roman"/>
                                <w:sz w:val="20"/>
                              </w:rPr>
                            </w:pPr>
                          </w:p>
                        </w:tc>
                        <w:tc>
                          <w:tcPr>
                            <w:tcW w:w="10064" w:type="dxa"/>
                            <w:tcBorders>
                              <w:top w:val="nil"/>
                            </w:tcBorders>
                          </w:tcPr>
                          <w:p>
                            <w:pPr>
                              <w:pStyle w:val="9"/>
                              <w:spacing w:before="21"/>
                              <w:ind w:left="0" w:right="-15"/>
                              <w:jc w:val="right"/>
                              <w:rPr>
                                <w:sz w:val="21"/>
                              </w:rPr>
                            </w:pPr>
                            <w:r>
                              <w:rPr>
                                <w:w w:val="95"/>
                                <w:sz w:val="21"/>
                              </w:rPr>
                              <w:t>示道路旅游客运专用标识，在车厢内显著位置公示经营者和驾驶人信息、道路运输管理机构监督电话等事项。</w:t>
                            </w:r>
                          </w:p>
                        </w:tc>
                        <w:tc>
                          <w:tcPr>
                            <w:tcW w:w="2500" w:type="dxa"/>
                            <w:tcBorders>
                              <w:top w:val="nil"/>
                            </w:tcBorders>
                          </w:tcPr>
                          <w:p>
                            <w:pPr>
                              <w:pStyle w:val="9"/>
                              <w:ind w:left="0"/>
                              <w:rPr>
                                <w:rFonts w:ascii="Times New Roman"/>
                                <w:sz w:val="20"/>
                              </w:rPr>
                            </w:pPr>
                          </w:p>
                        </w:tc>
                      </w:tr>
                    </w:tbl>
                    <w:p>
                      <w:pPr>
                        <w:pStyle w:val="3"/>
                      </w:pPr>
                    </w:p>
                  </w:txbxContent>
                </v:textbox>
              </v:shape>
            </w:pict>
          </mc:Fallback>
        </mc:AlternateContent>
      </w:r>
      <w:r>
        <w:t>联合惩戒措施相关依据和实施部门</w:t>
      </w:r>
    </w:p>
    <w:p>
      <w:pPr>
        <w:spacing w:after="0"/>
        <w:jc w:val="center"/>
        <w:sectPr>
          <w:footerReference r:id="rId4" w:type="default"/>
          <w:pgSz w:w="16840" w:h="11910" w:orient="landscape"/>
          <w:pgMar w:top="1100" w:right="1440" w:bottom="1620" w:left="1220" w:header="0" w:footer="1433" w:gutter="0"/>
          <w:pgNumType w:start="11"/>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3" w:hRule="atLeast"/>
        </w:trPr>
        <w:tc>
          <w:tcPr>
            <w:tcW w:w="1384" w:type="dxa"/>
          </w:tcPr>
          <w:p>
            <w:pPr>
              <w:pStyle w:val="9"/>
              <w:ind w:left="0"/>
              <w:rPr>
                <w:rFonts w:ascii="Times New Roman"/>
                <w:sz w:val="20"/>
              </w:rPr>
            </w:pPr>
          </w:p>
        </w:tc>
        <w:tc>
          <w:tcPr>
            <w:tcW w:w="10064" w:type="dxa"/>
          </w:tcPr>
          <w:p>
            <w:pPr>
              <w:pStyle w:val="9"/>
              <w:spacing w:before="21" w:line="278" w:lineRule="auto"/>
              <w:ind w:right="96" w:firstLine="420"/>
              <w:rPr>
                <w:sz w:val="21"/>
              </w:rPr>
            </w:pPr>
            <w:r>
              <w:rPr>
                <w:sz w:val="21"/>
              </w:rPr>
              <w:t>第一百零三条 违反本法规定被吊销导游证的导游、领队和受到吊销旅行社业务经营许可证处罚的旅行社的有关管理人员，自处罚之日起未逾三年的，不得重新申请导游证或者从事旅行社业务。</w:t>
            </w:r>
          </w:p>
          <w:p>
            <w:pPr>
              <w:pStyle w:val="9"/>
              <w:spacing w:line="250" w:lineRule="exact"/>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2"/>
              <w:ind w:left="528"/>
              <w:rPr>
                <w:sz w:val="21"/>
              </w:rPr>
            </w:pPr>
            <w:r>
              <w:rPr>
                <w:sz w:val="21"/>
              </w:rPr>
              <w:t>（十五）建立健全守信激励和失信惩戒机制。</w:t>
            </w:r>
          </w:p>
          <w:p>
            <w:pPr>
              <w:pStyle w:val="9"/>
              <w:spacing w:before="2" w:line="242" w:lineRule="auto"/>
              <w:ind w:right="-15" w:firstLine="420"/>
              <w:rPr>
                <w:sz w:val="21"/>
              </w:rPr>
            </w:pPr>
            <w:r>
              <w:rPr>
                <w:spacing w:val="-5"/>
                <w:w w:val="95"/>
                <w:sz w:val="21"/>
              </w:rPr>
              <w:t>将市场主体的信用信息作为实施行政管理的重要参考。根据市场主体信用状况实行分类分级、动态监管</w:t>
            </w:r>
            <w:r>
              <w:rPr>
                <w:rFonts w:hint="eastAsia"/>
                <w:spacing w:val="-5"/>
                <w:w w:val="95"/>
                <w:sz w:val="21"/>
                <w:lang w:eastAsia="zh-CN"/>
              </w:rPr>
              <w:t>，</w:t>
            </w:r>
            <w:r>
              <w:rPr>
                <w:spacing w:val="-5"/>
                <w:sz w:val="21"/>
              </w:rPr>
              <w:t>建立健全经营异常名录制度，对违背市场竞争原则和侵犯消费者、劳动者合法权益的市场主体建立</w:t>
            </w:r>
            <w:r>
              <w:rPr>
                <w:rFonts w:ascii="Times New Roman" w:hAnsi="Times New Roman" w:eastAsia="Times New Roman"/>
                <w:spacing w:val="-5"/>
                <w:sz w:val="21"/>
              </w:rPr>
              <w:t>“</w:t>
            </w:r>
            <w:r>
              <w:rPr>
                <w:spacing w:val="-5"/>
                <w:sz w:val="21"/>
              </w:rPr>
              <w:t>黑名单</w:t>
            </w:r>
            <w:r>
              <w:rPr>
                <w:rFonts w:ascii="Times New Roman" w:hAnsi="Times New Roman" w:eastAsia="Times New Roman"/>
                <w:spacing w:val="-5"/>
                <w:sz w:val="21"/>
              </w:rPr>
              <w:t xml:space="preserve">” </w:t>
            </w:r>
            <w:r>
              <w:rPr>
                <w:spacing w:val="-39"/>
                <w:sz w:val="21"/>
              </w:rPr>
              <w:t>制度。</w:t>
            </w:r>
            <w:r>
              <w:rPr>
                <w:sz w:val="21"/>
              </w:rPr>
              <w:t>（国家市场监督管理总局牵头负责）对守信主体予以支持和激励，对失信主体在经营、投融资、取得政府供应土地、进出口、出入境、注册新公司、工程招投标、政府采购、获得荣誉、安全许可、生产许可、</w:t>
            </w:r>
            <w:r>
              <w:rPr>
                <w:spacing w:val="-3"/>
                <w:sz w:val="21"/>
              </w:rPr>
              <w:t>从业任职资格、资质审核等方面依法予以限制或禁止，对严重违法失信主体实行市场禁入制度。</w:t>
            </w:r>
            <w:r>
              <w:rPr>
                <w:sz w:val="21"/>
              </w:rPr>
              <w:t>（各相关市场监管部门按职责分工分别负责）</w:t>
            </w:r>
          </w:p>
          <w:p>
            <w:pPr>
              <w:pStyle w:val="9"/>
              <w:spacing w:before="4"/>
              <w:ind w:right="-15"/>
              <w:rPr>
                <w:b/>
                <w:sz w:val="21"/>
              </w:rPr>
            </w:pPr>
            <w:r>
              <w:rPr>
                <w:b/>
                <w:w w:val="95"/>
                <w:sz w:val="21"/>
              </w:rPr>
              <w:t>《国务院关于建立完善守信联合激励和失信联合惩戒制度加快推进社会诚信建设的指导意见</w:t>
            </w:r>
            <w:r>
              <w:rPr>
                <w:b/>
                <w:spacing w:val="-133"/>
                <w:w w:val="95"/>
                <w:sz w:val="21"/>
              </w:rPr>
              <w:t>》</w:t>
            </w:r>
            <w:r>
              <w:rPr>
                <w:b/>
                <w:w w:val="95"/>
                <w:sz w:val="21"/>
              </w:rPr>
              <w:t>（</w:t>
            </w:r>
            <w:r>
              <w:rPr>
                <w:b/>
                <w:spacing w:val="-10"/>
                <w:w w:val="95"/>
                <w:sz w:val="21"/>
              </w:rPr>
              <w:t>国发〔</w:t>
            </w:r>
            <w:r>
              <w:rPr>
                <w:rFonts w:ascii="Times New Roman" w:eastAsia="Times New Roman"/>
                <w:b/>
                <w:w w:val="95"/>
                <w:sz w:val="21"/>
              </w:rPr>
              <w:t>2016</w:t>
            </w:r>
            <w:r>
              <w:rPr>
                <w:b/>
                <w:w w:val="95"/>
                <w:sz w:val="21"/>
              </w:rPr>
              <w:t>〕</w:t>
            </w:r>
          </w:p>
          <w:p>
            <w:pPr>
              <w:pStyle w:val="9"/>
              <w:spacing w:before="5"/>
              <w:rPr>
                <w:b/>
                <w:sz w:val="21"/>
              </w:rPr>
            </w:pPr>
            <w:r>
              <w:rPr>
                <w:rFonts w:ascii="Times New Roman" w:eastAsia="Times New Roman"/>
                <w:b/>
                <w:sz w:val="21"/>
              </w:rPr>
              <w:t xml:space="preserve">33 </w:t>
            </w:r>
            <w:r>
              <w:rPr>
                <w:b/>
                <w:sz w:val="21"/>
              </w:rPr>
              <w:t>号）</w:t>
            </w:r>
          </w:p>
          <w:p>
            <w:pPr>
              <w:pStyle w:val="9"/>
              <w:spacing w:before="23" w:line="278" w:lineRule="auto"/>
              <w:ind w:right="-15" w:firstLine="420"/>
              <w:rPr>
                <w:sz w:val="21"/>
              </w:rPr>
            </w:pPr>
            <w:r>
              <w:rPr>
                <w:sz w:val="21"/>
              </w:rPr>
              <w:t>（十</w:t>
            </w:r>
            <w:r>
              <w:rPr>
                <w:spacing w:val="-5"/>
                <w:sz w:val="21"/>
              </w:rPr>
              <w:t>）</w:t>
            </w:r>
            <w:r>
              <w:rPr>
                <w:spacing w:val="-3"/>
                <w:sz w:val="21"/>
              </w:rPr>
              <w:t>依法依规加强对失信行为的行政性约束和惩戒。对严重失信主体，各地区、各有关部门应将其列</w:t>
            </w:r>
            <w:r>
              <w:rPr>
                <w:spacing w:val="-5"/>
                <w:sz w:val="21"/>
              </w:rPr>
              <w:t>为重点监管对象，依法依规采取行政性约束和惩戒措施。从严审核行政许可审批项目，从严控制生产许可证</w:t>
            </w:r>
            <w:r>
              <w:rPr>
                <w:spacing w:val="-12"/>
                <w:sz w:val="21"/>
              </w:rPr>
              <w:t>发放，限制新增项目审批、核准，限制股票发行上市融资或发行债券，限制在全国股份转让系统挂牌、融资， 限制发起设立或参股金融机构以及小额贷款公司、融资担保公司、创业投资公司、互联网融资平台等机构， 限制从事互联网信息服务等。严格限制申请财政性资金项目，限制参与有关公共资源交易活动，限制参与基</w:t>
            </w:r>
            <w:r>
              <w:rPr>
                <w:spacing w:val="-13"/>
                <w:sz w:val="21"/>
              </w:rPr>
              <w:t>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5" w:hRule="atLeast"/>
        </w:trPr>
        <w:tc>
          <w:tcPr>
            <w:tcW w:w="1384" w:type="dxa"/>
          </w:tcPr>
          <w:p>
            <w:pPr>
              <w:pStyle w:val="9"/>
              <w:spacing w:line="242" w:lineRule="auto"/>
              <w:ind w:left="107" w:right="97"/>
              <w:jc w:val="both"/>
              <w:rPr>
                <w:sz w:val="21"/>
              </w:rPr>
            </w:pPr>
            <w:r>
              <w:rPr>
                <w:rFonts w:ascii="Times New Roman" w:eastAsia="Times New Roman"/>
                <w:sz w:val="21"/>
              </w:rPr>
              <w:t xml:space="preserve">2. </w:t>
            </w:r>
            <w:r>
              <w:rPr>
                <w:sz w:val="21"/>
              </w:rPr>
              <w:t>限制企业经营时的审慎性参考。</w:t>
            </w:r>
          </w:p>
        </w:tc>
        <w:tc>
          <w:tcPr>
            <w:tcW w:w="10064" w:type="dxa"/>
          </w:tcPr>
          <w:p>
            <w:pPr>
              <w:pStyle w:val="9"/>
              <w:ind w:right="-15"/>
              <w:rPr>
                <w:b/>
                <w:sz w:val="21"/>
              </w:rPr>
            </w:pPr>
            <w:r>
              <w:rPr>
                <w:b/>
                <w:w w:val="95"/>
                <w:sz w:val="21"/>
              </w:rPr>
              <w:t>《国务院关于建立完善守信联合激励和失信联合惩戒制度加快推进社会诚信建设的指导意见</w:t>
            </w:r>
            <w:r>
              <w:rPr>
                <w:b/>
                <w:spacing w:val="-133"/>
                <w:w w:val="95"/>
                <w:sz w:val="21"/>
              </w:rPr>
              <w:t>》</w:t>
            </w:r>
            <w:r>
              <w:rPr>
                <w:b/>
                <w:w w:val="95"/>
                <w:sz w:val="21"/>
              </w:rPr>
              <w:t>（</w:t>
            </w:r>
            <w:r>
              <w:rPr>
                <w:b/>
                <w:spacing w:val="-10"/>
                <w:w w:val="95"/>
                <w:sz w:val="21"/>
              </w:rPr>
              <w:t>国发〔</w:t>
            </w:r>
            <w:r>
              <w:rPr>
                <w:rFonts w:ascii="Times New Roman" w:eastAsia="Times New Roman"/>
                <w:b/>
                <w:w w:val="95"/>
                <w:sz w:val="21"/>
              </w:rPr>
              <w:t>2016</w:t>
            </w:r>
            <w:r>
              <w:rPr>
                <w:b/>
                <w:w w:val="95"/>
                <w:sz w:val="21"/>
              </w:rPr>
              <w:t>〕</w:t>
            </w:r>
          </w:p>
          <w:p>
            <w:pPr>
              <w:pStyle w:val="9"/>
              <w:spacing w:before="4"/>
              <w:rPr>
                <w:b/>
                <w:sz w:val="21"/>
              </w:rPr>
            </w:pPr>
            <w:r>
              <w:rPr>
                <w:rFonts w:ascii="Times New Roman" w:eastAsia="Times New Roman"/>
                <w:b/>
                <w:sz w:val="21"/>
              </w:rPr>
              <w:t xml:space="preserve">33 </w:t>
            </w:r>
            <w:r>
              <w:rPr>
                <w:b/>
                <w:sz w:val="21"/>
              </w:rPr>
              <w:t>号）</w:t>
            </w:r>
          </w:p>
          <w:p>
            <w:pPr>
              <w:pStyle w:val="9"/>
              <w:spacing w:before="22" w:line="278" w:lineRule="auto"/>
              <w:ind w:right="-15" w:firstLine="420"/>
              <w:rPr>
                <w:sz w:val="21"/>
              </w:rPr>
            </w:pPr>
            <w:r>
              <w:rPr>
                <w:sz w:val="21"/>
              </w:rPr>
              <w:t>（十</w:t>
            </w:r>
            <w:r>
              <w:rPr>
                <w:spacing w:val="-5"/>
                <w:sz w:val="21"/>
              </w:rPr>
              <w:t>）</w:t>
            </w:r>
            <w:r>
              <w:rPr>
                <w:spacing w:val="-3"/>
                <w:sz w:val="21"/>
              </w:rPr>
              <w:t>依法依规加强对失信行为的行政性约束和惩戒。对严重失信主体，各地区、各有关部门应将其列</w:t>
            </w:r>
            <w:r>
              <w:rPr>
                <w:spacing w:val="-5"/>
                <w:sz w:val="21"/>
              </w:rPr>
              <w:t>为重点监管对象，依法依规采取行政性约束和惩戒措施。从严审核行政许可审批项目，从严控制生产许可证</w:t>
            </w:r>
            <w:r>
              <w:rPr>
                <w:spacing w:val="-12"/>
                <w:sz w:val="21"/>
              </w:rPr>
              <w:t>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w:t>
            </w:r>
            <w:r>
              <w:rPr>
                <w:spacing w:val="-2"/>
                <w:w w:val="95"/>
                <w:sz w:val="21"/>
              </w:rPr>
              <w:t>础设施和公用事业特许经营。对严重失信企业及其法定代表人、主要负责人和对失信行为负有直接责任的注</w:t>
            </w:r>
          </w:p>
        </w:tc>
        <w:tc>
          <w:tcPr>
            <w:tcW w:w="2500" w:type="dxa"/>
          </w:tcPr>
          <w:p>
            <w:pPr>
              <w:pStyle w:val="9"/>
              <w:spacing w:before="21" w:line="278" w:lineRule="auto"/>
              <w:ind w:left="198" w:right="191" w:firstLine="316"/>
              <w:rPr>
                <w:sz w:val="21"/>
              </w:rPr>
            </w:pPr>
            <w:r>
              <w:rPr>
                <w:sz w:val="21"/>
              </w:rPr>
              <w:t xml:space="preserve">文化和旅游部、  </w:t>
            </w:r>
            <w:r>
              <w:rPr>
                <w:spacing w:val="-2"/>
                <w:sz w:val="21"/>
              </w:rPr>
              <w:t>工业和信息化部等其他</w:t>
            </w:r>
          </w:p>
          <w:p>
            <w:pPr>
              <w:pStyle w:val="9"/>
              <w:spacing w:line="269" w:lineRule="exact"/>
              <w:ind w:left="410"/>
              <w:rPr>
                <w:sz w:val="21"/>
              </w:rPr>
            </w:pPr>
            <w:r>
              <w:rPr>
                <w:sz w:val="21"/>
              </w:rPr>
              <w:t>有关市场监管部门</w:t>
            </w:r>
          </w:p>
        </w:tc>
      </w:tr>
    </w:tbl>
    <w:p>
      <w:pPr>
        <w:spacing w:after="0" w:line="269" w:lineRule="exact"/>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84" w:type="dxa"/>
          </w:tcPr>
          <w:p>
            <w:pPr>
              <w:pStyle w:val="9"/>
              <w:ind w:left="0"/>
              <w:rPr>
                <w:rFonts w:ascii="Times New Roman"/>
                <w:sz w:val="20"/>
              </w:rPr>
            </w:pPr>
          </w:p>
        </w:tc>
        <w:tc>
          <w:tcPr>
            <w:tcW w:w="10064" w:type="dxa"/>
          </w:tcPr>
          <w:p>
            <w:pPr>
              <w:pStyle w:val="9"/>
              <w:spacing w:before="21"/>
              <w:rPr>
                <w:sz w:val="21"/>
              </w:rPr>
            </w:pPr>
            <w:r>
              <w:rPr>
                <w:sz w:val="21"/>
              </w:rPr>
              <w:t>册执业人员等实施市场和行业禁入措施。及时撤销严重失信企业及其法定代表人、负责人、高级管理人员和</w:t>
            </w:r>
          </w:p>
          <w:p>
            <w:pPr>
              <w:pStyle w:val="9"/>
              <w:spacing w:before="43"/>
              <w:rPr>
                <w:sz w:val="21"/>
              </w:rPr>
            </w:pPr>
            <w:r>
              <w:rPr>
                <w:sz w:val="21"/>
              </w:rPr>
              <w:t>对失信行为负有直接责任的董事、股东等人员的荣誉称号，取消参加评先评优资格。</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5" w:hRule="atLeast"/>
        </w:trPr>
        <w:tc>
          <w:tcPr>
            <w:tcW w:w="1384" w:type="dxa"/>
          </w:tcPr>
          <w:p>
            <w:pPr>
              <w:pStyle w:val="9"/>
              <w:spacing w:before="1" w:line="242" w:lineRule="auto"/>
              <w:ind w:left="107" w:right="97"/>
              <w:jc w:val="both"/>
              <w:rPr>
                <w:sz w:val="21"/>
              </w:rPr>
            </w:pPr>
            <w:r>
              <w:rPr>
                <w:rFonts w:ascii="Times New Roman" w:eastAsia="Times New Roman"/>
                <w:sz w:val="21"/>
              </w:rPr>
              <w:t xml:space="preserve">3. </w:t>
            </w:r>
            <w:r>
              <w:rPr>
                <w:sz w:val="21"/>
              </w:rPr>
              <w:t>依法限制取得生产许可。</w:t>
            </w:r>
          </w:p>
        </w:tc>
        <w:tc>
          <w:tcPr>
            <w:tcW w:w="10064" w:type="dxa"/>
          </w:tcPr>
          <w:p>
            <w:pPr>
              <w:pStyle w:val="9"/>
              <w:spacing w:before="1"/>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2" w:line="242" w:lineRule="auto"/>
              <w:ind w:right="-15" w:firstLine="420"/>
              <w:rPr>
                <w:sz w:val="21"/>
              </w:rPr>
            </w:pPr>
            <w:r>
              <w:rPr>
                <w:w w:val="95"/>
                <w:sz w:val="21"/>
              </w:rPr>
              <w:t>（十五</w:t>
            </w:r>
            <w:r>
              <w:rPr>
                <w:spacing w:val="-32"/>
                <w:w w:val="95"/>
                <w:sz w:val="21"/>
              </w:rPr>
              <w:t>）</w:t>
            </w:r>
            <w:r>
              <w:rPr>
                <w:spacing w:val="-5"/>
                <w:w w:val="95"/>
                <w:sz w:val="21"/>
              </w:rPr>
              <w:t>建立健全守信激励和失信惩戒机制。对守信主体予以支持和激励，对失信主体在经营、投融资、</w:t>
            </w:r>
            <w:r>
              <w:rPr>
                <w:spacing w:val="-5"/>
                <w:sz w:val="21"/>
              </w:rPr>
              <w:t>取得政府供应土地、进出口、出入境、注册新公司、工程招投标、政府采购、获得荣誉、安全许可、生产许</w:t>
            </w:r>
            <w:r>
              <w:rPr>
                <w:spacing w:val="-8"/>
                <w:sz w:val="21"/>
              </w:rPr>
              <w:t>可、从业任职资格、资质审核等方面依法予以限制或禁止，对严重违法失信主体实行市场禁入制度。</w:t>
            </w:r>
            <w:r>
              <w:rPr>
                <w:sz w:val="21"/>
              </w:rPr>
              <w:t>（各相关市场监管部门按职责分工分别负责）</w:t>
            </w:r>
          </w:p>
          <w:p>
            <w:pPr>
              <w:pStyle w:val="9"/>
              <w:spacing w:before="3"/>
              <w:ind w:right="-15"/>
              <w:rPr>
                <w:b/>
                <w:sz w:val="21"/>
              </w:rPr>
            </w:pPr>
            <w:r>
              <w:rPr>
                <w:b/>
                <w:w w:val="95"/>
                <w:sz w:val="21"/>
              </w:rPr>
              <w:t>《国务院关于建立完善守信联合激励和失信联合惩戒制度加快推进社会诚信建设的指导意见</w:t>
            </w:r>
            <w:r>
              <w:rPr>
                <w:b/>
                <w:spacing w:val="-133"/>
                <w:w w:val="95"/>
                <w:sz w:val="21"/>
              </w:rPr>
              <w:t>》</w:t>
            </w:r>
            <w:r>
              <w:rPr>
                <w:b/>
                <w:w w:val="95"/>
                <w:sz w:val="21"/>
              </w:rPr>
              <w:t>（</w:t>
            </w:r>
            <w:r>
              <w:rPr>
                <w:b/>
                <w:spacing w:val="-10"/>
                <w:w w:val="95"/>
                <w:sz w:val="21"/>
              </w:rPr>
              <w:t>国发〔</w:t>
            </w:r>
            <w:r>
              <w:rPr>
                <w:rFonts w:ascii="Times New Roman" w:eastAsia="Times New Roman"/>
                <w:b/>
                <w:w w:val="95"/>
                <w:sz w:val="21"/>
              </w:rPr>
              <w:t>2016</w:t>
            </w:r>
            <w:r>
              <w:rPr>
                <w:b/>
                <w:w w:val="95"/>
                <w:sz w:val="21"/>
              </w:rPr>
              <w:t>〕</w:t>
            </w:r>
          </w:p>
          <w:p>
            <w:pPr>
              <w:pStyle w:val="9"/>
              <w:spacing w:before="5"/>
              <w:rPr>
                <w:b/>
                <w:sz w:val="21"/>
              </w:rPr>
            </w:pPr>
            <w:r>
              <w:rPr>
                <w:rFonts w:ascii="Times New Roman" w:eastAsia="Times New Roman"/>
                <w:b/>
                <w:sz w:val="21"/>
              </w:rPr>
              <w:t xml:space="preserve">33 </w:t>
            </w:r>
            <w:r>
              <w:rPr>
                <w:b/>
                <w:sz w:val="21"/>
              </w:rPr>
              <w:t>号）</w:t>
            </w:r>
          </w:p>
          <w:p>
            <w:pPr>
              <w:pStyle w:val="9"/>
              <w:spacing w:before="2" w:line="242" w:lineRule="auto"/>
              <w:ind w:right="-15" w:firstLine="420"/>
              <w:rPr>
                <w:sz w:val="21"/>
              </w:rPr>
            </w:pPr>
            <w:r>
              <w:rPr>
                <w:sz w:val="21"/>
              </w:rPr>
              <w:t>（十</w:t>
            </w:r>
            <w:r>
              <w:rPr>
                <w:spacing w:val="-5"/>
                <w:sz w:val="21"/>
              </w:rPr>
              <w:t>）</w:t>
            </w:r>
            <w:r>
              <w:rPr>
                <w:spacing w:val="-3"/>
                <w:sz w:val="21"/>
              </w:rPr>
              <w:t>依法依规加强对失信行为的行政性约束和惩戒。对严重失信主体，各地区、各有关部门应将其列</w:t>
            </w:r>
            <w:r>
              <w:rPr>
                <w:spacing w:val="-6"/>
                <w:sz w:val="21"/>
              </w:rPr>
              <w:t>为重点监管对象，依法依规采取行政性约束和惩戒措施。从严审核行政许可审批项目，从严控制生产许可证</w:t>
            </w:r>
            <w:r>
              <w:rPr>
                <w:spacing w:val="-12"/>
                <w:w w:val="95"/>
                <w:sz w:val="21"/>
              </w:rPr>
              <w:t>发放，限制新增项目审批、核准，限制股票发行上市融资或发行债券，限制在全国股份转让系统挂牌、融资，</w:t>
            </w:r>
            <w:r>
              <w:rPr>
                <w:spacing w:val="-12"/>
                <w:sz w:val="21"/>
              </w:rPr>
              <w:t>限制发起设立或参股金融机构以及小额贷款公司、融资担保公司、创业投资公司、互联网融资平台等机构， 限制从事互联网信息服务等。严格限制申请财政性资金项目，限制参与有关公共资源交易活动，限制参与基</w:t>
            </w:r>
            <w:r>
              <w:rPr>
                <w:spacing w:val="-13"/>
                <w:sz w:val="21"/>
              </w:rPr>
              <w:t>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tc>
        <w:tc>
          <w:tcPr>
            <w:tcW w:w="2500" w:type="dxa"/>
          </w:tcPr>
          <w:p>
            <w:pPr>
              <w:pStyle w:val="9"/>
              <w:spacing w:before="20"/>
              <w:ind w:left="76" w:right="71"/>
              <w:jc w:val="center"/>
              <w:rPr>
                <w:sz w:val="21"/>
              </w:rPr>
            </w:pPr>
            <w:r>
              <w:rPr>
                <w:sz w:val="21"/>
              </w:rPr>
              <w:t>国家市场监督管理总局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9" w:hRule="atLeast"/>
        </w:trPr>
        <w:tc>
          <w:tcPr>
            <w:tcW w:w="1384" w:type="dxa"/>
          </w:tcPr>
          <w:p>
            <w:pPr>
              <w:pStyle w:val="9"/>
              <w:spacing w:before="1" w:line="242" w:lineRule="auto"/>
              <w:ind w:left="107" w:right="97"/>
              <w:jc w:val="both"/>
              <w:rPr>
                <w:sz w:val="21"/>
              </w:rPr>
            </w:pPr>
            <w:r>
              <w:rPr>
                <w:rFonts w:ascii="Times New Roman" w:eastAsia="Times New Roman"/>
                <w:sz w:val="21"/>
              </w:rPr>
              <w:t xml:space="preserve">4. </w:t>
            </w:r>
            <w:r>
              <w:rPr>
                <w:sz w:val="21"/>
              </w:rPr>
              <w:t>依法限制参加政府采购活动。</w:t>
            </w:r>
          </w:p>
        </w:tc>
        <w:tc>
          <w:tcPr>
            <w:tcW w:w="10064" w:type="dxa"/>
          </w:tcPr>
          <w:p>
            <w:pPr>
              <w:pStyle w:val="9"/>
              <w:spacing w:before="1"/>
              <w:rPr>
                <w:b/>
                <w:sz w:val="21"/>
              </w:rPr>
            </w:pPr>
            <w:r>
              <w:rPr>
                <w:b/>
                <w:sz w:val="21"/>
              </w:rPr>
              <w:t>《中华人民共和国政府采购法》</w:t>
            </w:r>
          </w:p>
          <w:p>
            <w:pPr>
              <w:pStyle w:val="9"/>
              <w:spacing w:before="2"/>
              <w:ind w:left="528"/>
              <w:rPr>
                <w:sz w:val="21"/>
              </w:rPr>
            </w:pPr>
            <w:r>
              <w:rPr>
                <w:sz w:val="21"/>
              </w:rPr>
              <w:t>第二十二条 供应商参加政府采购活动应当具备下列条件：</w:t>
            </w:r>
          </w:p>
          <w:p>
            <w:pPr>
              <w:pStyle w:val="9"/>
              <w:spacing w:before="4"/>
              <w:ind w:left="528"/>
              <w:rPr>
                <w:sz w:val="21"/>
              </w:rPr>
            </w:pPr>
            <w:r>
              <w:rPr>
                <w:sz w:val="21"/>
              </w:rPr>
              <w:t>（一）具有独立承担民事责任的能力；</w:t>
            </w:r>
          </w:p>
          <w:p>
            <w:pPr>
              <w:pStyle w:val="9"/>
              <w:spacing w:before="3"/>
              <w:ind w:left="528"/>
              <w:rPr>
                <w:sz w:val="21"/>
              </w:rPr>
            </w:pPr>
            <w:r>
              <w:rPr>
                <w:w w:val="95"/>
                <w:sz w:val="21"/>
              </w:rPr>
              <w:t>（二）具有良好的商业信誉和健全的财务会计制度；</w:t>
            </w:r>
          </w:p>
          <w:p>
            <w:pPr>
              <w:pStyle w:val="9"/>
              <w:spacing w:before="4"/>
              <w:ind w:left="528"/>
              <w:rPr>
                <w:sz w:val="21"/>
              </w:rPr>
            </w:pPr>
            <w:r>
              <w:rPr>
                <w:w w:val="95"/>
                <w:sz w:val="21"/>
              </w:rPr>
              <w:t>（三）具有履行合同所必需的设备和专业技术能力；</w:t>
            </w:r>
          </w:p>
          <w:p>
            <w:pPr>
              <w:pStyle w:val="9"/>
              <w:spacing w:before="2"/>
              <w:ind w:left="528"/>
              <w:rPr>
                <w:sz w:val="21"/>
              </w:rPr>
            </w:pPr>
            <w:r>
              <w:rPr>
                <w:w w:val="95"/>
                <w:sz w:val="21"/>
              </w:rPr>
              <w:t>（四）有依法缴纳税收和社会保障资金的良好记录；</w:t>
            </w:r>
          </w:p>
          <w:p>
            <w:pPr>
              <w:pStyle w:val="9"/>
              <w:spacing w:before="5"/>
              <w:ind w:left="528"/>
              <w:rPr>
                <w:sz w:val="21"/>
              </w:rPr>
            </w:pPr>
            <w:r>
              <w:rPr>
                <w:sz w:val="21"/>
              </w:rPr>
              <w:t>（五）参加政府采购活动前三年内，在经营活动中没有重大违法记录；</w:t>
            </w:r>
          </w:p>
          <w:p>
            <w:pPr>
              <w:pStyle w:val="9"/>
              <w:spacing w:before="2"/>
              <w:ind w:left="528"/>
              <w:rPr>
                <w:sz w:val="21"/>
              </w:rPr>
            </w:pPr>
            <w:r>
              <w:rPr>
                <w:sz w:val="21"/>
              </w:rPr>
              <w:t>（六）法律、行政法规规定的其他条件。</w:t>
            </w:r>
          </w:p>
          <w:p>
            <w:pPr>
              <w:pStyle w:val="9"/>
              <w:spacing w:before="4" w:line="242" w:lineRule="auto"/>
              <w:ind w:right="28" w:firstLine="420"/>
              <w:rPr>
                <w:sz w:val="21"/>
              </w:rPr>
            </w:pPr>
            <w:r>
              <w:rPr>
                <w:w w:val="95"/>
                <w:sz w:val="21"/>
              </w:rPr>
              <w:t>采购人可以根据采购项目的特殊要求，规定供应商的特定条件，但不得以不合理的条件对供应商实行差</w:t>
            </w:r>
            <w:r>
              <w:rPr>
                <w:sz w:val="21"/>
              </w:rPr>
              <w:t>别待遇或者歧视待遇。</w:t>
            </w:r>
          </w:p>
          <w:p>
            <w:pPr>
              <w:pStyle w:val="9"/>
              <w:spacing w:before="2" w:line="242" w:lineRule="auto"/>
              <w:ind w:left="528" w:right="1197" w:hanging="420"/>
              <w:rPr>
                <w:sz w:val="21"/>
              </w:rPr>
            </w:pPr>
            <w:r>
              <w:rPr>
                <w:b/>
                <w:sz w:val="21"/>
              </w:rPr>
              <w:t>《国务院关于印发社会信用体系建设规划纲要（</w:t>
            </w:r>
            <w:r>
              <w:rPr>
                <w:rFonts w:ascii="Times New Roman" w:eastAsia="Times New Roman"/>
                <w:b/>
                <w:sz w:val="21"/>
              </w:rPr>
              <w:t xml:space="preserve">2014-2020 </w:t>
            </w:r>
            <w:r>
              <w:rPr>
                <w:b/>
                <w:sz w:val="21"/>
              </w:rPr>
              <w:t>年）</w:t>
            </w:r>
            <w:r>
              <w:rPr>
                <w:b/>
                <w:spacing w:val="-26"/>
                <w:sz w:val="21"/>
              </w:rPr>
              <w:t>的通知》</w:t>
            </w:r>
            <w:r>
              <w:rPr>
                <w:b/>
                <w:sz w:val="21"/>
              </w:rPr>
              <w:t>（国发〔</w:t>
            </w:r>
            <w:r>
              <w:rPr>
                <w:rFonts w:ascii="Times New Roman" w:eastAsia="Times New Roman"/>
                <w:b/>
                <w:sz w:val="21"/>
              </w:rPr>
              <w:t>2014</w:t>
            </w:r>
            <w:r>
              <w:rPr>
                <w:b/>
                <w:sz w:val="21"/>
              </w:rPr>
              <w:t>〕</w:t>
            </w:r>
            <w:r>
              <w:rPr>
                <w:rFonts w:ascii="Times New Roman" w:eastAsia="Times New Roman"/>
                <w:b/>
                <w:sz w:val="21"/>
              </w:rPr>
              <w:t xml:space="preserve">21 </w:t>
            </w:r>
            <w:r>
              <w:rPr>
                <w:b/>
                <w:sz w:val="21"/>
              </w:rPr>
              <w:t xml:space="preserve">号） </w:t>
            </w:r>
            <w:r>
              <w:rPr>
                <w:sz w:val="21"/>
              </w:rPr>
              <w:t>二、推进重点领域诚信建设</w:t>
            </w:r>
          </w:p>
          <w:p>
            <w:pPr>
              <w:pStyle w:val="9"/>
              <w:spacing w:before="1" w:line="249" w:lineRule="exact"/>
              <w:ind w:left="422"/>
              <w:rPr>
                <w:sz w:val="21"/>
              </w:rPr>
            </w:pPr>
            <w:r>
              <w:rPr>
                <w:sz w:val="21"/>
              </w:rPr>
              <w:t>（一）加快推进政务诚信建设。</w:t>
            </w:r>
          </w:p>
        </w:tc>
        <w:tc>
          <w:tcPr>
            <w:tcW w:w="2500" w:type="dxa"/>
          </w:tcPr>
          <w:p>
            <w:pPr>
              <w:pStyle w:val="9"/>
              <w:spacing w:before="20"/>
              <w:ind w:left="81" w:right="71"/>
              <w:jc w:val="center"/>
              <w:rPr>
                <w:sz w:val="21"/>
              </w:rPr>
            </w:pPr>
            <w:r>
              <w:rPr>
                <w:sz w:val="21"/>
              </w:rPr>
              <w:t>财政部</w:t>
            </w:r>
          </w:p>
        </w:tc>
      </w:tr>
    </w:tbl>
    <w:p>
      <w:pPr>
        <w:spacing w:after="0"/>
        <w:jc w:val="center"/>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0" w:hRule="atLeast"/>
        </w:trPr>
        <w:tc>
          <w:tcPr>
            <w:tcW w:w="1384" w:type="dxa"/>
          </w:tcPr>
          <w:p>
            <w:pPr>
              <w:pStyle w:val="9"/>
              <w:ind w:left="0"/>
              <w:rPr>
                <w:rFonts w:ascii="Times New Roman"/>
                <w:sz w:val="20"/>
              </w:rPr>
            </w:pPr>
          </w:p>
        </w:tc>
        <w:tc>
          <w:tcPr>
            <w:tcW w:w="10064" w:type="dxa"/>
          </w:tcPr>
          <w:p>
            <w:pPr>
              <w:pStyle w:val="9"/>
              <w:spacing w:before="2" w:line="242" w:lineRule="auto"/>
              <w:ind w:right="74" w:firstLine="420"/>
              <w:jc w:val="both"/>
              <w:rPr>
                <w:sz w:val="21"/>
              </w:rPr>
            </w:pPr>
            <w:r>
              <w:rPr>
                <w:spacing w:val="-3"/>
                <w:sz w:val="21"/>
              </w:rPr>
              <w:t>发挥政府诚信建设示范作用。各级人民政府首先要加强自身诚信建设，以政府的诚信施政，带动全社会</w:t>
            </w:r>
            <w:r>
              <w:rPr>
                <w:spacing w:val="-3"/>
                <w:w w:val="95"/>
                <w:sz w:val="21"/>
              </w:rPr>
              <w:t>诚信意识的树立和诚信水平的提高。在行政许可、政府采购、招标投标、劳动就业、社会保障、科研管理</w:t>
            </w:r>
            <w:r>
              <w:rPr>
                <w:rFonts w:hint="eastAsia"/>
                <w:spacing w:val="-3"/>
                <w:w w:val="95"/>
                <w:sz w:val="21"/>
                <w:lang w:eastAsia="zh-CN"/>
              </w:rPr>
              <w:t>、</w:t>
            </w:r>
            <w:r>
              <w:rPr>
                <w:spacing w:val="-6"/>
                <w:sz w:val="21"/>
              </w:rPr>
              <w:t>干部选拔任用和管理监督、申请政府资金支持等领域，率先使用信用信息和信用产品，培育信用服务市场发展。</w:t>
            </w:r>
          </w:p>
          <w:p>
            <w:pPr>
              <w:pStyle w:val="9"/>
              <w:jc w:val="both"/>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24" w:line="278" w:lineRule="auto"/>
              <w:ind w:right="-15" w:firstLine="420"/>
              <w:rPr>
                <w:sz w:val="21"/>
              </w:rPr>
            </w:pPr>
            <w:r>
              <w:rPr>
                <w:w w:val="95"/>
                <w:sz w:val="21"/>
              </w:rPr>
              <w:t>（十五</w:t>
            </w:r>
            <w:r>
              <w:rPr>
                <w:spacing w:val="-32"/>
                <w:w w:val="95"/>
                <w:sz w:val="21"/>
              </w:rPr>
              <w:t>）</w:t>
            </w:r>
            <w:r>
              <w:rPr>
                <w:spacing w:val="-4"/>
                <w:w w:val="95"/>
                <w:sz w:val="21"/>
              </w:rPr>
              <w:t>建立健全守信激励和失信惩戒机制。对守信主体予以支持和激励，对失信主体在经营、投融资、</w:t>
            </w:r>
            <w:r>
              <w:rPr>
                <w:spacing w:val="-4"/>
                <w:sz w:val="21"/>
              </w:rPr>
              <w:t>取得政府供应土地、进出口、出入境、注册新公司、工程招投标、政府采购、获得荣誉、安全许可、生产许</w:t>
            </w:r>
            <w:r>
              <w:rPr>
                <w:spacing w:val="-3"/>
                <w:sz w:val="21"/>
              </w:rPr>
              <w:t>可、从业任职资格、资质审核等方面依法予以限制或禁止，对严重违法失信主体实行市场禁入制度。</w:t>
            </w:r>
            <w:r>
              <w:rPr>
                <w:sz w:val="21"/>
              </w:rPr>
              <w:t>（</w:t>
            </w:r>
            <w:r>
              <w:rPr>
                <w:spacing w:val="2"/>
                <w:sz w:val="21"/>
              </w:rPr>
              <w:t>各相</w:t>
            </w:r>
            <w:r>
              <w:rPr>
                <w:sz w:val="21"/>
              </w:rPr>
              <w:t>关市场监管部门按职责分工分别负责）</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9" w:hRule="atLeast"/>
        </w:trPr>
        <w:tc>
          <w:tcPr>
            <w:tcW w:w="1384" w:type="dxa"/>
          </w:tcPr>
          <w:p>
            <w:pPr>
              <w:pStyle w:val="9"/>
              <w:spacing w:line="242" w:lineRule="auto"/>
              <w:ind w:left="107" w:right="97"/>
              <w:jc w:val="both"/>
              <w:rPr>
                <w:sz w:val="21"/>
              </w:rPr>
            </w:pPr>
            <w:r>
              <w:rPr>
                <w:rFonts w:ascii="Times New Roman" w:eastAsia="Times New Roman"/>
                <w:sz w:val="21"/>
              </w:rPr>
              <w:t xml:space="preserve">5. </w:t>
            </w:r>
            <w:r>
              <w:rPr>
                <w:sz w:val="21"/>
              </w:rPr>
              <w:t>依法限制取得或终止其基础设施和公用事业特许经营。</w:t>
            </w:r>
          </w:p>
        </w:tc>
        <w:tc>
          <w:tcPr>
            <w:tcW w:w="10064" w:type="dxa"/>
          </w:tcPr>
          <w:p>
            <w:pPr>
              <w:pStyle w:val="9"/>
              <w:rPr>
                <w:b/>
                <w:sz w:val="21"/>
              </w:rPr>
            </w:pPr>
            <w:r>
              <w:rPr>
                <w:b/>
                <w:sz w:val="21"/>
              </w:rPr>
              <w:t>《基础设施和公用事业特许经营管理办法》</w:t>
            </w:r>
          </w:p>
          <w:p>
            <w:pPr>
              <w:pStyle w:val="9"/>
              <w:spacing w:before="2" w:line="242" w:lineRule="auto"/>
              <w:ind w:right="98" w:firstLine="420"/>
              <w:rPr>
                <w:sz w:val="21"/>
              </w:rPr>
            </w:pPr>
            <w:r>
              <w:rPr>
                <w:spacing w:val="-3"/>
                <w:sz w:val="21"/>
              </w:rPr>
              <w:t>第十七条 实施机构应当公平择优选择具有相应管理经验、专业能力、融资实力以及信用状况良好的法</w:t>
            </w:r>
            <w:r>
              <w:rPr>
                <w:spacing w:val="-5"/>
                <w:w w:val="95"/>
                <w:sz w:val="21"/>
              </w:rPr>
              <w:t>人或者其他组织作为特许经营者。鼓励金融机构与参与竞争的法人或其他组织共同制定投融资方案。特许经</w:t>
            </w:r>
            <w:r>
              <w:rPr>
                <w:spacing w:val="-5"/>
                <w:sz w:val="21"/>
              </w:rPr>
              <w:t>营者选择应当符合内外资准入等有关法律、行政法规规定。依法选定的特许经营者，应当向社会公示。</w:t>
            </w:r>
          </w:p>
          <w:p>
            <w:pPr>
              <w:pStyle w:val="9"/>
              <w:spacing w:before="3" w:line="242" w:lineRule="auto"/>
              <w:ind w:right="98" w:firstLine="420"/>
              <w:rPr>
                <w:sz w:val="21"/>
              </w:rPr>
            </w:pPr>
            <w:r>
              <w:rPr>
                <w:spacing w:val="-2"/>
                <w:sz w:val="21"/>
              </w:rPr>
              <w:t>第五十三条 特许经营者违反法律、行政法规和国家强制性标准，严重危害公共利益，或者造成重大质</w:t>
            </w:r>
            <w:r>
              <w:rPr>
                <w:spacing w:val="-5"/>
                <w:w w:val="95"/>
                <w:sz w:val="21"/>
              </w:rPr>
              <w:t>量、安全事故或者突发环境事件的，有关部门应当责令限期改正并依法予以行政处罚；拒不改正、情节严重</w:t>
            </w:r>
            <w:r>
              <w:rPr>
                <w:spacing w:val="-5"/>
                <w:sz w:val="21"/>
              </w:rPr>
              <w:t>的，可以终止特许经营协议；构成犯罪的，依法追究刑事责任。</w:t>
            </w:r>
          </w:p>
          <w:p>
            <w:pPr>
              <w:pStyle w:val="9"/>
              <w:spacing w:before="20" w:line="278" w:lineRule="auto"/>
              <w:ind w:right="74" w:firstLine="420"/>
              <w:rPr>
                <w:sz w:val="21"/>
              </w:rPr>
            </w:pPr>
            <w:r>
              <w:rPr>
                <w:sz w:val="21"/>
              </w:rPr>
              <w:t>第五十六条 县级以上人民政府有关部门应当对特许经营者及其从业人员的不良行为建立信用记录，纳</w:t>
            </w:r>
            <w:r>
              <w:rPr>
                <w:w w:val="95"/>
                <w:sz w:val="21"/>
              </w:rPr>
              <w:t>入全国统一的信用信息共享交换平台。对严重违法失信行为依法予以曝光，并会同有关部门实施联合惩戒。</w:t>
            </w:r>
          </w:p>
          <w:p>
            <w:pPr>
              <w:pStyle w:val="9"/>
              <w:spacing w:line="250" w:lineRule="exact"/>
              <w:ind w:right="-15"/>
              <w:rPr>
                <w:b/>
                <w:sz w:val="21"/>
              </w:rPr>
            </w:pPr>
            <w:r>
              <w:rPr>
                <w:b/>
                <w:w w:val="95"/>
                <w:sz w:val="21"/>
              </w:rPr>
              <w:t>《国务院关于建立完善守信联合激励和失信联合惩戒制度加快推进社会诚信建设的指导意见</w:t>
            </w:r>
            <w:r>
              <w:rPr>
                <w:b/>
                <w:spacing w:val="-133"/>
                <w:w w:val="95"/>
                <w:sz w:val="21"/>
              </w:rPr>
              <w:t>》</w:t>
            </w:r>
            <w:r>
              <w:rPr>
                <w:b/>
                <w:w w:val="95"/>
                <w:sz w:val="21"/>
              </w:rPr>
              <w:t>（</w:t>
            </w:r>
            <w:r>
              <w:rPr>
                <w:b/>
                <w:spacing w:val="-10"/>
                <w:w w:val="95"/>
                <w:sz w:val="21"/>
              </w:rPr>
              <w:t>国发〔</w:t>
            </w:r>
            <w:r>
              <w:rPr>
                <w:rFonts w:ascii="Times New Roman" w:eastAsia="Times New Roman"/>
                <w:b/>
                <w:w w:val="95"/>
                <w:sz w:val="21"/>
              </w:rPr>
              <w:t>2016</w:t>
            </w:r>
            <w:r>
              <w:rPr>
                <w:b/>
                <w:w w:val="95"/>
                <w:sz w:val="21"/>
              </w:rPr>
              <w:t>〕</w:t>
            </w:r>
          </w:p>
          <w:p>
            <w:pPr>
              <w:pStyle w:val="9"/>
              <w:spacing w:before="2"/>
              <w:rPr>
                <w:b/>
                <w:sz w:val="21"/>
              </w:rPr>
            </w:pPr>
            <w:r>
              <w:rPr>
                <w:rFonts w:ascii="Times New Roman" w:eastAsia="Times New Roman"/>
                <w:b/>
                <w:sz w:val="21"/>
              </w:rPr>
              <w:t xml:space="preserve">33 </w:t>
            </w:r>
            <w:r>
              <w:rPr>
                <w:b/>
                <w:sz w:val="21"/>
              </w:rPr>
              <w:t>号）</w:t>
            </w:r>
          </w:p>
          <w:p>
            <w:pPr>
              <w:pStyle w:val="9"/>
              <w:spacing w:before="24" w:line="278" w:lineRule="auto"/>
              <w:ind w:right="-15" w:firstLine="420"/>
              <w:rPr>
                <w:sz w:val="21"/>
              </w:rPr>
            </w:pPr>
            <w:r>
              <w:rPr>
                <w:sz w:val="21"/>
              </w:rPr>
              <w:t>（十</w:t>
            </w:r>
            <w:r>
              <w:rPr>
                <w:spacing w:val="-5"/>
                <w:sz w:val="21"/>
              </w:rPr>
              <w:t>）</w:t>
            </w:r>
            <w:r>
              <w:rPr>
                <w:spacing w:val="-3"/>
                <w:sz w:val="21"/>
              </w:rPr>
              <w:t>依法依规加强对失信行为的行政性约束和惩戒。对严重失信主体，各地区、各有关部门应将其列</w:t>
            </w:r>
            <w:r>
              <w:rPr>
                <w:spacing w:val="-5"/>
                <w:sz w:val="21"/>
              </w:rPr>
              <w:t>为重点监管对象，依法依规采取行政性约束和惩戒措施。从严审核行政许可审批项目，从严控制生产许可证</w:t>
            </w:r>
            <w:r>
              <w:rPr>
                <w:spacing w:val="-12"/>
                <w:sz w:val="21"/>
              </w:rPr>
              <w:t>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w:t>
            </w:r>
            <w:r>
              <w:rPr>
                <w:spacing w:val="-13"/>
                <w:sz w:val="21"/>
              </w:rPr>
              <w:t>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tc>
        <w:tc>
          <w:tcPr>
            <w:tcW w:w="2500" w:type="dxa"/>
          </w:tcPr>
          <w:p>
            <w:pPr>
              <w:pStyle w:val="9"/>
              <w:spacing w:before="19" w:line="278" w:lineRule="auto"/>
              <w:ind w:left="410" w:right="400"/>
              <w:jc w:val="center"/>
              <w:rPr>
                <w:sz w:val="21"/>
              </w:rPr>
            </w:pPr>
            <w:r>
              <w:rPr>
                <w:sz w:val="21"/>
              </w:rPr>
              <w:t>国家发展改革委、财政部、</w:t>
            </w:r>
          </w:p>
          <w:p>
            <w:pPr>
              <w:pStyle w:val="9"/>
              <w:spacing w:line="278" w:lineRule="auto"/>
              <w:ind w:left="410" w:right="400"/>
              <w:jc w:val="center"/>
              <w:rPr>
                <w:sz w:val="21"/>
              </w:rPr>
            </w:pPr>
            <w:r>
              <w:rPr>
                <w:sz w:val="21"/>
              </w:rPr>
              <w:t>住房城乡建设部、交通运输部、</w:t>
            </w:r>
          </w:p>
          <w:p>
            <w:pPr>
              <w:pStyle w:val="9"/>
              <w:spacing w:line="269" w:lineRule="exact"/>
              <w:ind w:left="79" w:right="71"/>
              <w:jc w:val="center"/>
              <w:rPr>
                <w:sz w:val="21"/>
              </w:rPr>
            </w:pPr>
            <w:r>
              <w:rPr>
                <w:sz w:val="21"/>
              </w:rPr>
              <w:t>水利部等相关部门</w:t>
            </w:r>
          </w:p>
        </w:tc>
      </w:tr>
    </w:tbl>
    <w:p>
      <w:pPr>
        <w:spacing w:after="0" w:line="269" w:lineRule="exact"/>
        <w:jc w:val="center"/>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6" w:hRule="atLeast"/>
        </w:trPr>
        <w:tc>
          <w:tcPr>
            <w:tcW w:w="1384" w:type="dxa"/>
          </w:tcPr>
          <w:p>
            <w:pPr>
              <w:pStyle w:val="9"/>
              <w:spacing w:before="2" w:line="242" w:lineRule="auto"/>
              <w:ind w:left="107" w:right="97"/>
              <w:jc w:val="both"/>
              <w:rPr>
                <w:sz w:val="21"/>
              </w:rPr>
            </w:pPr>
            <w:r>
              <w:rPr>
                <w:rFonts w:ascii="Times New Roman" w:eastAsia="Times New Roman"/>
                <w:sz w:val="21"/>
              </w:rPr>
              <w:t xml:space="preserve">6. </w:t>
            </w:r>
            <w:r>
              <w:rPr>
                <w:sz w:val="21"/>
              </w:rPr>
              <w:t>依法限制取得政府供应土地。</w:t>
            </w:r>
          </w:p>
        </w:tc>
        <w:tc>
          <w:tcPr>
            <w:tcW w:w="10064" w:type="dxa"/>
          </w:tcPr>
          <w:p>
            <w:pPr>
              <w:pStyle w:val="9"/>
              <w:spacing w:before="2"/>
              <w:rPr>
                <w:b/>
                <w:sz w:val="21"/>
              </w:rPr>
            </w:pPr>
            <w:r>
              <w:rPr>
                <w:b/>
                <w:sz w:val="21"/>
              </w:rPr>
              <w:t>《企业信息公示暂行条例》</w:t>
            </w:r>
          </w:p>
          <w:p>
            <w:pPr>
              <w:pStyle w:val="9"/>
              <w:spacing w:before="2" w:line="242" w:lineRule="auto"/>
              <w:ind w:right="-15" w:firstLine="420"/>
              <w:rPr>
                <w:sz w:val="21"/>
              </w:rPr>
            </w:pPr>
            <w:r>
              <w:rPr>
                <w:spacing w:val="-6"/>
                <w:sz w:val="21"/>
              </w:rPr>
              <w:t>第十八条 县级以上地方人民政府及其有关部门应当建立健全信用约束机制，在政府采购、工程招投标、</w:t>
            </w:r>
            <w:r>
              <w:rPr>
                <w:spacing w:val="-8"/>
                <w:sz w:val="21"/>
              </w:rPr>
              <w:t>国有土地出让、授予荣誉称号等工作中，将企业信息作为重要考量因素，对被列入经营异常名录或者严重违法企业名单的企业依法予以限制或者禁入。</w:t>
            </w:r>
          </w:p>
          <w:p>
            <w:pPr>
              <w:pStyle w:val="9"/>
              <w:spacing w:before="1"/>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4" w:line="242" w:lineRule="auto"/>
              <w:ind w:right="-15" w:firstLine="420"/>
              <w:rPr>
                <w:sz w:val="21"/>
              </w:rPr>
            </w:pPr>
            <w:r>
              <w:rPr>
                <w:w w:val="95"/>
                <w:sz w:val="21"/>
              </w:rPr>
              <w:t>（十五</w:t>
            </w:r>
            <w:r>
              <w:rPr>
                <w:spacing w:val="-32"/>
                <w:w w:val="95"/>
                <w:sz w:val="21"/>
              </w:rPr>
              <w:t>）</w:t>
            </w:r>
            <w:r>
              <w:rPr>
                <w:spacing w:val="-5"/>
                <w:w w:val="95"/>
                <w:sz w:val="21"/>
              </w:rPr>
              <w:t>建立健全守信激励和失信惩戒机制。对守信主体予以支持和激励，对失信主体在经营、投融资、</w:t>
            </w:r>
            <w:r>
              <w:rPr>
                <w:spacing w:val="-5"/>
                <w:sz w:val="21"/>
              </w:rPr>
              <w:t>取得政府供应土地、进出口、出入境、注册新公司、工程招投标、政府采购、获得荣誉、安全许可、生产许</w:t>
            </w:r>
            <w:r>
              <w:rPr>
                <w:spacing w:val="-8"/>
                <w:sz w:val="21"/>
              </w:rPr>
              <w:t>可、从业任职资格、资质审核等方面依法予以限制或禁止，对严重违法失信主体实行市场禁入制度。</w:t>
            </w:r>
            <w:r>
              <w:rPr>
                <w:sz w:val="21"/>
              </w:rPr>
              <w:t>（各相关市场监管部门按职责分工分别负责）</w:t>
            </w:r>
          </w:p>
          <w:p>
            <w:pPr>
              <w:pStyle w:val="9"/>
              <w:spacing w:before="3" w:line="242" w:lineRule="auto"/>
              <w:ind w:left="528" w:right="1197" w:hanging="420"/>
              <w:rPr>
                <w:sz w:val="21"/>
              </w:rPr>
            </w:pPr>
            <w:r>
              <w:rPr>
                <w:b/>
                <w:sz w:val="21"/>
              </w:rPr>
              <w:t>《国务院关于印发社会信用体系建设规划纲要（</w:t>
            </w:r>
            <w:r>
              <w:rPr>
                <w:rFonts w:ascii="Times New Roman" w:eastAsia="Times New Roman"/>
                <w:b/>
                <w:sz w:val="21"/>
              </w:rPr>
              <w:t xml:space="preserve">2014-2020 </w:t>
            </w:r>
            <w:r>
              <w:rPr>
                <w:b/>
                <w:sz w:val="21"/>
              </w:rPr>
              <w:t>年）</w:t>
            </w:r>
            <w:r>
              <w:rPr>
                <w:b/>
                <w:spacing w:val="-26"/>
                <w:sz w:val="21"/>
              </w:rPr>
              <w:t>的通知》</w:t>
            </w:r>
            <w:r>
              <w:rPr>
                <w:b/>
                <w:sz w:val="21"/>
              </w:rPr>
              <w:t>（国发〔</w:t>
            </w:r>
            <w:r>
              <w:rPr>
                <w:rFonts w:ascii="Times New Roman" w:eastAsia="Times New Roman"/>
                <w:b/>
                <w:sz w:val="21"/>
              </w:rPr>
              <w:t>2014</w:t>
            </w:r>
            <w:r>
              <w:rPr>
                <w:b/>
                <w:sz w:val="21"/>
              </w:rPr>
              <w:t>〕</w:t>
            </w:r>
            <w:r>
              <w:rPr>
                <w:rFonts w:ascii="Times New Roman" w:eastAsia="Times New Roman"/>
                <w:b/>
                <w:sz w:val="21"/>
              </w:rPr>
              <w:t xml:space="preserve">21 </w:t>
            </w:r>
            <w:r>
              <w:rPr>
                <w:b/>
                <w:sz w:val="21"/>
              </w:rPr>
              <w:t xml:space="preserve">号） </w:t>
            </w:r>
            <w:r>
              <w:rPr>
                <w:sz w:val="21"/>
              </w:rPr>
              <w:t>五、完善以奖惩制度为重点的社会信用体系运行机制</w:t>
            </w:r>
          </w:p>
          <w:p>
            <w:pPr>
              <w:pStyle w:val="9"/>
              <w:spacing w:before="1"/>
              <w:ind w:left="528"/>
              <w:rPr>
                <w:sz w:val="21"/>
              </w:rPr>
            </w:pPr>
            <w:r>
              <w:rPr>
                <w:sz w:val="21"/>
              </w:rPr>
              <w:t>（一）构建守信激励和失信惩戒机制。</w:t>
            </w:r>
          </w:p>
          <w:p>
            <w:pPr>
              <w:pStyle w:val="9"/>
              <w:spacing w:before="24" w:line="278" w:lineRule="auto"/>
              <w:ind w:right="91" w:firstLine="420"/>
              <w:jc w:val="both"/>
              <w:rPr>
                <w:sz w:val="21"/>
              </w:rPr>
            </w:pPr>
            <w:r>
              <w:rPr>
                <w:spacing w:val="-2"/>
                <w:w w:val="95"/>
                <w:sz w:val="21"/>
              </w:rPr>
              <w:t>加强对守信主体的奖励和激励。加大对守信行为的表彰和宣传力度。按规定对诚信企业和模范个人给予</w:t>
            </w:r>
            <w:r>
              <w:rPr>
                <w:spacing w:val="-3"/>
                <w:w w:val="95"/>
                <w:sz w:val="21"/>
              </w:rPr>
              <w:t>表彰，通过新闻媒体广泛宣传，营造守信光荣的舆论氛围。发展改革、财政、金融、环境保护、住房城乡建设、交通运输、商务、工商、税务、质检、安全监管、海关、知识产权等部门，在市场监管和公共服务过程</w:t>
            </w:r>
            <w:r>
              <w:rPr>
                <w:spacing w:val="-9"/>
                <w:w w:val="95"/>
                <w:sz w:val="21"/>
              </w:rPr>
              <w:t>中，要深化信用信息和信用产品的应用，对诚实守信者实行优先办理、简化程序等</w:t>
            </w:r>
            <w:r>
              <w:rPr>
                <w:rFonts w:ascii="Times New Roman" w:hAnsi="Times New Roman" w:eastAsia="Times New Roman"/>
                <w:w w:val="95"/>
                <w:sz w:val="21"/>
              </w:rPr>
              <w:t>“</w:t>
            </w:r>
            <w:r>
              <w:rPr>
                <w:w w:val="95"/>
                <w:sz w:val="21"/>
              </w:rPr>
              <w:t>绿色通道</w:t>
            </w:r>
            <w:r>
              <w:rPr>
                <w:rFonts w:ascii="Times New Roman" w:hAnsi="Times New Roman" w:eastAsia="Times New Roman"/>
                <w:w w:val="95"/>
                <w:sz w:val="21"/>
              </w:rPr>
              <w:t>”</w:t>
            </w:r>
            <w:r>
              <w:rPr>
                <w:w w:val="95"/>
                <w:sz w:val="21"/>
              </w:rPr>
              <w:t>支持激励政策。</w:t>
            </w:r>
          </w:p>
        </w:tc>
        <w:tc>
          <w:tcPr>
            <w:tcW w:w="2500" w:type="dxa"/>
          </w:tcPr>
          <w:p>
            <w:pPr>
              <w:pStyle w:val="9"/>
              <w:spacing w:before="21"/>
              <w:ind w:left="724"/>
              <w:rPr>
                <w:sz w:val="21"/>
              </w:rPr>
            </w:pPr>
            <w:r>
              <w:rPr>
                <w:sz w:val="21"/>
              </w:rPr>
              <w:t>自然资源部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9" w:hRule="atLeast"/>
        </w:trPr>
        <w:tc>
          <w:tcPr>
            <w:tcW w:w="1384" w:type="dxa"/>
          </w:tcPr>
          <w:p>
            <w:pPr>
              <w:pStyle w:val="9"/>
              <w:spacing w:before="21" w:line="278" w:lineRule="auto"/>
              <w:ind w:left="107" w:right="97"/>
              <w:jc w:val="both"/>
              <w:rPr>
                <w:sz w:val="21"/>
              </w:rPr>
            </w:pPr>
            <w:r>
              <w:rPr>
                <w:rFonts w:ascii="Times New Roman" w:eastAsia="Times New Roman"/>
                <w:sz w:val="21"/>
              </w:rPr>
              <w:t xml:space="preserve">7. </w:t>
            </w:r>
            <w:r>
              <w:rPr>
                <w:sz w:val="21"/>
              </w:rPr>
              <w:t>依法限制参与工程建设项目招投标活动。</w:t>
            </w:r>
          </w:p>
        </w:tc>
        <w:tc>
          <w:tcPr>
            <w:tcW w:w="10064" w:type="dxa"/>
          </w:tcPr>
          <w:p>
            <w:pPr>
              <w:pStyle w:val="9"/>
              <w:rPr>
                <w:b/>
                <w:sz w:val="21"/>
              </w:rPr>
            </w:pPr>
            <w:r>
              <w:rPr>
                <w:b/>
                <w:sz w:val="21"/>
              </w:rPr>
              <w:t>《企业信息公示暂行条例》</w:t>
            </w:r>
          </w:p>
          <w:p>
            <w:pPr>
              <w:pStyle w:val="9"/>
              <w:spacing w:before="4" w:line="242" w:lineRule="auto"/>
              <w:ind w:right="-15" w:firstLine="420"/>
              <w:rPr>
                <w:sz w:val="21"/>
              </w:rPr>
            </w:pPr>
            <w:r>
              <w:rPr>
                <w:spacing w:val="-6"/>
                <w:sz w:val="21"/>
              </w:rPr>
              <w:t>第十八条 县级以上地方人民政府及其有关部门应当建立健全信用约束机制，在政府采购、工程招投标、</w:t>
            </w:r>
            <w:r>
              <w:rPr>
                <w:spacing w:val="-8"/>
                <w:sz w:val="21"/>
              </w:rPr>
              <w:t>国有土地出让、授予荣誉称号等工作中，将企业信息作为重要考量因素，对被列入经营异常名录或者严重违法企业名单的企业依法予以限制或者禁入。</w:t>
            </w:r>
          </w:p>
          <w:p>
            <w:pPr>
              <w:pStyle w:val="9"/>
              <w:spacing w:before="1"/>
              <w:rPr>
                <w:b/>
                <w:sz w:val="21"/>
              </w:rPr>
            </w:pPr>
            <w:r>
              <w:rPr>
                <w:b/>
                <w:sz w:val="21"/>
              </w:rPr>
              <w:t>《工程建设项目施工招标投标办法》</w:t>
            </w:r>
          </w:p>
          <w:p>
            <w:pPr>
              <w:pStyle w:val="9"/>
              <w:spacing w:before="5"/>
              <w:ind w:left="528"/>
              <w:rPr>
                <w:sz w:val="21"/>
              </w:rPr>
            </w:pPr>
            <w:r>
              <w:rPr>
                <w:sz w:val="21"/>
              </w:rPr>
              <w:t>第二十条 资格审查应主要审查潜在投标人或者投标人是否符合下列条件：</w:t>
            </w:r>
          </w:p>
          <w:p>
            <w:pPr>
              <w:pStyle w:val="9"/>
              <w:spacing w:before="2"/>
              <w:ind w:left="528"/>
              <w:rPr>
                <w:sz w:val="21"/>
              </w:rPr>
            </w:pPr>
            <w:r>
              <w:rPr>
                <w:sz w:val="21"/>
              </w:rPr>
              <w:t>（一）具有独立订立合同的权利；</w:t>
            </w:r>
          </w:p>
          <w:p>
            <w:pPr>
              <w:pStyle w:val="9"/>
              <w:spacing w:before="4" w:line="242" w:lineRule="auto"/>
              <w:ind w:right="-15" w:firstLine="420"/>
              <w:rPr>
                <w:sz w:val="21"/>
              </w:rPr>
            </w:pPr>
            <w:r>
              <w:rPr>
                <w:w w:val="95"/>
                <w:sz w:val="21"/>
              </w:rPr>
              <w:t>（二</w:t>
            </w:r>
            <w:r>
              <w:rPr>
                <w:spacing w:val="-22"/>
                <w:w w:val="95"/>
                <w:sz w:val="21"/>
              </w:rPr>
              <w:t>）</w:t>
            </w:r>
            <w:r>
              <w:rPr>
                <w:spacing w:val="-7"/>
                <w:w w:val="95"/>
                <w:sz w:val="21"/>
              </w:rPr>
              <w:t>具有履行合同的能力，包括专业、技术资格和能力，资金、设备和其他物质设施状况，管理能力，</w:t>
            </w:r>
            <w:r>
              <w:rPr>
                <w:spacing w:val="-7"/>
                <w:sz w:val="21"/>
              </w:rPr>
              <w:t>经验、信誉和相应的从业人员；</w:t>
            </w:r>
          </w:p>
          <w:p>
            <w:pPr>
              <w:pStyle w:val="9"/>
              <w:spacing w:before="1"/>
              <w:ind w:left="528"/>
              <w:rPr>
                <w:sz w:val="21"/>
              </w:rPr>
            </w:pPr>
            <w:r>
              <w:rPr>
                <w:sz w:val="21"/>
              </w:rPr>
              <w:t>（三）没有处于被责令停业，投标资格被取消，财产被接管、冻结，破产状态；</w:t>
            </w:r>
          </w:p>
          <w:p>
            <w:pPr>
              <w:pStyle w:val="9"/>
              <w:spacing w:before="3"/>
              <w:ind w:left="528"/>
              <w:rPr>
                <w:sz w:val="21"/>
              </w:rPr>
            </w:pPr>
            <w:r>
              <w:rPr>
                <w:sz w:val="21"/>
              </w:rPr>
              <w:t>（四）在最近三年内没有骗取中标和严重违约及重大工程质量问题；</w:t>
            </w:r>
          </w:p>
          <w:p>
            <w:pPr>
              <w:pStyle w:val="9"/>
              <w:spacing w:before="2"/>
              <w:ind w:left="528"/>
              <w:rPr>
                <w:sz w:val="21"/>
              </w:rPr>
            </w:pPr>
            <w:r>
              <w:rPr>
                <w:sz w:val="21"/>
              </w:rPr>
              <w:t>（五）国家规定的其他资格条件。</w:t>
            </w:r>
          </w:p>
          <w:p>
            <w:pPr>
              <w:pStyle w:val="9"/>
              <w:spacing w:before="4" w:line="250" w:lineRule="exact"/>
              <w:ind w:left="528"/>
              <w:rPr>
                <w:sz w:val="21"/>
              </w:rPr>
            </w:pPr>
            <w:r>
              <w:rPr>
                <w:sz w:val="21"/>
              </w:rPr>
              <w:t>资格审查时，招标人不得以不合理的条件限制、排斥潜在投标人或者投标人，不得对潜在投标人或者投</w:t>
            </w:r>
          </w:p>
        </w:tc>
        <w:tc>
          <w:tcPr>
            <w:tcW w:w="2500" w:type="dxa"/>
          </w:tcPr>
          <w:p>
            <w:pPr>
              <w:pStyle w:val="9"/>
              <w:spacing w:before="21" w:line="278" w:lineRule="auto"/>
              <w:ind w:left="410" w:right="400"/>
              <w:jc w:val="center"/>
              <w:rPr>
                <w:sz w:val="21"/>
              </w:rPr>
            </w:pPr>
            <w:r>
              <w:rPr>
                <w:spacing w:val="-2"/>
                <w:sz w:val="21"/>
              </w:rPr>
              <w:t>国家发展改革委、</w:t>
            </w:r>
            <w:r>
              <w:rPr>
                <w:sz w:val="21"/>
              </w:rPr>
              <w:t xml:space="preserve">文化和旅游部、 </w:t>
            </w:r>
            <w:r>
              <w:rPr>
                <w:spacing w:val="-2"/>
                <w:sz w:val="21"/>
              </w:rPr>
              <w:t>工业和信息化部、住房城乡建设部、</w:t>
            </w:r>
            <w:r>
              <w:rPr>
                <w:sz w:val="21"/>
              </w:rPr>
              <w:t>交通运输部、</w:t>
            </w:r>
          </w:p>
          <w:p>
            <w:pPr>
              <w:pStyle w:val="9"/>
              <w:spacing w:line="278" w:lineRule="auto"/>
              <w:ind w:left="830" w:right="820"/>
              <w:jc w:val="both"/>
              <w:rPr>
                <w:sz w:val="21"/>
              </w:rPr>
            </w:pPr>
            <w:r>
              <w:rPr>
                <w:sz w:val="21"/>
              </w:rPr>
              <w:t>水利部、商务部、民航局、</w:t>
            </w:r>
          </w:p>
          <w:p>
            <w:pPr>
              <w:pStyle w:val="9"/>
              <w:spacing w:line="269" w:lineRule="exact"/>
              <w:ind w:left="76" w:right="71"/>
              <w:jc w:val="center"/>
              <w:rPr>
                <w:sz w:val="21"/>
              </w:rPr>
            </w:pPr>
            <w:r>
              <w:rPr>
                <w:sz w:val="21"/>
              </w:rPr>
              <w:t>铁路总公司等相关部门</w:t>
            </w:r>
          </w:p>
        </w:tc>
      </w:tr>
    </w:tbl>
    <w:p>
      <w:pPr>
        <w:spacing w:after="0" w:line="269" w:lineRule="exact"/>
        <w:jc w:val="center"/>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31" w:hRule="atLeast"/>
        </w:trPr>
        <w:tc>
          <w:tcPr>
            <w:tcW w:w="1384" w:type="dxa"/>
          </w:tcPr>
          <w:p>
            <w:pPr>
              <w:pStyle w:val="9"/>
              <w:ind w:left="0"/>
              <w:rPr>
                <w:rFonts w:ascii="Times New Roman"/>
                <w:sz w:val="20"/>
              </w:rPr>
            </w:pPr>
          </w:p>
        </w:tc>
        <w:tc>
          <w:tcPr>
            <w:tcW w:w="10064" w:type="dxa"/>
          </w:tcPr>
          <w:p>
            <w:pPr>
              <w:pStyle w:val="9"/>
              <w:spacing w:before="2"/>
              <w:rPr>
                <w:sz w:val="21"/>
              </w:rPr>
            </w:pPr>
            <w:r>
              <w:rPr>
                <w:sz w:val="21"/>
              </w:rPr>
              <w:t>标人实行歧视待遇。任何单位和个人不得以行政手段或者其他不合理方式限制投标人的数量。</w:t>
            </w:r>
          </w:p>
          <w:p>
            <w:pPr>
              <w:pStyle w:val="9"/>
              <w:spacing w:before="2"/>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2" w:line="242" w:lineRule="auto"/>
              <w:ind w:right="-15" w:firstLine="420"/>
              <w:rPr>
                <w:sz w:val="21"/>
              </w:rPr>
            </w:pPr>
            <w:r>
              <w:rPr>
                <w:sz w:val="21"/>
              </w:rPr>
              <w:t>（十五</w:t>
            </w:r>
            <w:r>
              <w:rPr>
                <w:spacing w:val="-8"/>
                <w:sz w:val="21"/>
              </w:rPr>
              <w:t>）</w:t>
            </w:r>
            <w:r>
              <w:rPr>
                <w:spacing w:val="-2"/>
                <w:sz w:val="21"/>
              </w:rPr>
              <w:t>建立健全守信激励和失信惩戒机制。将市场主体的信用信息作为实施行政管理的重要参考。根</w:t>
            </w:r>
            <w:r>
              <w:rPr>
                <w:spacing w:val="-5"/>
                <w:sz w:val="21"/>
              </w:rPr>
              <w:t>据市场主体信用状况实行分类分级、动态监管，建立健全经营异常名录制度，对违背市场竞争原则和侵犯消</w:t>
            </w:r>
            <w:r>
              <w:rPr>
                <w:spacing w:val="-6"/>
                <w:sz w:val="21"/>
              </w:rPr>
              <w:t xml:space="preserve">费者、劳动者合法权益的市场主体建立 </w:t>
            </w:r>
            <w:r>
              <w:rPr>
                <w:rFonts w:ascii="Times New Roman" w:hAnsi="Times New Roman" w:eastAsia="Times New Roman"/>
                <w:sz w:val="21"/>
              </w:rPr>
              <w:t>“</w:t>
            </w:r>
            <w:r>
              <w:rPr>
                <w:sz w:val="21"/>
              </w:rPr>
              <w:t>黑名单</w:t>
            </w:r>
            <w:r>
              <w:rPr>
                <w:rFonts w:ascii="Times New Roman" w:hAnsi="Times New Roman" w:eastAsia="Times New Roman"/>
                <w:sz w:val="21"/>
              </w:rPr>
              <w:t>”</w:t>
            </w:r>
            <w:r>
              <w:rPr>
                <w:spacing w:val="-35"/>
                <w:sz w:val="21"/>
              </w:rPr>
              <w:t>制度。</w:t>
            </w:r>
            <w:r>
              <w:rPr>
                <w:sz w:val="21"/>
              </w:rPr>
              <w:t>（国家市场监督管理总局牵头负责）对守信主体予以</w:t>
            </w:r>
            <w:r>
              <w:rPr>
                <w:spacing w:val="-9"/>
                <w:w w:val="95"/>
                <w:sz w:val="21"/>
              </w:rPr>
              <w:t>支持和激励，对失信主体在经营、投融资、取得政府供应土地、进出口、出入境、注册新公司、工程招投标、</w:t>
            </w:r>
            <w:r>
              <w:rPr>
                <w:spacing w:val="-7"/>
                <w:sz w:val="21"/>
              </w:rPr>
              <w:t>政府采购、获得荣誉、安全许可、生产许可、从业任职资格、资质审核等方面依法予以限制或禁止，对严重</w:t>
            </w:r>
            <w:r>
              <w:rPr>
                <w:spacing w:val="-14"/>
                <w:sz w:val="21"/>
              </w:rPr>
              <w:t>违法失信主体实行市场禁入制度。</w:t>
            </w:r>
            <w:r>
              <w:rPr>
                <w:sz w:val="21"/>
              </w:rPr>
              <w:t>（各相关市场监管部门按职责分工分别负责）</w:t>
            </w:r>
          </w:p>
          <w:p>
            <w:pPr>
              <w:pStyle w:val="9"/>
              <w:spacing w:before="4"/>
              <w:rPr>
                <w:b/>
                <w:sz w:val="21"/>
              </w:rPr>
            </w:pPr>
            <w:r>
              <w:rPr>
                <w:b/>
                <w:sz w:val="21"/>
              </w:rPr>
              <w:t>《中华人民共和国招标投标法》</w:t>
            </w:r>
          </w:p>
          <w:p>
            <w:pPr>
              <w:pStyle w:val="9"/>
              <w:spacing w:before="4" w:line="242" w:lineRule="auto"/>
              <w:ind w:right="180" w:firstLine="420"/>
              <w:rPr>
                <w:sz w:val="21"/>
              </w:rPr>
            </w:pPr>
            <w:r>
              <w:rPr>
                <w:sz w:val="21"/>
              </w:rPr>
              <w:t>第二十六条 投标人应当具备承担招标项目的能力；国家有关规定对投标人资格条件或者招标文件对投标人资格条件有规定的，投标人应当具备规定的资格条件。</w:t>
            </w:r>
          </w:p>
          <w:p>
            <w:pPr>
              <w:pStyle w:val="9"/>
              <w:spacing w:before="2" w:line="242" w:lineRule="auto"/>
              <w:ind w:right="180" w:firstLine="420"/>
              <w:rPr>
                <w:sz w:val="21"/>
              </w:rPr>
            </w:pPr>
            <w:r>
              <w:rPr>
                <w:sz w:val="21"/>
              </w:rPr>
              <w:t>第三十三条 投标人不得以低于成本的报价竞标，也不得以他人名义投标或者以其他方式弄虚作假，骗取中标。</w:t>
            </w:r>
          </w:p>
          <w:p>
            <w:pPr>
              <w:pStyle w:val="9"/>
              <w:spacing w:before="1"/>
              <w:rPr>
                <w:b/>
                <w:sz w:val="21"/>
              </w:rPr>
            </w:pPr>
            <w:r>
              <w:rPr>
                <w:b/>
                <w:sz w:val="21"/>
              </w:rPr>
              <w:t>《中华人民共和国招标投标法实施条例》</w:t>
            </w:r>
          </w:p>
          <w:p>
            <w:pPr>
              <w:pStyle w:val="9"/>
              <w:spacing w:before="2" w:line="244" w:lineRule="auto"/>
              <w:ind w:right="180" w:firstLine="420"/>
              <w:rPr>
                <w:sz w:val="21"/>
              </w:rPr>
            </w:pPr>
            <w:r>
              <w:rPr>
                <w:sz w:val="21"/>
              </w:rPr>
              <w:t>第四十二条 使用通过受让后者租借等方式获取的资格、资质证书投标的，属于招标投标法第三十三条规定的以他人名义投标。</w:t>
            </w:r>
          </w:p>
          <w:p>
            <w:pPr>
              <w:pStyle w:val="9"/>
              <w:spacing w:line="265" w:lineRule="exact"/>
              <w:ind w:left="528"/>
              <w:rPr>
                <w:sz w:val="21"/>
              </w:rPr>
            </w:pPr>
            <w:r>
              <w:rPr>
                <w:sz w:val="21"/>
              </w:rPr>
              <w:t>投标人有下列情形之一的，属于招标投标法第三十三条规定的以其他方式弄虚作假的行为：</w:t>
            </w:r>
          </w:p>
          <w:p>
            <w:pPr>
              <w:pStyle w:val="9"/>
              <w:spacing w:before="2"/>
              <w:ind w:left="528"/>
              <w:rPr>
                <w:sz w:val="21"/>
              </w:rPr>
            </w:pPr>
            <w:r>
              <w:rPr>
                <w:sz w:val="21"/>
              </w:rPr>
              <w:t>（一）使用伪造、变造的许可证件；</w:t>
            </w:r>
          </w:p>
          <w:p>
            <w:pPr>
              <w:pStyle w:val="9"/>
              <w:spacing w:before="5"/>
              <w:ind w:left="528"/>
              <w:rPr>
                <w:sz w:val="21"/>
              </w:rPr>
            </w:pPr>
            <w:r>
              <w:rPr>
                <w:sz w:val="21"/>
              </w:rPr>
              <w:t>（二）提供虚假的财务状况或者业绩；</w:t>
            </w:r>
          </w:p>
          <w:p>
            <w:pPr>
              <w:pStyle w:val="9"/>
              <w:spacing w:before="2"/>
              <w:ind w:left="528"/>
              <w:rPr>
                <w:sz w:val="21"/>
              </w:rPr>
            </w:pPr>
            <w:r>
              <w:rPr>
                <w:sz w:val="21"/>
              </w:rPr>
              <w:t>（三）提供虚假的项目负责人或者主要技术人员简历、劳动关系证明；</w:t>
            </w:r>
          </w:p>
          <w:p>
            <w:pPr>
              <w:pStyle w:val="9"/>
              <w:spacing w:before="4"/>
              <w:ind w:left="528"/>
              <w:rPr>
                <w:sz w:val="21"/>
              </w:rPr>
            </w:pPr>
            <w:r>
              <w:rPr>
                <w:w w:val="95"/>
                <w:sz w:val="21"/>
              </w:rPr>
              <w:t>（四）提供虚假的信用状况；</w:t>
            </w:r>
          </w:p>
          <w:p>
            <w:pPr>
              <w:pStyle w:val="9"/>
              <w:spacing w:before="24"/>
              <w:ind w:left="528"/>
              <w:rPr>
                <w:sz w:val="21"/>
              </w:rPr>
            </w:pPr>
            <w:r>
              <w:rPr>
                <w:w w:val="95"/>
                <w:sz w:val="21"/>
              </w:rPr>
              <w:t>（五）其他弄虚作假的行为。</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6" w:hRule="atLeast"/>
        </w:trPr>
        <w:tc>
          <w:tcPr>
            <w:tcW w:w="1384" w:type="dxa"/>
          </w:tcPr>
          <w:p>
            <w:pPr>
              <w:pStyle w:val="9"/>
              <w:spacing w:before="2" w:line="242" w:lineRule="auto"/>
              <w:ind w:left="107" w:right="97"/>
              <w:jc w:val="both"/>
              <w:rPr>
                <w:sz w:val="21"/>
              </w:rPr>
            </w:pPr>
            <w:r>
              <w:rPr>
                <w:rFonts w:ascii="Times New Roman" w:eastAsia="Times New Roman"/>
                <w:sz w:val="21"/>
              </w:rPr>
              <w:t xml:space="preserve">8. </w:t>
            </w:r>
            <w:r>
              <w:rPr>
                <w:sz w:val="21"/>
              </w:rPr>
              <w:t>依法限制取得安全生产许可证。</w:t>
            </w:r>
          </w:p>
        </w:tc>
        <w:tc>
          <w:tcPr>
            <w:tcW w:w="10064" w:type="dxa"/>
          </w:tcPr>
          <w:p>
            <w:pPr>
              <w:pStyle w:val="9"/>
              <w:spacing w:before="2"/>
              <w:jc w:val="both"/>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2" w:line="242" w:lineRule="auto"/>
              <w:ind w:right="74" w:firstLine="420"/>
              <w:jc w:val="both"/>
              <w:rPr>
                <w:sz w:val="21"/>
              </w:rPr>
            </w:pPr>
            <w:r>
              <w:rPr>
                <w:sz w:val="21"/>
              </w:rPr>
              <w:t>（十五</w:t>
            </w:r>
            <w:r>
              <w:rPr>
                <w:spacing w:val="-8"/>
                <w:sz w:val="21"/>
              </w:rPr>
              <w:t>）</w:t>
            </w:r>
            <w:r>
              <w:rPr>
                <w:spacing w:val="-2"/>
                <w:sz w:val="21"/>
              </w:rPr>
              <w:t>建立健全守信激励和失信惩戒机制。将市场主体的信用信息作为实施行政管理的重要参考。根</w:t>
            </w:r>
            <w:r>
              <w:rPr>
                <w:spacing w:val="-5"/>
                <w:sz w:val="21"/>
              </w:rPr>
              <w:t>据市场主体信用状况实行分类分级、动态监管，建立健全经营异常名录制度，对违背市场竞争原则和侵犯消</w:t>
            </w:r>
            <w:r>
              <w:rPr>
                <w:spacing w:val="-7"/>
                <w:sz w:val="21"/>
              </w:rPr>
              <w:t>费者、劳动者合法权益的市场主体建立</w:t>
            </w:r>
            <w:r>
              <w:rPr>
                <w:rFonts w:ascii="Times New Roman" w:hAnsi="Times New Roman" w:eastAsia="Times New Roman"/>
                <w:sz w:val="21"/>
              </w:rPr>
              <w:t>“</w:t>
            </w:r>
            <w:r>
              <w:rPr>
                <w:sz w:val="21"/>
              </w:rPr>
              <w:t>黑名单</w:t>
            </w:r>
            <w:r>
              <w:rPr>
                <w:rFonts w:ascii="Times New Roman" w:hAnsi="Times New Roman" w:eastAsia="Times New Roman"/>
                <w:sz w:val="21"/>
              </w:rPr>
              <w:t>”</w:t>
            </w:r>
            <w:r>
              <w:rPr>
                <w:spacing w:val="-47"/>
                <w:sz w:val="21"/>
              </w:rPr>
              <w:t>制度。</w:t>
            </w:r>
            <w:r>
              <w:rPr>
                <w:sz w:val="21"/>
              </w:rPr>
              <w:t>（国家市场监督管理总局牵头负责</w:t>
            </w:r>
            <w:r>
              <w:rPr>
                <w:spacing w:val="-34"/>
                <w:sz w:val="21"/>
              </w:rPr>
              <w:t>）</w:t>
            </w:r>
            <w:r>
              <w:rPr>
                <w:sz w:val="21"/>
              </w:rPr>
              <w:t>对守信主体予以支</w:t>
            </w:r>
            <w:r>
              <w:rPr>
                <w:w w:val="95"/>
                <w:sz w:val="21"/>
              </w:rPr>
              <w:t>持和激励，对失信主体在经营、投融资、取得政府供应土地、进出口、出入境、注册新公司、工程招投标、</w:t>
            </w:r>
            <w:r>
              <w:rPr>
                <w:spacing w:val="-3"/>
                <w:sz w:val="21"/>
              </w:rPr>
              <w:t>政府采购、获得荣誉、安全许可、生产许可、从业任职资格、资质审核等方面依法予以限制或禁止，对严重</w:t>
            </w:r>
            <w:r>
              <w:rPr>
                <w:spacing w:val="-10"/>
                <w:sz w:val="21"/>
              </w:rPr>
              <w:t>违法失信主体实行市场禁入制度。</w:t>
            </w:r>
            <w:r>
              <w:rPr>
                <w:sz w:val="21"/>
              </w:rPr>
              <w:t>（各相关市场监管部门按职责分工分别负责）</w:t>
            </w:r>
          </w:p>
        </w:tc>
        <w:tc>
          <w:tcPr>
            <w:tcW w:w="2500" w:type="dxa"/>
          </w:tcPr>
          <w:p>
            <w:pPr>
              <w:pStyle w:val="9"/>
              <w:spacing w:before="21" w:line="278" w:lineRule="auto"/>
              <w:ind w:left="1038" w:right="191" w:hanging="840"/>
              <w:rPr>
                <w:sz w:val="21"/>
              </w:rPr>
            </w:pPr>
            <w:r>
              <w:rPr>
                <w:sz w:val="21"/>
              </w:rPr>
              <w:t>住房城乡建设部等相关部门</w:t>
            </w:r>
          </w:p>
        </w:tc>
      </w:tr>
    </w:tbl>
    <w:p>
      <w:pPr>
        <w:spacing w:after="0" w:line="278" w:lineRule="auto"/>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384" w:type="dxa"/>
            <w:tcBorders>
              <w:bottom w:val="nil"/>
            </w:tcBorders>
          </w:tcPr>
          <w:p>
            <w:pPr>
              <w:pStyle w:val="9"/>
              <w:spacing w:before="1" w:line="270" w:lineRule="atLeast"/>
              <w:ind w:left="107" w:right="97"/>
              <w:rPr>
                <w:sz w:val="21"/>
              </w:rPr>
            </w:pPr>
            <w:r>
              <w:rPr>
                <w:rFonts w:ascii="Times New Roman" w:eastAsia="Times New Roman"/>
                <w:sz w:val="21"/>
              </w:rPr>
              <w:t xml:space="preserve">9. </w:t>
            </w:r>
            <w:r>
              <w:rPr>
                <w:sz w:val="21"/>
              </w:rPr>
              <w:t>限制成为海关认证企</w:t>
            </w:r>
          </w:p>
        </w:tc>
        <w:tc>
          <w:tcPr>
            <w:tcW w:w="10064" w:type="dxa"/>
            <w:vMerge w:val="restart"/>
          </w:tcPr>
          <w:p>
            <w:pPr>
              <w:pStyle w:val="9"/>
              <w:spacing w:before="21"/>
              <w:rPr>
                <w:b/>
                <w:sz w:val="21"/>
              </w:rPr>
            </w:pPr>
            <w:r>
              <w:rPr>
                <w:b/>
                <w:sz w:val="21"/>
              </w:rPr>
              <w:t xml:space="preserve">《中华人民共和国海关企业信用管理暂行办法》（海关总署令第 </w:t>
            </w:r>
            <w:r>
              <w:rPr>
                <w:rFonts w:ascii="Times New Roman" w:eastAsia="Times New Roman"/>
                <w:b/>
                <w:sz w:val="21"/>
              </w:rPr>
              <w:t xml:space="preserve">225 </w:t>
            </w:r>
            <w:r>
              <w:rPr>
                <w:b/>
                <w:sz w:val="21"/>
              </w:rPr>
              <w:t>号）</w:t>
            </w:r>
          </w:p>
          <w:p>
            <w:pPr>
              <w:pStyle w:val="9"/>
              <w:spacing w:before="43"/>
              <w:ind w:left="528"/>
              <w:rPr>
                <w:sz w:val="21"/>
              </w:rPr>
            </w:pPr>
            <w:r>
              <w:rPr>
                <w:sz w:val="21"/>
              </w:rPr>
              <w:t>第二条 海关注册登记企业信用信息的采集、公示，企业信用状况的认定、管理等适用本办法。</w:t>
            </w:r>
          </w:p>
          <w:p>
            <w:pPr>
              <w:pStyle w:val="9"/>
              <w:spacing w:before="43" w:line="278" w:lineRule="auto"/>
              <w:ind w:right="98" w:firstLine="420"/>
              <w:rPr>
                <w:sz w:val="21"/>
              </w:rPr>
            </w:pPr>
            <w:r>
              <w:rPr>
                <w:sz w:val="21"/>
              </w:rPr>
              <w:t>第五条 海关根据社会信用体系建设和国际合作需要，与国家有关部门以及其他国家或者地区海关建立合作机制，推进信息互换、监管互认、执法互助。</w:t>
            </w:r>
          </w:p>
          <w:p>
            <w:pPr>
              <w:pStyle w:val="9"/>
              <w:spacing w:line="269" w:lineRule="exact"/>
              <w:ind w:left="528"/>
              <w:rPr>
                <w:sz w:val="21"/>
              </w:rPr>
            </w:pPr>
            <w:r>
              <w:rPr>
                <w:sz w:val="21"/>
              </w:rPr>
              <w:t>第七条 海关应当在保护国家秘密、商业秘密和个人隐私的前提下，公示企业下列信用信息：</w:t>
            </w:r>
          </w:p>
          <w:p>
            <w:pPr>
              <w:pStyle w:val="9"/>
              <w:spacing w:before="43"/>
              <w:ind w:left="422"/>
              <w:rPr>
                <w:sz w:val="21"/>
              </w:rPr>
            </w:pPr>
            <w:r>
              <w:rPr>
                <w:sz w:val="21"/>
              </w:rPr>
              <w:t>（一）企业在海关注册登记信息；</w:t>
            </w:r>
          </w:p>
          <w:p>
            <w:pPr>
              <w:pStyle w:val="9"/>
              <w:spacing w:before="43"/>
              <w:ind w:left="422"/>
              <w:rPr>
                <w:sz w:val="21"/>
              </w:rPr>
            </w:pPr>
            <w:r>
              <w:rPr>
                <w:sz w:val="21"/>
              </w:rPr>
              <w:t>（二）海关对企业信用状况的认定结果；</w:t>
            </w:r>
          </w:p>
          <w:p>
            <w:pPr>
              <w:pStyle w:val="9"/>
              <w:spacing w:before="43"/>
              <w:ind w:left="422"/>
              <w:rPr>
                <w:sz w:val="21"/>
              </w:rPr>
            </w:pPr>
            <w:r>
              <w:rPr>
                <w:sz w:val="21"/>
              </w:rPr>
              <w:t>（三）企业行政处罚信息；</w:t>
            </w:r>
          </w:p>
          <w:p>
            <w:pPr>
              <w:pStyle w:val="9"/>
              <w:spacing w:before="43"/>
              <w:ind w:left="422"/>
              <w:rPr>
                <w:sz w:val="21"/>
              </w:rPr>
            </w:pPr>
            <w:r>
              <w:rPr>
                <w:sz w:val="21"/>
              </w:rPr>
              <w:t>（四）其他应当公示的企业信息。</w:t>
            </w:r>
          </w:p>
          <w:p>
            <w:pPr>
              <w:pStyle w:val="9"/>
              <w:spacing w:before="42"/>
              <w:ind w:left="528"/>
              <w:rPr>
                <w:sz w:val="21"/>
              </w:rPr>
            </w:pPr>
            <w:r>
              <w:rPr>
                <w:sz w:val="21"/>
              </w:rPr>
              <w:t>第十条 企业有下列情形之一的，海关认定为失信企业：</w:t>
            </w:r>
          </w:p>
          <w:p>
            <w:pPr>
              <w:pStyle w:val="9"/>
              <w:spacing w:before="43"/>
              <w:ind w:left="422"/>
              <w:rPr>
                <w:sz w:val="21"/>
              </w:rPr>
            </w:pPr>
            <w:r>
              <w:rPr>
                <w:sz w:val="21"/>
              </w:rPr>
              <w:t>（一）有走私犯罪或者走私行为的；</w:t>
            </w:r>
          </w:p>
          <w:p>
            <w:pPr>
              <w:pStyle w:val="9"/>
              <w:spacing w:before="43"/>
              <w:ind w:left="422"/>
              <w:rPr>
                <w:sz w:val="21"/>
              </w:rPr>
            </w:pPr>
            <w:r>
              <w:rPr>
                <w:sz w:val="21"/>
              </w:rPr>
              <w:t>（</w:t>
            </w:r>
            <w:r>
              <w:rPr>
                <w:spacing w:val="4"/>
                <w:sz w:val="21"/>
              </w:rPr>
              <w:t>二</w:t>
            </w:r>
            <w:r>
              <w:rPr>
                <w:sz w:val="21"/>
              </w:rPr>
              <w:t>）</w:t>
            </w:r>
            <w:r>
              <w:rPr>
                <w:spacing w:val="-8"/>
                <w:sz w:val="21"/>
              </w:rPr>
              <w:t xml:space="preserve">非报关企业 </w:t>
            </w:r>
            <w:r>
              <w:rPr>
                <w:rFonts w:ascii="Times New Roman" w:eastAsia="Times New Roman"/>
                <w:sz w:val="21"/>
              </w:rPr>
              <w:t>1</w:t>
            </w:r>
            <w:r>
              <w:rPr>
                <w:rFonts w:ascii="Times New Roman" w:eastAsia="Times New Roman"/>
                <w:spacing w:val="9"/>
                <w:sz w:val="21"/>
              </w:rPr>
              <w:t xml:space="preserve"> </w:t>
            </w:r>
            <w:r>
              <w:rPr>
                <w:sz w:val="21"/>
              </w:rPr>
              <w:t>年内违反海关监管规定行为次数超过上年度报关单、进出境备案清单等相关单证总</w:t>
            </w:r>
          </w:p>
          <w:p>
            <w:pPr>
              <w:pStyle w:val="9"/>
              <w:spacing w:before="43"/>
              <w:rPr>
                <w:sz w:val="21"/>
              </w:rPr>
            </w:pPr>
            <w:r>
              <w:rPr>
                <w:spacing w:val="-3"/>
                <w:sz w:val="21"/>
              </w:rPr>
              <w:t xml:space="preserve">票数千分之一且被海关行政处罚金额超过 </w:t>
            </w:r>
            <w:r>
              <w:rPr>
                <w:rFonts w:ascii="Times New Roman" w:eastAsia="Times New Roman"/>
                <w:sz w:val="21"/>
              </w:rPr>
              <w:t>10</w:t>
            </w:r>
            <w:r>
              <w:rPr>
                <w:rFonts w:ascii="Times New Roman" w:eastAsia="Times New Roman"/>
                <w:spacing w:val="4"/>
                <w:sz w:val="21"/>
              </w:rPr>
              <w:t xml:space="preserve"> </w:t>
            </w:r>
            <w:r>
              <w:rPr>
                <w:spacing w:val="-6"/>
                <w:sz w:val="21"/>
              </w:rPr>
              <w:t xml:space="preserve">万元的违规行为 </w:t>
            </w:r>
            <w:r>
              <w:rPr>
                <w:rFonts w:ascii="Times New Roman" w:eastAsia="Times New Roman"/>
                <w:sz w:val="21"/>
              </w:rPr>
              <w:t>2</w:t>
            </w:r>
            <w:r>
              <w:rPr>
                <w:rFonts w:ascii="Times New Roman" w:eastAsia="Times New Roman"/>
                <w:spacing w:val="6"/>
                <w:sz w:val="21"/>
              </w:rPr>
              <w:t xml:space="preserve"> </w:t>
            </w:r>
            <w:r>
              <w:rPr>
                <w:sz w:val="21"/>
              </w:rPr>
              <w:t>次以上的，或者被海关行政处罚金额累计超</w:t>
            </w:r>
          </w:p>
          <w:p>
            <w:pPr>
              <w:pStyle w:val="9"/>
              <w:spacing w:before="43"/>
              <w:rPr>
                <w:sz w:val="21"/>
              </w:rPr>
            </w:pPr>
            <w:r>
              <w:rPr>
                <w:spacing w:val="-30"/>
                <w:sz w:val="21"/>
              </w:rPr>
              <w:t xml:space="preserve">过 </w:t>
            </w:r>
            <w:r>
              <w:rPr>
                <w:rFonts w:ascii="Times New Roman" w:eastAsia="Times New Roman"/>
                <w:sz w:val="21"/>
              </w:rPr>
              <w:t>100</w:t>
            </w:r>
            <w:r>
              <w:rPr>
                <w:rFonts w:ascii="Times New Roman" w:eastAsia="Times New Roman"/>
                <w:spacing w:val="-5"/>
                <w:sz w:val="21"/>
              </w:rPr>
              <w:t xml:space="preserve"> </w:t>
            </w:r>
            <w:r>
              <w:rPr>
                <w:spacing w:val="-10"/>
                <w:sz w:val="21"/>
              </w:rPr>
              <w:t xml:space="preserve">万元的；报关企业 </w:t>
            </w:r>
            <w:r>
              <w:rPr>
                <w:rFonts w:ascii="Times New Roman" w:eastAsia="Times New Roman"/>
                <w:sz w:val="21"/>
              </w:rPr>
              <w:t>1</w:t>
            </w:r>
            <w:r>
              <w:rPr>
                <w:rFonts w:ascii="Times New Roman" w:eastAsia="Times New Roman"/>
                <w:spacing w:val="-4"/>
                <w:sz w:val="21"/>
              </w:rPr>
              <w:t xml:space="preserve"> </w:t>
            </w:r>
            <w:r>
              <w:rPr>
                <w:spacing w:val="-1"/>
                <w:sz w:val="21"/>
              </w:rPr>
              <w:t>年内违反海关监管规定行为次数超过上年度报关单、进出境备案清单总票数万分</w:t>
            </w:r>
          </w:p>
          <w:p>
            <w:pPr>
              <w:pStyle w:val="9"/>
              <w:spacing w:before="43"/>
              <w:rPr>
                <w:sz w:val="21"/>
              </w:rPr>
            </w:pPr>
            <w:r>
              <w:rPr>
                <w:sz w:val="21"/>
              </w:rPr>
              <w:t xml:space="preserve">之五的，或者被海关行政处罚金额累计超过 </w:t>
            </w:r>
            <w:r>
              <w:rPr>
                <w:rFonts w:ascii="Times New Roman" w:eastAsia="Times New Roman"/>
                <w:sz w:val="21"/>
              </w:rPr>
              <w:t xml:space="preserve">10 </w:t>
            </w:r>
            <w:r>
              <w:rPr>
                <w:sz w:val="21"/>
              </w:rPr>
              <w:t>万元的；</w:t>
            </w:r>
          </w:p>
          <w:p>
            <w:pPr>
              <w:pStyle w:val="9"/>
              <w:spacing w:before="43"/>
              <w:ind w:left="422"/>
              <w:rPr>
                <w:sz w:val="21"/>
              </w:rPr>
            </w:pPr>
            <w:r>
              <w:rPr>
                <w:sz w:val="21"/>
              </w:rPr>
              <w:t>（三）拖欠应缴税款、应缴罚没款项的；</w:t>
            </w:r>
          </w:p>
          <w:p>
            <w:pPr>
              <w:pStyle w:val="9"/>
              <w:spacing w:before="43"/>
              <w:ind w:left="422"/>
              <w:rPr>
                <w:sz w:val="21"/>
              </w:rPr>
            </w:pPr>
            <w:r>
              <w:rPr>
                <w:sz w:val="21"/>
              </w:rPr>
              <w:t xml:space="preserve">（四）上一季度报关差错率高于同期全国平均报关差错率 </w:t>
            </w:r>
            <w:r>
              <w:rPr>
                <w:rFonts w:ascii="Times New Roman" w:eastAsia="Times New Roman"/>
                <w:sz w:val="21"/>
              </w:rPr>
              <w:t xml:space="preserve">1 </w:t>
            </w:r>
            <w:r>
              <w:rPr>
                <w:sz w:val="21"/>
              </w:rPr>
              <w:t>倍以上的；</w:t>
            </w:r>
          </w:p>
          <w:p>
            <w:pPr>
              <w:pStyle w:val="9"/>
              <w:spacing w:before="43"/>
              <w:ind w:left="422"/>
              <w:rPr>
                <w:sz w:val="21"/>
              </w:rPr>
            </w:pPr>
            <w:r>
              <w:rPr>
                <w:sz w:val="21"/>
              </w:rPr>
              <w:t>（五）经过实地查看，确认企业登记的信息失实且无法与企业取得联系的；</w:t>
            </w:r>
          </w:p>
          <w:p>
            <w:pPr>
              <w:pStyle w:val="9"/>
              <w:spacing w:before="43"/>
              <w:ind w:left="422"/>
              <w:rPr>
                <w:sz w:val="21"/>
              </w:rPr>
            </w:pPr>
            <w:r>
              <w:rPr>
                <w:sz w:val="21"/>
              </w:rPr>
              <w:t>（六）被海关依法暂停从事报关业务的；</w:t>
            </w:r>
          </w:p>
          <w:p>
            <w:pPr>
              <w:pStyle w:val="9"/>
              <w:spacing w:before="43"/>
              <w:ind w:left="422"/>
              <w:rPr>
                <w:sz w:val="21"/>
              </w:rPr>
            </w:pPr>
            <w:r>
              <w:rPr>
                <w:sz w:val="21"/>
              </w:rPr>
              <w:t>（七）涉嫌走私、违反海关监管规定拒不配合海关进行调查的；</w:t>
            </w:r>
          </w:p>
          <w:p>
            <w:pPr>
              <w:pStyle w:val="9"/>
              <w:spacing w:before="43"/>
              <w:ind w:left="422"/>
              <w:rPr>
                <w:sz w:val="21"/>
              </w:rPr>
            </w:pPr>
            <w:r>
              <w:rPr>
                <w:w w:val="95"/>
                <w:sz w:val="21"/>
              </w:rPr>
              <w:t>（九）弄虚作假、伪造企业信用信息的；</w:t>
            </w:r>
          </w:p>
          <w:p>
            <w:pPr>
              <w:pStyle w:val="9"/>
              <w:spacing w:before="43"/>
              <w:ind w:left="422"/>
              <w:rPr>
                <w:sz w:val="21"/>
              </w:rPr>
            </w:pPr>
            <w:r>
              <w:rPr>
                <w:w w:val="95"/>
                <w:sz w:val="21"/>
              </w:rPr>
              <w:t>（十）其他海关认定为失信企业的情形。</w:t>
            </w:r>
          </w:p>
          <w:p>
            <w:pPr>
              <w:pStyle w:val="9"/>
              <w:spacing w:before="43"/>
              <w:ind w:left="528"/>
              <w:rPr>
                <w:sz w:val="21"/>
              </w:rPr>
            </w:pPr>
            <w:r>
              <w:rPr>
                <w:sz w:val="21"/>
              </w:rPr>
              <w:t>第十四条 企业有下列情形之一的，海关应当终止认证：</w:t>
            </w:r>
          </w:p>
          <w:p>
            <w:pPr>
              <w:pStyle w:val="9"/>
              <w:spacing w:before="43"/>
              <w:ind w:left="422"/>
              <w:rPr>
                <w:sz w:val="21"/>
              </w:rPr>
            </w:pPr>
            <w:r>
              <w:rPr>
                <w:sz w:val="21"/>
              </w:rPr>
              <w:t>（一）发生涉嫌走私或者违反海关监管规定的行为被海关立案侦查或者调查的；</w:t>
            </w:r>
          </w:p>
          <w:p>
            <w:pPr>
              <w:pStyle w:val="9"/>
              <w:spacing w:before="43"/>
              <w:ind w:left="422"/>
              <w:rPr>
                <w:sz w:val="21"/>
              </w:rPr>
            </w:pPr>
            <w:r>
              <w:rPr>
                <w:sz w:val="21"/>
              </w:rPr>
              <w:t>（二）主动撤回认证申请的；</w:t>
            </w:r>
          </w:p>
          <w:p>
            <w:pPr>
              <w:pStyle w:val="9"/>
              <w:spacing w:before="42" w:line="269" w:lineRule="exact"/>
              <w:ind w:left="422"/>
              <w:rPr>
                <w:sz w:val="21"/>
              </w:rPr>
            </w:pPr>
            <w:r>
              <w:rPr>
                <w:sz w:val="21"/>
              </w:rPr>
              <w:t>（三）其他应当终止认证的情形。</w:t>
            </w:r>
          </w:p>
        </w:tc>
        <w:tc>
          <w:tcPr>
            <w:tcW w:w="2500" w:type="dxa"/>
            <w:tcBorders>
              <w:bottom w:val="nil"/>
            </w:tcBorders>
          </w:tcPr>
          <w:p>
            <w:pPr>
              <w:pStyle w:val="9"/>
              <w:spacing w:before="21"/>
              <w:ind w:left="830"/>
              <w:rPr>
                <w:sz w:val="21"/>
              </w:rPr>
            </w:pPr>
            <w:r>
              <w:rPr>
                <w:sz w:val="21"/>
              </w:rPr>
              <w:t>海关总署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84" w:type="dxa"/>
            <w:tcBorders>
              <w:top w:val="nil"/>
              <w:bottom w:val="nil"/>
            </w:tcBorders>
          </w:tcPr>
          <w:p>
            <w:pPr>
              <w:pStyle w:val="9"/>
              <w:spacing w:line="240" w:lineRule="exact"/>
              <w:ind w:left="107"/>
              <w:rPr>
                <w:sz w:val="21"/>
              </w:rPr>
            </w:pPr>
            <w:r>
              <w:rPr>
                <w:sz w:val="21"/>
              </w:rPr>
              <w:t>业，申请适用</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海关认证企</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业管理的，不</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予通过认证；</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对已经成为</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认证企业的，</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按照规定下</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调企业信用</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2" w:hRule="atLeast"/>
        </w:trPr>
        <w:tc>
          <w:tcPr>
            <w:tcW w:w="1384" w:type="dxa"/>
            <w:tcBorders>
              <w:top w:val="nil"/>
            </w:tcBorders>
          </w:tcPr>
          <w:p>
            <w:pPr>
              <w:pStyle w:val="9"/>
              <w:spacing w:line="265" w:lineRule="exact"/>
              <w:ind w:left="107"/>
              <w:rPr>
                <w:sz w:val="21"/>
              </w:rPr>
            </w:pPr>
            <w:r>
              <w:rPr>
                <w:sz w:val="21"/>
              </w:rPr>
              <w:t>等级。</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20"/>
              </w:rPr>
            </w:pPr>
          </w:p>
        </w:tc>
      </w:tr>
    </w:tbl>
    <w:p>
      <w:pPr>
        <w:spacing w:after="0"/>
        <w:rPr>
          <w:rFonts w:ascii="Times New Roman"/>
          <w:sz w:val="20"/>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4" w:hRule="atLeast"/>
        </w:trPr>
        <w:tc>
          <w:tcPr>
            <w:tcW w:w="1384" w:type="dxa"/>
          </w:tcPr>
          <w:p>
            <w:pPr>
              <w:pStyle w:val="9"/>
              <w:ind w:left="0"/>
              <w:rPr>
                <w:rFonts w:ascii="Times New Roman"/>
                <w:sz w:val="20"/>
              </w:rPr>
            </w:pPr>
          </w:p>
        </w:tc>
        <w:tc>
          <w:tcPr>
            <w:tcW w:w="10064" w:type="dxa"/>
          </w:tcPr>
          <w:p>
            <w:pPr>
              <w:pStyle w:val="9"/>
              <w:spacing w:before="21"/>
              <w:jc w:val="both"/>
              <w:rPr>
                <w:b/>
                <w:sz w:val="21"/>
              </w:rPr>
            </w:pPr>
            <w:r>
              <w:rPr>
                <w:b/>
                <w:sz w:val="21"/>
              </w:rPr>
              <w:t>《关于公布</w:t>
            </w:r>
            <w:r>
              <w:rPr>
                <w:rFonts w:ascii="Times New Roman" w:eastAsia="Times New Roman"/>
                <w:b/>
                <w:sz w:val="21"/>
              </w:rPr>
              <w:t>&lt;</w:t>
            </w:r>
            <w:r>
              <w:rPr>
                <w:b/>
                <w:sz w:val="21"/>
              </w:rPr>
              <w:t>海关认证企业标准</w:t>
            </w:r>
            <w:r>
              <w:rPr>
                <w:rFonts w:ascii="Times New Roman" w:eastAsia="Times New Roman"/>
                <w:b/>
                <w:sz w:val="21"/>
              </w:rPr>
              <w:t>&gt;</w:t>
            </w:r>
            <w:r>
              <w:rPr>
                <w:b/>
                <w:sz w:val="21"/>
              </w:rPr>
              <w:t>的公告》（海关总署公告〔</w:t>
            </w:r>
            <w:r>
              <w:rPr>
                <w:rFonts w:ascii="Times New Roman" w:eastAsia="Times New Roman"/>
                <w:b/>
                <w:sz w:val="21"/>
              </w:rPr>
              <w:t>2014</w:t>
            </w:r>
            <w:r>
              <w:rPr>
                <w:b/>
                <w:sz w:val="21"/>
              </w:rPr>
              <w:t>〕</w:t>
            </w:r>
            <w:r>
              <w:rPr>
                <w:rFonts w:ascii="Times New Roman" w:eastAsia="Times New Roman"/>
                <w:b/>
                <w:sz w:val="21"/>
              </w:rPr>
              <w:t xml:space="preserve">82 </w:t>
            </w:r>
            <w:r>
              <w:rPr>
                <w:b/>
                <w:sz w:val="21"/>
              </w:rPr>
              <w:t>号）</w:t>
            </w:r>
          </w:p>
          <w:p>
            <w:pPr>
              <w:pStyle w:val="9"/>
              <w:spacing w:before="43" w:line="278" w:lineRule="auto"/>
              <w:ind w:right="93" w:firstLine="410"/>
              <w:jc w:val="both"/>
              <w:rPr>
                <w:sz w:val="21"/>
              </w:rPr>
            </w:pPr>
            <w:r>
              <w:rPr>
                <w:sz w:val="21"/>
              </w:rPr>
              <w:t>第九条 认证企业外部信用上要求企业或者其法定代表人（</w:t>
            </w:r>
            <w:r>
              <w:rPr>
                <w:spacing w:val="1"/>
                <w:sz w:val="21"/>
              </w:rPr>
              <w:t>负责人</w:t>
            </w:r>
            <w:r>
              <w:rPr>
                <w:sz w:val="21"/>
              </w:rPr>
              <w:t>）、负责关务的高级管理人员、财务</w:t>
            </w:r>
            <w:r>
              <w:rPr>
                <w:spacing w:val="-11"/>
                <w:sz w:val="21"/>
              </w:rPr>
              <w:t xml:space="preserve">负责人连续 </w:t>
            </w:r>
            <w:r>
              <w:rPr>
                <w:rFonts w:ascii="Times New Roman" w:eastAsia="Times New Roman"/>
                <w:sz w:val="21"/>
              </w:rPr>
              <w:t xml:space="preserve">1 </w:t>
            </w:r>
            <w:r>
              <w:rPr>
                <w:spacing w:val="-3"/>
                <w:sz w:val="21"/>
              </w:rPr>
              <w:t>年在工商、商务、税务、银行、外汇、检验检疫、公安、检察院、法院等部门未被列入经营异常名录、失信企业或者人员名单、黑名单企业、人员。</w:t>
            </w:r>
          </w:p>
          <w:p>
            <w:pPr>
              <w:pStyle w:val="9"/>
              <w:spacing w:line="269" w:lineRule="exact"/>
              <w:jc w:val="both"/>
              <w:rPr>
                <w:b/>
                <w:sz w:val="21"/>
              </w:rPr>
            </w:pPr>
            <w:r>
              <w:rPr>
                <w:b/>
                <w:sz w:val="21"/>
              </w:rPr>
              <w:t>《国务院关于印发社会信用体系建设规划纲要（</w:t>
            </w:r>
            <w:r>
              <w:rPr>
                <w:rFonts w:ascii="Times New Roman" w:eastAsia="Times New Roman"/>
                <w:b/>
                <w:sz w:val="21"/>
              </w:rPr>
              <w:t xml:space="preserve">2014-2020 </w:t>
            </w:r>
            <w:r>
              <w:rPr>
                <w:b/>
                <w:sz w:val="21"/>
              </w:rPr>
              <w:t>年）的通知》（国发〔</w:t>
            </w:r>
            <w:r>
              <w:rPr>
                <w:rFonts w:ascii="Times New Roman" w:eastAsia="Times New Roman"/>
                <w:b/>
                <w:sz w:val="21"/>
              </w:rPr>
              <w:t>2014</w:t>
            </w:r>
            <w:r>
              <w:rPr>
                <w:b/>
                <w:sz w:val="21"/>
              </w:rPr>
              <w:t>〕</w:t>
            </w:r>
            <w:r>
              <w:rPr>
                <w:rFonts w:ascii="Times New Roman" w:eastAsia="Times New Roman"/>
                <w:b/>
                <w:sz w:val="21"/>
              </w:rPr>
              <w:t xml:space="preserve">21 </w:t>
            </w:r>
            <w:r>
              <w:rPr>
                <w:b/>
                <w:sz w:val="21"/>
              </w:rPr>
              <w:t>号）</w:t>
            </w:r>
          </w:p>
          <w:p>
            <w:pPr>
              <w:pStyle w:val="9"/>
              <w:spacing w:before="2" w:line="310" w:lineRule="atLeast"/>
              <w:ind w:right="27" w:firstLine="420"/>
              <w:rPr>
                <w:sz w:val="21"/>
              </w:rPr>
            </w:pPr>
            <w:r>
              <w:rPr>
                <w:w w:val="95"/>
                <w:sz w:val="21"/>
              </w:rPr>
              <w:t>构建守信激励和失信惩戒机制。加强对失信主体的约束和惩戒。强化行政监管性约束和惩戒。在现有行</w:t>
            </w:r>
            <w:r>
              <w:rPr>
                <w:sz w:val="21"/>
              </w:rPr>
              <w:t>政处罚措施的基础上，健全失信惩戒制度，建立各行业黑名单制度和市场退出机制。</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384" w:type="dxa"/>
            <w:tcBorders>
              <w:bottom w:val="nil"/>
            </w:tcBorders>
          </w:tcPr>
          <w:p>
            <w:pPr>
              <w:pStyle w:val="9"/>
              <w:spacing w:before="1"/>
              <w:ind w:left="107"/>
              <w:rPr>
                <w:sz w:val="21"/>
              </w:rPr>
            </w:pPr>
            <w:r>
              <w:rPr>
                <w:rFonts w:ascii="Times New Roman" w:eastAsia="Times New Roman"/>
                <w:sz w:val="21"/>
              </w:rPr>
              <w:t>10.</w:t>
            </w:r>
            <w:r>
              <w:rPr>
                <w:sz w:val="21"/>
              </w:rPr>
              <w:t>办理海关</w:t>
            </w:r>
          </w:p>
          <w:p>
            <w:pPr>
              <w:pStyle w:val="9"/>
              <w:spacing w:before="2" w:line="245" w:lineRule="exact"/>
              <w:ind w:left="107"/>
              <w:rPr>
                <w:sz w:val="21"/>
              </w:rPr>
            </w:pPr>
            <w:r>
              <w:rPr>
                <w:sz w:val="21"/>
              </w:rPr>
              <w:t>相关业务时，</w:t>
            </w:r>
          </w:p>
        </w:tc>
        <w:tc>
          <w:tcPr>
            <w:tcW w:w="10064" w:type="dxa"/>
            <w:vMerge w:val="restart"/>
          </w:tcPr>
          <w:p>
            <w:pPr>
              <w:pStyle w:val="9"/>
              <w:spacing w:before="20"/>
              <w:rPr>
                <w:b/>
                <w:sz w:val="21"/>
              </w:rPr>
            </w:pPr>
            <w:r>
              <w:rPr>
                <w:b/>
                <w:sz w:val="21"/>
              </w:rPr>
              <w:t xml:space="preserve">《中华人民共和国海关企业信用管理暂行办法》（海关总署令第 </w:t>
            </w:r>
            <w:r>
              <w:rPr>
                <w:rFonts w:ascii="Times New Roman" w:eastAsia="Times New Roman"/>
                <w:b/>
                <w:sz w:val="21"/>
              </w:rPr>
              <w:t xml:space="preserve">225 </w:t>
            </w:r>
            <w:r>
              <w:rPr>
                <w:b/>
                <w:sz w:val="21"/>
              </w:rPr>
              <w:t>号）</w:t>
            </w:r>
          </w:p>
          <w:p>
            <w:pPr>
              <w:pStyle w:val="9"/>
              <w:spacing w:before="43" w:line="278" w:lineRule="auto"/>
              <w:ind w:right="-15" w:firstLine="420"/>
              <w:rPr>
                <w:sz w:val="21"/>
              </w:rPr>
            </w:pPr>
            <w:r>
              <w:rPr>
                <w:spacing w:val="-6"/>
                <w:sz w:val="21"/>
              </w:rPr>
              <w:t>第三条 海关根据企业信用状况将企业认定为认证企业、一般信用企业和失信企业，按照诚信守法便利、失信违法惩戒原则，分别适用相应的管理措施。</w:t>
            </w:r>
          </w:p>
        </w:tc>
        <w:tc>
          <w:tcPr>
            <w:tcW w:w="2500" w:type="dxa"/>
            <w:tcBorders>
              <w:bottom w:val="nil"/>
            </w:tcBorders>
          </w:tcPr>
          <w:p>
            <w:pPr>
              <w:pStyle w:val="9"/>
              <w:spacing w:before="20"/>
              <w:ind w:left="79" w:right="71"/>
              <w:jc w:val="center"/>
              <w:rPr>
                <w:sz w:val="21"/>
              </w:rPr>
            </w:pPr>
            <w:r>
              <w:rPr>
                <w:sz w:val="21"/>
              </w:rPr>
              <w:t>海关总署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对其进出口</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hRule="atLeast"/>
        </w:trPr>
        <w:tc>
          <w:tcPr>
            <w:tcW w:w="1384" w:type="dxa"/>
            <w:tcBorders>
              <w:top w:val="nil"/>
              <w:bottom w:val="nil"/>
            </w:tcBorders>
          </w:tcPr>
          <w:p>
            <w:pPr>
              <w:pStyle w:val="9"/>
              <w:spacing w:line="244" w:lineRule="exact"/>
              <w:ind w:left="107"/>
              <w:rPr>
                <w:sz w:val="21"/>
              </w:rPr>
            </w:pPr>
            <w:r>
              <w:rPr>
                <w:sz w:val="21"/>
              </w:rPr>
              <w:t>货物实施严</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密监管，加强</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单证审核、布</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控查验、加工</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trPr>
        <w:tc>
          <w:tcPr>
            <w:tcW w:w="1384" w:type="dxa"/>
            <w:tcBorders>
              <w:top w:val="nil"/>
              <w:bottom w:val="nil"/>
            </w:tcBorders>
          </w:tcPr>
          <w:p>
            <w:pPr>
              <w:pStyle w:val="9"/>
              <w:spacing w:line="241" w:lineRule="exact"/>
              <w:ind w:left="107"/>
              <w:rPr>
                <w:sz w:val="21"/>
              </w:rPr>
            </w:pPr>
            <w:r>
              <w:rPr>
                <w:sz w:val="21"/>
              </w:rPr>
              <w:t>贸易担保征</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收、统计监督</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核查或后续</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384" w:type="dxa"/>
            <w:tcBorders>
              <w:top w:val="nil"/>
            </w:tcBorders>
          </w:tcPr>
          <w:p>
            <w:pPr>
              <w:pStyle w:val="9"/>
              <w:spacing w:line="249" w:lineRule="exact"/>
              <w:ind w:left="107"/>
              <w:rPr>
                <w:sz w:val="21"/>
              </w:rPr>
            </w:pPr>
            <w:r>
              <w:rPr>
                <w:sz w:val="21"/>
              </w:rPr>
              <w:t>稽查。</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hRule="atLeast"/>
        </w:trPr>
        <w:tc>
          <w:tcPr>
            <w:tcW w:w="1384" w:type="dxa"/>
            <w:tcBorders>
              <w:bottom w:val="nil"/>
            </w:tcBorders>
          </w:tcPr>
          <w:p>
            <w:pPr>
              <w:pStyle w:val="9"/>
              <w:ind w:left="107"/>
              <w:rPr>
                <w:sz w:val="21"/>
              </w:rPr>
            </w:pPr>
            <w:r>
              <w:rPr>
                <w:rFonts w:ascii="Times New Roman" w:eastAsia="Times New Roman"/>
                <w:sz w:val="21"/>
              </w:rPr>
              <w:t>11.</w:t>
            </w:r>
            <w:r>
              <w:rPr>
                <w:sz w:val="21"/>
              </w:rPr>
              <w:t>对严重失</w:t>
            </w:r>
          </w:p>
          <w:p>
            <w:pPr>
              <w:pStyle w:val="9"/>
              <w:spacing w:before="2" w:line="247" w:lineRule="exact"/>
              <w:ind w:left="107"/>
              <w:rPr>
                <w:sz w:val="21"/>
              </w:rPr>
            </w:pPr>
            <w:r>
              <w:rPr>
                <w:sz w:val="21"/>
              </w:rPr>
              <w:t>信责任主体，</w:t>
            </w:r>
          </w:p>
        </w:tc>
        <w:tc>
          <w:tcPr>
            <w:tcW w:w="10064" w:type="dxa"/>
            <w:vMerge w:val="restart"/>
          </w:tcPr>
          <w:p>
            <w:pPr>
              <w:pStyle w:val="9"/>
              <w:spacing w:before="19" w:line="278" w:lineRule="auto"/>
              <w:ind w:right="58"/>
              <w:rPr>
                <w:b/>
                <w:sz w:val="21"/>
              </w:rPr>
            </w:pPr>
            <w:r>
              <w:rPr>
                <w:b/>
                <w:w w:val="95"/>
                <w:sz w:val="21"/>
              </w:rPr>
              <w:t>《中共中央办公厅国务院办公厅印发关于</w:t>
            </w:r>
            <w:r>
              <w:rPr>
                <w:rFonts w:ascii="Times New Roman" w:eastAsia="Times New Roman"/>
                <w:b/>
                <w:w w:val="95"/>
                <w:sz w:val="21"/>
              </w:rPr>
              <w:t>&lt;</w:t>
            </w:r>
            <w:r>
              <w:rPr>
                <w:b/>
                <w:w w:val="95"/>
                <w:sz w:val="21"/>
              </w:rPr>
              <w:t>加快推进失信被执行人信用监督、警示和惩戒机制建设的意见</w:t>
            </w:r>
            <w:r>
              <w:rPr>
                <w:rFonts w:ascii="Times New Roman" w:eastAsia="Times New Roman"/>
                <w:b/>
                <w:w w:val="95"/>
                <w:sz w:val="21"/>
              </w:rPr>
              <w:t xml:space="preserve">&gt;     </w:t>
            </w:r>
            <w:r>
              <w:rPr>
                <w:b/>
                <w:sz w:val="21"/>
              </w:rPr>
              <w:t>的通知》（中办发〔</w:t>
            </w:r>
            <w:r>
              <w:rPr>
                <w:rFonts w:ascii="Times New Roman" w:eastAsia="Times New Roman"/>
                <w:b/>
                <w:sz w:val="21"/>
              </w:rPr>
              <w:t>2016</w:t>
            </w:r>
            <w:r>
              <w:rPr>
                <w:b/>
                <w:sz w:val="21"/>
              </w:rPr>
              <w:t>〕</w:t>
            </w:r>
            <w:r>
              <w:rPr>
                <w:rFonts w:ascii="Times New Roman" w:eastAsia="Times New Roman"/>
                <w:b/>
                <w:sz w:val="21"/>
              </w:rPr>
              <w:t xml:space="preserve">64 </w:t>
            </w:r>
            <w:r>
              <w:rPr>
                <w:b/>
                <w:sz w:val="21"/>
              </w:rPr>
              <w:t>号）</w:t>
            </w:r>
          </w:p>
          <w:p>
            <w:pPr>
              <w:pStyle w:val="9"/>
              <w:spacing w:line="269" w:lineRule="exact"/>
              <w:ind w:left="518"/>
              <w:rPr>
                <w:sz w:val="21"/>
              </w:rPr>
            </w:pPr>
            <w:r>
              <w:rPr>
                <w:sz w:val="21"/>
              </w:rPr>
              <w:t>二、加强联合惩戒</w:t>
            </w:r>
          </w:p>
          <w:p>
            <w:pPr>
              <w:pStyle w:val="9"/>
              <w:spacing w:before="43"/>
              <w:ind w:left="518"/>
              <w:rPr>
                <w:sz w:val="21"/>
              </w:rPr>
            </w:pPr>
            <w:r>
              <w:rPr>
                <w:sz w:val="21"/>
              </w:rPr>
              <w:t>（四）准入资格限制</w:t>
            </w:r>
          </w:p>
          <w:p>
            <w:pPr>
              <w:pStyle w:val="9"/>
              <w:spacing w:before="43" w:line="278" w:lineRule="auto"/>
              <w:ind w:right="96" w:firstLine="516"/>
              <w:jc w:val="both"/>
              <w:rPr>
                <w:sz w:val="21"/>
              </w:rPr>
            </w:pPr>
            <w:r>
              <w:rPr>
                <w:sz w:val="21"/>
              </w:rPr>
              <w:t>从事药品、食品等行业限制。对失信被执行人从事药品、食品安全行业从严审批；限制失信被执行人</w:t>
            </w:r>
            <w:r>
              <w:rPr>
                <w:spacing w:val="-4"/>
                <w:w w:val="95"/>
                <w:sz w:val="21"/>
              </w:rPr>
              <w:t>从事危险化学品生产经营储存、烟花爆竹生产经营、矿山生产和安全评价、认证、检测、检验等行业；限制</w:t>
            </w:r>
            <w:r>
              <w:rPr>
                <w:spacing w:val="-5"/>
                <w:w w:val="95"/>
                <w:sz w:val="21"/>
              </w:rPr>
              <w:t>失信被执行人担任上述行业单位主要负责人及董事、监事、高级管理人员，已担任相关职务的，按规定程序</w:t>
            </w:r>
            <w:r>
              <w:rPr>
                <w:spacing w:val="-5"/>
                <w:sz w:val="21"/>
              </w:rPr>
              <w:t>要求予以变更。</w:t>
            </w:r>
          </w:p>
          <w:p>
            <w:pPr>
              <w:pStyle w:val="9"/>
              <w:spacing w:line="269" w:lineRule="exact"/>
              <w:rPr>
                <w:b/>
                <w:sz w:val="21"/>
              </w:rPr>
            </w:pPr>
            <w:r>
              <w:rPr>
                <w:b/>
                <w:w w:val="95"/>
                <w:sz w:val="21"/>
              </w:rPr>
              <w:t>《国务院关于建立完善守信联合激励和失信联合惩戒制度加快推进社会信用诚信建设的指导意见》（国发</w:t>
            </w:r>
          </w:p>
        </w:tc>
        <w:tc>
          <w:tcPr>
            <w:tcW w:w="2500" w:type="dxa"/>
            <w:tcBorders>
              <w:bottom w:val="nil"/>
            </w:tcBorders>
          </w:tcPr>
          <w:p>
            <w:pPr>
              <w:pStyle w:val="9"/>
              <w:spacing w:before="19"/>
              <w:ind w:left="76" w:right="71"/>
              <w:jc w:val="center"/>
              <w:rPr>
                <w:sz w:val="21"/>
              </w:rPr>
            </w:pPr>
            <w:r>
              <w:rPr>
                <w:sz w:val="21"/>
              </w:rPr>
              <w:t>国家市场监督管理总局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限制其取得</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认证机构资</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质；限制其获</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40" w:hRule="atLeast"/>
        </w:trPr>
        <w:tc>
          <w:tcPr>
            <w:tcW w:w="1384" w:type="dxa"/>
            <w:tcBorders>
              <w:top w:val="nil"/>
            </w:tcBorders>
          </w:tcPr>
          <w:p>
            <w:pPr>
              <w:pStyle w:val="9"/>
              <w:spacing w:line="265" w:lineRule="exact"/>
              <w:ind w:left="107"/>
              <w:rPr>
                <w:sz w:val="21"/>
              </w:rPr>
            </w:pPr>
            <w:r>
              <w:rPr>
                <w:sz w:val="21"/>
              </w:rPr>
              <w:t>得认证证书。</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20"/>
              </w:rPr>
            </w:pPr>
          </w:p>
        </w:tc>
      </w:tr>
    </w:tbl>
    <w:p>
      <w:pPr>
        <w:spacing w:after="0"/>
        <w:rPr>
          <w:rFonts w:ascii="Times New Roman"/>
          <w:sz w:val="20"/>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6" w:hRule="atLeast"/>
        </w:trPr>
        <w:tc>
          <w:tcPr>
            <w:tcW w:w="1384" w:type="dxa"/>
          </w:tcPr>
          <w:p>
            <w:pPr>
              <w:pStyle w:val="9"/>
              <w:ind w:left="0"/>
              <w:rPr>
                <w:rFonts w:ascii="Times New Roman"/>
                <w:sz w:val="20"/>
              </w:rPr>
            </w:pPr>
          </w:p>
        </w:tc>
        <w:tc>
          <w:tcPr>
            <w:tcW w:w="10064" w:type="dxa"/>
          </w:tcPr>
          <w:p>
            <w:pPr>
              <w:pStyle w:val="9"/>
              <w:spacing w:before="21"/>
              <w:rPr>
                <w:b/>
                <w:sz w:val="21"/>
              </w:rPr>
            </w:pPr>
            <w:r>
              <w:rPr>
                <w:b/>
                <w:sz w:val="21"/>
              </w:rPr>
              <w:t>〔</w:t>
            </w:r>
            <w:r>
              <w:rPr>
                <w:rFonts w:ascii="Times New Roman" w:eastAsia="Times New Roman"/>
                <w:b/>
                <w:sz w:val="21"/>
              </w:rPr>
              <w:t>2016</w:t>
            </w:r>
            <w:r>
              <w:rPr>
                <w:b/>
                <w:sz w:val="21"/>
              </w:rPr>
              <w:t>〕</w:t>
            </w:r>
            <w:r>
              <w:rPr>
                <w:rFonts w:ascii="Times New Roman" w:eastAsia="Times New Roman"/>
                <w:b/>
                <w:sz w:val="21"/>
              </w:rPr>
              <w:t xml:space="preserve">33 </w:t>
            </w:r>
            <w:r>
              <w:rPr>
                <w:b/>
                <w:sz w:val="21"/>
              </w:rPr>
              <w:t>号）</w:t>
            </w:r>
          </w:p>
          <w:p>
            <w:pPr>
              <w:pStyle w:val="9"/>
              <w:spacing w:before="43"/>
              <w:ind w:left="518"/>
              <w:rPr>
                <w:sz w:val="21"/>
              </w:rPr>
            </w:pPr>
            <w:r>
              <w:rPr>
                <w:sz w:val="21"/>
              </w:rPr>
              <w:t>三、健全约束和惩戒失信行为机制</w:t>
            </w:r>
          </w:p>
          <w:p>
            <w:pPr>
              <w:pStyle w:val="9"/>
              <w:spacing w:before="43" w:line="278" w:lineRule="auto"/>
              <w:ind w:right="32" w:firstLine="410"/>
              <w:rPr>
                <w:sz w:val="21"/>
              </w:rPr>
            </w:pPr>
            <w:r>
              <w:rPr>
                <w:w w:val="95"/>
                <w:sz w:val="21"/>
              </w:rPr>
              <w:t>（十）依法依规加强对失信行为的行政性约束和惩戒。对严重失信主体，各地区、各有关部门应将其列</w:t>
            </w:r>
            <w:r>
              <w:rPr>
                <w:sz w:val="21"/>
              </w:rPr>
              <w:t>为重点监管对象，依法依规采取行政性约束和惩戒措施。</w:t>
            </w:r>
          </w:p>
          <w:p>
            <w:pPr>
              <w:pStyle w:val="9"/>
              <w:spacing w:line="269" w:lineRule="exact"/>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43" w:line="278" w:lineRule="auto"/>
              <w:ind w:right="74" w:firstLine="410"/>
              <w:jc w:val="both"/>
              <w:rPr>
                <w:sz w:val="21"/>
              </w:rPr>
            </w:pPr>
            <w:r>
              <w:rPr>
                <w:sz w:val="21"/>
              </w:rPr>
              <w:t>（十五</w:t>
            </w:r>
            <w:r>
              <w:rPr>
                <w:spacing w:val="-5"/>
                <w:sz w:val="21"/>
              </w:rPr>
              <w:t>）</w:t>
            </w:r>
            <w:r>
              <w:rPr>
                <w:spacing w:val="-2"/>
                <w:sz w:val="21"/>
              </w:rPr>
              <w:t>建立健全守信激励和失信惩戒机制。将市场主体的信用信息作为实施行政管理的重要参考。根</w:t>
            </w:r>
            <w:r>
              <w:rPr>
                <w:spacing w:val="-5"/>
                <w:sz w:val="21"/>
              </w:rPr>
              <w:t>据市场主体信用状况实行分类分级、动态监管，建立健全经营异常名录制度，对违背市场竞争原则和侵犯消</w:t>
            </w:r>
            <w:r>
              <w:rPr>
                <w:spacing w:val="-7"/>
                <w:sz w:val="21"/>
              </w:rPr>
              <w:t>费者、劳动者合法权益的市场主体建立</w:t>
            </w:r>
            <w:r>
              <w:rPr>
                <w:rFonts w:ascii="Times New Roman" w:hAnsi="Times New Roman" w:eastAsia="Times New Roman"/>
                <w:sz w:val="21"/>
              </w:rPr>
              <w:t>“</w:t>
            </w:r>
            <w:r>
              <w:rPr>
                <w:sz w:val="21"/>
              </w:rPr>
              <w:t>黑名单</w:t>
            </w:r>
            <w:r>
              <w:rPr>
                <w:rFonts w:ascii="Times New Roman" w:hAnsi="Times New Roman" w:eastAsia="Times New Roman"/>
                <w:sz w:val="21"/>
              </w:rPr>
              <w:t>”</w:t>
            </w:r>
            <w:r>
              <w:rPr>
                <w:spacing w:val="-46"/>
                <w:sz w:val="21"/>
              </w:rPr>
              <w:t>制度。</w:t>
            </w:r>
            <w:r>
              <w:rPr>
                <w:sz w:val="21"/>
              </w:rPr>
              <w:t>（国家市场监督管理总局牵头负责</w:t>
            </w:r>
            <w:r>
              <w:rPr>
                <w:spacing w:val="-34"/>
                <w:sz w:val="21"/>
              </w:rPr>
              <w:t>）</w:t>
            </w:r>
            <w:r>
              <w:rPr>
                <w:sz w:val="21"/>
              </w:rPr>
              <w:t>对守信主体予以支</w:t>
            </w:r>
            <w:r>
              <w:rPr>
                <w:w w:val="95"/>
                <w:sz w:val="21"/>
              </w:rPr>
              <w:t>持和激励，对失信主体在经营、投融资、取得政府供应土地、进出口、出入境、注册新公司、工程招投标、</w:t>
            </w:r>
            <w:r>
              <w:rPr>
                <w:spacing w:val="-3"/>
                <w:sz w:val="21"/>
              </w:rPr>
              <w:t>政府采购、获得荣誉、安全许可、生产许可、从业任职资格、资质审核等方面依法予以限制或禁止，对严重</w:t>
            </w:r>
            <w:r>
              <w:rPr>
                <w:spacing w:val="-10"/>
                <w:sz w:val="21"/>
              </w:rPr>
              <w:t>违法失信主体实行市场禁入制度。</w:t>
            </w:r>
            <w:r>
              <w:rPr>
                <w:sz w:val="21"/>
              </w:rPr>
              <w:t>（各相关市场监管部门按职责分工分别负责）</w:t>
            </w:r>
          </w:p>
          <w:p>
            <w:pPr>
              <w:pStyle w:val="9"/>
              <w:spacing w:line="249" w:lineRule="exact"/>
              <w:jc w:val="both"/>
              <w:rPr>
                <w:b/>
                <w:sz w:val="21"/>
              </w:rPr>
            </w:pPr>
            <w:r>
              <w:rPr>
                <w:b/>
                <w:sz w:val="21"/>
              </w:rPr>
              <w:t>《国务院关于印发社会信用体系建设规划纲要（</w:t>
            </w:r>
            <w:r>
              <w:rPr>
                <w:rFonts w:ascii="Times New Roman" w:eastAsia="Times New Roman"/>
                <w:b/>
                <w:sz w:val="21"/>
              </w:rPr>
              <w:t xml:space="preserve">2014-2020 </w:t>
            </w:r>
            <w:r>
              <w:rPr>
                <w:b/>
                <w:sz w:val="21"/>
              </w:rPr>
              <w:t>年）的通知》（国发〔</w:t>
            </w:r>
            <w:r>
              <w:rPr>
                <w:rFonts w:ascii="Times New Roman" w:eastAsia="Times New Roman"/>
                <w:b/>
                <w:sz w:val="21"/>
              </w:rPr>
              <w:t>2014</w:t>
            </w:r>
            <w:r>
              <w:rPr>
                <w:b/>
                <w:sz w:val="21"/>
              </w:rPr>
              <w:t>〕</w:t>
            </w:r>
            <w:r>
              <w:rPr>
                <w:rFonts w:ascii="Times New Roman" w:eastAsia="Times New Roman"/>
                <w:b/>
                <w:sz w:val="21"/>
              </w:rPr>
              <w:t xml:space="preserve">21 </w:t>
            </w:r>
            <w:r>
              <w:rPr>
                <w:b/>
                <w:sz w:val="21"/>
              </w:rPr>
              <w:t>号）</w:t>
            </w:r>
          </w:p>
          <w:p>
            <w:pPr>
              <w:pStyle w:val="9"/>
              <w:spacing w:before="21"/>
              <w:ind w:left="518"/>
              <w:rPr>
                <w:sz w:val="21"/>
              </w:rPr>
            </w:pPr>
            <w:r>
              <w:rPr>
                <w:sz w:val="21"/>
              </w:rPr>
              <w:t>二、推进重点领域诚信建设</w:t>
            </w:r>
          </w:p>
          <w:p>
            <w:pPr>
              <w:pStyle w:val="9"/>
              <w:spacing w:before="43" w:line="278" w:lineRule="auto"/>
              <w:ind w:right="84" w:firstLine="410"/>
              <w:jc w:val="both"/>
              <w:rPr>
                <w:sz w:val="21"/>
              </w:rPr>
            </w:pPr>
            <w:r>
              <w:rPr>
                <w:w w:val="95"/>
                <w:sz w:val="21"/>
              </w:rPr>
              <w:t>（一）加快推进政务诚信建设。发挥政府诚信建设示范作用。各级人民政府首先要加强自身诚信建设</w:t>
            </w:r>
            <w:r>
              <w:rPr>
                <w:rFonts w:hint="eastAsia"/>
                <w:w w:val="95"/>
                <w:sz w:val="21"/>
                <w:lang w:eastAsia="zh-CN"/>
              </w:rPr>
              <w:t>，</w:t>
            </w:r>
            <w:r>
              <w:rPr>
                <w:spacing w:val="-3"/>
                <w:w w:val="95"/>
                <w:sz w:val="21"/>
              </w:rPr>
              <w:t>以政府的诚信施政，带动全社会诚信意识的树立和诚信水平的提高。在行政许可、政府采购、招标投标、劳</w:t>
            </w:r>
            <w:r>
              <w:rPr>
                <w:spacing w:val="-5"/>
                <w:w w:val="95"/>
                <w:sz w:val="21"/>
              </w:rPr>
              <w:t>动就业、社会保障、科研管理、干部选拔任用和管理监督、申请政府资金支持等领域，率先使用信用信息和</w:t>
            </w:r>
            <w:r>
              <w:rPr>
                <w:spacing w:val="-5"/>
                <w:sz w:val="21"/>
              </w:rPr>
              <w:t>信用产品，培育信用服务市场发展。</w:t>
            </w:r>
          </w:p>
          <w:p>
            <w:pPr>
              <w:pStyle w:val="9"/>
              <w:spacing w:line="278" w:lineRule="auto"/>
              <w:ind w:right="91" w:firstLine="410"/>
              <w:jc w:val="both"/>
              <w:rPr>
                <w:sz w:val="21"/>
              </w:rPr>
            </w:pPr>
            <w:r>
              <w:rPr>
                <w:w w:val="95"/>
                <w:sz w:val="21"/>
              </w:rPr>
              <w:t>（二</w:t>
            </w:r>
            <w:r>
              <w:rPr>
                <w:spacing w:val="-3"/>
                <w:w w:val="95"/>
                <w:sz w:val="21"/>
              </w:rPr>
              <w:t>）</w:t>
            </w:r>
            <w:r>
              <w:rPr>
                <w:spacing w:val="-2"/>
                <w:w w:val="95"/>
                <w:sz w:val="21"/>
              </w:rPr>
              <w:t>深入推进商务诚信建设。中介服务业信用建设。建立完善中介服务机构及其从业人员的信用记录</w:t>
            </w:r>
            <w:r>
              <w:rPr>
                <w:spacing w:val="-5"/>
                <w:w w:val="95"/>
                <w:sz w:val="21"/>
              </w:rPr>
              <w:t>和披露制度，并作为市场行政执法部门实施信用分类管理的重要依据。重点加强公证仲裁类、律师类、会计类、担保类、鉴证类、检验检测类、评估类、认证类、代理类、经纪类、职业介绍类、咨询类、交易类等机</w:t>
            </w:r>
            <w:r>
              <w:rPr>
                <w:spacing w:val="-5"/>
                <w:sz w:val="21"/>
              </w:rPr>
              <w:t>构信用分类管理，探索建立科学合理的评估指标体系、评估制度和工作机制。</w:t>
            </w:r>
          </w:p>
          <w:p>
            <w:pPr>
              <w:pStyle w:val="9"/>
              <w:spacing w:line="269" w:lineRule="exact"/>
              <w:ind w:left="0" w:right="2356"/>
              <w:jc w:val="center"/>
              <w:rPr>
                <w:b/>
                <w:sz w:val="21"/>
              </w:rPr>
            </w:pPr>
            <w:r>
              <w:rPr>
                <w:b/>
                <w:sz w:val="21"/>
              </w:rPr>
              <w:t xml:space="preserve">《中华人民共和国认证认可条例》（国务院令第 </w:t>
            </w:r>
            <w:r>
              <w:rPr>
                <w:rFonts w:ascii="Times New Roman" w:eastAsia="Times New Roman"/>
                <w:b/>
                <w:sz w:val="21"/>
              </w:rPr>
              <w:t xml:space="preserve">390 </w:t>
            </w:r>
            <w:r>
              <w:rPr>
                <w:b/>
                <w:sz w:val="21"/>
              </w:rPr>
              <w:t xml:space="preserve">号，国务院令第 </w:t>
            </w:r>
            <w:r>
              <w:rPr>
                <w:rFonts w:ascii="Times New Roman" w:eastAsia="Times New Roman"/>
                <w:b/>
                <w:sz w:val="21"/>
              </w:rPr>
              <w:t xml:space="preserve">666 </w:t>
            </w:r>
            <w:r>
              <w:rPr>
                <w:b/>
                <w:sz w:val="21"/>
              </w:rPr>
              <w:t>号修订）</w:t>
            </w:r>
          </w:p>
          <w:p>
            <w:pPr>
              <w:pStyle w:val="9"/>
              <w:spacing w:before="42"/>
              <w:ind w:right="2507"/>
              <w:jc w:val="center"/>
              <w:rPr>
                <w:sz w:val="21"/>
              </w:rPr>
            </w:pPr>
            <w:r>
              <w:rPr>
                <w:sz w:val="21"/>
              </w:rPr>
              <w:t>第六条 认证认可活动应当遵循客观独立、公开公正、诚实信用的原则。</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84" w:type="dxa"/>
            <w:tcBorders>
              <w:bottom w:val="nil"/>
            </w:tcBorders>
          </w:tcPr>
          <w:p>
            <w:pPr>
              <w:pStyle w:val="9"/>
              <w:spacing w:line="255" w:lineRule="exact"/>
              <w:ind w:left="107"/>
              <w:rPr>
                <w:sz w:val="21"/>
              </w:rPr>
            </w:pPr>
            <w:r>
              <w:rPr>
                <w:rFonts w:ascii="Times New Roman" w:eastAsia="Times New Roman"/>
                <w:sz w:val="21"/>
              </w:rPr>
              <w:t>12.</w:t>
            </w:r>
            <w:r>
              <w:rPr>
                <w:sz w:val="21"/>
              </w:rPr>
              <w:t>在股票、</w:t>
            </w:r>
          </w:p>
        </w:tc>
        <w:tc>
          <w:tcPr>
            <w:tcW w:w="10064" w:type="dxa"/>
            <w:vMerge w:val="restart"/>
          </w:tcPr>
          <w:p>
            <w:pPr>
              <w:pStyle w:val="9"/>
              <w:spacing w:before="20"/>
              <w:rPr>
                <w:b/>
                <w:sz w:val="21"/>
              </w:rPr>
            </w:pPr>
            <w:r>
              <w:rPr>
                <w:b/>
                <w:sz w:val="21"/>
              </w:rPr>
              <w:t>《证券法》</w:t>
            </w:r>
          </w:p>
          <w:p>
            <w:pPr>
              <w:pStyle w:val="9"/>
              <w:spacing w:before="43"/>
              <w:ind w:left="518"/>
              <w:rPr>
                <w:sz w:val="21"/>
              </w:rPr>
            </w:pPr>
            <w:r>
              <w:rPr>
                <w:sz w:val="21"/>
              </w:rPr>
              <w:t>第十三条 公司公开发行新股，应当符合下列条件：</w:t>
            </w:r>
          </w:p>
          <w:p>
            <w:pPr>
              <w:pStyle w:val="9"/>
              <w:spacing w:before="43"/>
              <w:ind w:left="518"/>
              <w:rPr>
                <w:sz w:val="21"/>
              </w:rPr>
            </w:pPr>
            <w:r>
              <w:rPr>
                <w:sz w:val="21"/>
              </w:rPr>
              <w:t>（三）最近三年财务会计文件无虚假记载，无其他重大违法行为。</w:t>
            </w:r>
          </w:p>
        </w:tc>
        <w:tc>
          <w:tcPr>
            <w:tcW w:w="2500" w:type="dxa"/>
            <w:tcBorders>
              <w:bottom w:val="nil"/>
            </w:tcBorders>
          </w:tcPr>
          <w:p>
            <w:pPr>
              <w:pStyle w:val="9"/>
              <w:spacing w:before="20" w:line="236" w:lineRule="exact"/>
              <w:ind w:left="81" w:right="71"/>
              <w:jc w:val="center"/>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2" w:hRule="atLeast"/>
        </w:trPr>
        <w:tc>
          <w:tcPr>
            <w:tcW w:w="1384" w:type="dxa"/>
            <w:tcBorders>
              <w:top w:val="nil"/>
              <w:bottom w:val="nil"/>
            </w:tcBorders>
          </w:tcPr>
          <w:p>
            <w:pPr>
              <w:pStyle w:val="9"/>
              <w:spacing w:line="233" w:lineRule="exact"/>
              <w:ind w:left="41" w:right="33"/>
              <w:jc w:val="center"/>
              <w:rPr>
                <w:sz w:val="21"/>
              </w:rPr>
            </w:pPr>
            <w:r>
              <w:rPr>
                <w:sz w:val="21"/>
              </w:rPr>
              <w:t>可转换债券</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hRule="atLeast"/>
        </w:trPr>
        <w:tc>
          <w:tcPr>
            <w:tcW w:w="1384" w:type="dxa"/>
            <w:tcBorders>
              <w:top w:val="nil"/>
              <w:bottom w:val="nil"/>
            </w:tcBorders>
          </w:tcPr>
          <w:p>
            <w:pPr>
              <w:pStyle w:val="9"/>
              <w:spacing w:line="244" w:lineRule="exact"/>
              <w:ind w:left="41" w:right="33"/>
              <w:jc w:val="center"/>
              <w:rPr>
                <w:sz w:val="21"/>
              </w:rPr>
            </w:pPr>
            <w:r>
              <w:rPr>
                <w:sz w:val="21"/>
              </w:rPr>
              <w:t>发行审核及</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1384" w:type="dxa"/>
            <w:tcBorders>
              <w:top w:val="nil"/>
            </w:tcBorders>
          </w:tcPr>
          <w:p>
            <w:pPr>
              <w:pStyle w:val="9"/>
              <w:spacing w:line="246" w:lineRule="exact"/>
              <w:ind w:left="41" w:right="33"/>
              <w:jc w:val="center"/>
              <w:rPr>
                <w:sz w:val="21"/>
              </w:rPr>
            </w:pPr>
            <w:r>
              <w:rPr>
                <w:sz w:val="21"/>
              </w:rPr>
              <w:t>在全国中小</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18"/>
              </w:rPr>
            </w:pPr>
          </w:p>
        </w:tc>
      </w:tr>
    </w:tbl>
    <w:p>
      <w:pPr>
        <w:spacing w:after="0"/>
        <w:rPr>
          <w:rFonts w:ascii="Times New Roman"/>
          <w:sz w:val="18"/>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9" w:hRule="atLeast"/>
        </w:trPr>
        <w:tc>
          <w:tcPr>
            <w:tcW w:w="1384" w:type="dxa"/>
            <w:tcBorders>
              <w:bottom w:val="nil"/>
            </w:tcBorders>
          </w:tcPr>
          <w:p>
            <w:pPr>
              <w:pStyle w:val="9"/>
              <w:spacing w:before="2" w:line="242" w:lineRule="auto"/>
              <w:ind w:left="107" w:right="97"/>
              <w:jc w:val="both"/>
              <w:rPr>
                <w:sz w:val="21"/>
              </w:rPr>
            </w:pPr>
            <w:r>
              <w:rPr>
                <w:spacing w:val="20"/>
                <w:sz w:val="21"/>
              </w:rPr>
              <w:t>企业股份转让系统挂牌公开转让审</w:t>
            </w:r>
            <w:r>
              <w:rPr>
                <w:spacing w:val="-19"/>
                <w:sz w:val="21"/>
              </w:rPr>
              <w:t>核中，将失信</w:t>
            </w:r>
            <w:r>
              <w:rPr>
                <w:spacing w:val="20"/>
                <w:sz w:val="21"/>
              </w:rPr>
              <w:t>信息作为参</w:t>
            </w:r>
            <w:r>
              <w:rPr>
                <w:sz w:val="21"/>
              </w:rPr>
              <w:t>考。</w:t>
            </w:r>
          </w:p>
        </w:tc>
        <w:tc>
          <w:tcPr>
            <w:tcW w:w="10064" w:type="dxa"/>
            <w:tcBorders>
              <w:bottom w:val="nil"/>
            </w:tcBorders>
          </w:tcPr>
          <w:p>
            <w:pPr>
              <w:pStyle w:val="9"/>
              <w:spacing w:before="21" w:line="278" w:lineRule="auto"/>
              <w:ind w:left="518" w:right="4360" w:hanging="411"/>
              <w:rPr>
                <w:sz w:val="21"/>
              </w:rPr>
            </w:pPr>
            <w:r>
              <w:rPr>
                <w:b/>
                <w:spacing w:val="-7"/>
                <w:sz w:val="21"/>
              </w:rPr>
              <w:t>《首次公开发行股票并上市管理办法》</w:t>
            </w:r>
            <w:r>
              <w:rPr>
                <w:b/>
                <w:sz w:val="21"/>
              </w:rPr>
              <w:t>（</w:t>
            </w:r>
            <w:r>
              <w:rPr>
                <w:b/>
                <w:spacing w:val="-10"/>
                <w:sz w:val="21"/>
              </w:rPr>
              <w:t xml:space="preserve">证监会令第 </w:t>
            </w:r>
            <w:r>
              <w:rPr>
                <w:rFonts w:ascii="Times New Roman" w:eastAsia="Times New Roman"/>
                <w:b/>
                <w:sz w:val="21"/>
              </w:rPr>
              <w:t xml:space="preserve">122 </w:t>
            </w:r>
            <w:r>
              <w:rPr>
                <w:b/>
                <w:sz w:val="21"/>
              </w:rPr>
              <w:t xml:space="preserve">号） </w:t>
            </w:r>
            <w:r>
              <w:rPr>
                <w:sz w:val="21"/>
              </w:rPr>
              <w:t>第十八条 发行人不得有下列情形：</w:t>
            </w:r>
          </w:p>
          <w:p>
            <w:pPr>
              <w:pStyle w:val="9"/>
              <w:spacing w:line="278" w:lineRule="auto"/>
              <w:ind w:right="98" w:firstLine="410"/>
              <w:rPr>
                <w:sz w:val="21"/>
              </w:rPr>
            </w:pPr>
            <w:r>
              <w:rPr>
                <w:sz w:val="21"/>
              </w:rPr>
              <w:t xml:space="preserve">（二）最近 </w:t>
            </w:r>
            <w:r>
              <w:rPr>
                <w:rFonts w:ascii="Times New Roman" w:eastAsia="Times New Roman"/>
                <w:sz w:val="21"/>
              </w:rPr>
              <w:t xml:space="preserve">36 </w:t>
            </w:r>
            <w:r>
              <w:rPr>
                <w:sz w:val="21"/>
              </w:rPr>
              <w:t>个月内违反工商、税收、土地、环保、海关以及其他法律、行政法规，受到行政处罚， 且情节严重；</w:t>
            </w:r>
          </w:p>
          <w:p>
            <w:pPr>
              <w:pStyle w:val="9"/>
              <w:spacing w:line="269" w:lineRule="exact"/>
              <w:ind w:left="518"/>
              <w:rPr>
                <w:sz w:val="21"/>
              </w:rPr>
            </w:pPr>
            <w:r>
              <w:rPr>
                <w:sz w:val="21"/>
              </w:rPr>
              <w:t>（六）严重损害投资者合法权益和社会公共利益的其他情形。</w:t>
            </w:r>
          </w:p>
          <w:p>
            <w:pPr>
              <w:pStyle w:val="9"/>
              <w:spacing w:before="43"/>
              <w:rPr>
                <w:b/>
                <w:sz w:val="21"/>
              </w:rPr>
            </w:pPr>
            <w:r>
              <w:rPr>
                <w:b/>
                <w:sz w:val="21"/>
              </w:rPr>
              <w:t xml:space="preserve">《首次公开发行股票并在创业板上市管理办法》（证监会令第 </w:t>
            </w:r>
            <w:r>
              <w:rPr>
                <w:rFonts w:ascii="Times New Roman" w:eastAsia="Times New Roman"/>
                <w:b/>
                <w:sz w:val="21"/>
              </w:rPr>
              <w:t xml:space="preserve">123 </w:t>
            </w:r>
            <w:r>
              <w:rPr>
                <w:b/>
                <w:sz w:val="21"/>
              </w:rPr>
              <w:t>号）</w:t>
            </w:r>
          </w:p>
          <w:p>
            <w:pPr>
              <w:pStyle w:val="9"/>
              <w:spacing w:before="43" w:line="266" w:lineRule="exact"/>
              <w:ind w:left="518"/>
              <w:rPr>
                <w:sz w:val="21"/>
              </w:rPr>
            </w:pPr>
            <w:r>
              <w:rPr>
                <w:sz w:val="21"/>
              </w:rPr>
              <w:t>第二十条 发行人及其控股股东、实际控制人最近三年内不存在损害投资者合法权益和社会公共利益的</w:t>
            </w:r>
          </w:p>
        </w:tc>
        <w:tc>
          <w:tcPr>
            <w:tcW w:w="2500" w:type="dxa"/>
            <w:vMerge w:val="restart"/>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6"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rPr>
                <w:sz w:val="21"/>
              </w:rPr>
            </w:pPr>
            <w:r>
              <w:rPr>
                <w:sz w:val="21"/>
              </w:rPr>
              <w:t>重大违法行为。</w:t>
            </w:r>
          </w:p>
          <w:p>
            <w:pPr>
              <w:pStyle w:val="9"/>
              <w:spacing w:before="43"/>
              <w:rPr>
                <w:b/>
                <w:sz w:val="21"/>
              </w:rPr>
            </w:pPr>
            <w:r>
              <w:rPr>
                <w:b/>
                <w:sz w:val="21"/>
              </w:rPr>
              <w:t xml:space="preserve">《上市公司证券发行管理办法》（证监会令第 </w:t>
            </w:r>
            <w:r>
              <w:rPr>
                <w:rFonts w:ascii="Times New Roman" w:eastAsia="Times New Roman"/>
                <w:b/>
                <w:sz w:val="21"/>
              </w:rPr>
              <w:t xml:space="preserve">30 </w:t>
            </w:r>
            <w:r>
              <w:rPr>
                <w:b/>
                <w:sz w:val="21"/>
              </w:rPr>
              <w:t>号）</w:t>
            </w:r>
          </w:p>
          <w:p>
            <w:pPr>
              <w:pStyle w:val="9"/>
              <w:spacing w:before="43" w:line="266" w:lineRule="exact"/>
              <w:ind w:left="518"/>
              <w:rPr>
                <w:sz w:val="21"/>
              </w:rPr>
            </w:pPr>
            <w:r>
              <w:rPr>
                <w:sz w:val="21"/>
              </w:rPr>
              <w:t>第九条 上市公司最近三十六个月内财务会计文件无虚假记载，且不存在下列重大违法行为：</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6"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ind w:right="3873"/>
              <w:jc w:val="center"/>
              <w:rPr>
                <w:sz w:val="21"/>
              </w:rPr>
            </w:pPr>
            <w:r>
              <w:rPr>
                <w:sz w:val="21"/>
              </w:rPr>
              <w:t>（三）违反国家其他法律、行政法规且情节严重的行为。</w:t>
            </w:r>
          </w:p>
          <w:p>
            <w:pPr>
              <w:pStyle w:val="9"/>
              <w:spacing w:before="2" w:line="310" w:lineRule="atLeast"/>
              <w:ind w:right="3938"/>
              <w:jc w:val="center"/>
              <w:rPr>
                <w:sz w:val="21"/>
              </w:rPr>
            </w:pPr>
            <w:r>
              <w:rPr>
                <w:b/>
                <w:spacing w:val="-6"/>
                <w:sz w:val="21"/>
              </w:rPr>
              <w:t>《创业板上市公司证券发行管理暂行办法》</w:t>
            </w:r>
            <w:r>
              <w:rPr>
                <w:b/>
                <w:sz w:val="21"/>
              </w:rPr>
              <w:t>（</w:t>
            </w:r>
            <w:r>
              <w:rPr>
                <w:b/>
                <w:spacing w:val="-11"/>
                <w:sz w:val="21"/>
              </w:rPr>
              <w:t xml:space="preserve">证监会令第 </w:t>
            </w:r>
            <w:r>
              <w:rPr>
                <w:rFonts w:ascii="Times New Roman" w:eastAsia="Times New Roman"/>
                <w:b/>
                <w:sz w:val="21"/>
              </w:rPr>
              <w:t xml:space="preserve">100 </w:t>
            </w:r>
            <w:r>
              <w:rPr>
                <w:b/>
                <w:sz w:val="21"/>
              </w:rPr>
              <w:t xml:space="preserve">号） </w:t>
            </w:r>
            <w:r>
              <w:rPr>
                <w:spacing w:val="-1"/>
                <w:sz w:val="21"/>
              </w:rPr>
              <w:t>第十条 上市公司存在下列情形之一的，不得发行证券：</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line="266" w:lineRule="exact"/>
              <w:ind w:left="518"/>
              <w:rPr>
                <w:sz w:val="21"/>
              </w:rPr>
            </w:pPr>
            <w:r>
              <w:rPr>
                <w:sz w:val="21"/>
              </w:rPr>
              <w:t>（三）最近三十六个月内因违反法律、行政法规、规章受到行政处罚且情节严重，或者受到刑事处罚，</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line="266" w:lineRule="exact"/>
              <w:rPr>
                <w:sz w:val="21"/>
              </w:rPr>
            </w:pPr>
            <w:r>
              <w:rPr>
                <w:sz w:val="21"/>
              </w:rPr>
              <w:t>或者因违反证券法律、行政法规、规章受到中国证监会的行政处罚；最近十二个月内受到证券交易所的公开</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line="266" w:lineRule="exact"/>
              <w:rPr>
                <w:sz w:val="21"/>
              </w:rPr>
            </w:pPr>
            <w:r>
              <w:rPr>
                <w:sz w:val="21"/>
              </w:rPr>
              <w:t>谴责；因涉嫌犯罪被司法机关立案侦查或者涉嫌违法违规被中国证监会立案调查；</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6"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ind w:left="518"/>
              <w:rPr>
                <w:sz w:val="21"/>
              </w:rPr>
            </w:pPr>
            <w:r>
              <w:rPr>
                <w:sz w:val="21"/>
              </w:rPr>
              <w:t>（六）严重损害投资者的合法权益和社会公共利益的其他情形。</w:t>
            </w:r>
          </w:p>
          <w:p>
            <w:pPr>
              <w:pStyle w:val="9"/>
              <w:spacing w:before="43"/>
              <w:rPr>
                <w:b/>
                <w:sz w:val="21"/>
              </w:rPr>
            </w:pPr>
            <w:r>
              <w:rPr>
                <w:b/>
                <w:sz w:val="21"/>
              </w:rPr>
              <w:t xml:space="preserve">《非上市公众公司监督管理办法》（证监会令第 </w:t>
            </w:r>
            <w:r>
              <w:rPr>
                <w:rFonts w:ascii="Times New Roman" w:eastAsia="Times New Roman"/>
                <w:b/>
                <w:sz w:val="21"/>
              </w:rPr>
              <w:t xml:space="preserve">96 </w:t>
            </w:r>
            <w:r>
              <w:rPr>
                <w:b/>
                <w:sz w:val="21"/>
              </w:rPr>
              <w:t>号）</w:t>
            </w:r>
          </w:p>
          <w:p>
            <w:pPr>
              <w:pStyle w:val="9"/>
              <w:spacing w:before="43" w:line="266" w:lineRule="exact"/>
              <w:ind w:left="518" w:right="-15"/>
              <w:rPr>
                <w:sz w:val="21"/>
              </w:rPr>
            </w:pPr>
            <w:r>
              <w:rPr>
                <w:spacing w:val="-5"/>
                <w:sz w:val="21"/>
              </w:rPr>
              <w:t>第三条 公众公司应当按照法律、行政法规、本办法和公司章程的规定，做到股权明晰，合法规范经营，</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384" w:type="dxa"/>
            <w:tcBorders>
              <w:top w:val="nil"/>
            </w:tcBorders>
          </w:tcPr>
          <w:p>
            <w:pPr>
              <w:pStyle w:val="9"/>
              <w:ind w:left="0"/>
              <w:rPr>
                <w:rFonts w:ascii="Times New Roman"/>
                <w:sz w:val="20"/>
              </w:rPr>
            </w:pPr>
          </w:p>
        </w:tc>
        <w:tc>
          <w:tcPr>
            <w:tcW w:w="10064" w:type="dxa"/>
            <w:tcBorders>
              <w:top w:val="nil"/>
            </w:tcBorders>
          </w:tcPr>
          <w:p>
            <w:pPr>
              <w:pStyle w:val="9"/>
              <w:spacing w:before="16"/>
              <w:rPr>
                <w:sz w:val="21"/>
              </w:rPr>
            </w:pPr>
            <w:r>
              <w:rPr>
                <w:sz w:val="21"/>
              </w:rPr>
              <w:t>公司治理机制健全，履行信息披露义务。</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384" w:type="dxa"/>
            <w:tcBorders>
              <w:bottom w:val="nil"/>
            </w:tcBorders>
          </w:tcPr>
          <w:p>
            <w:pPr>
              <w:pStyle w:val="9"/>
              <w:spacing w:before="1" w:line="242" w:lineRule="auto"/>
              <w:ind w:left="107" w:right="97"/>
              <w:rPr>
                <w:sz w:val="21"/>
              </w:rPr>
            </w:pPr>
            <w:r>
              <w:rPr>
                <w:rFonts w:ascii="Times New Roman" w:eastAsia="Times New Roman"/>
                <w:sz w:val="21"/>
              </w:rPr>
              <w:t>13.</w:t>
            </w:r>
            <w:r>
              <w:rPr>
                <w:sz w:val="21"/>
              </w:rPr>
              <w:t>将失信信息作为证券</w:t>
            </w:r>
          </w:p>
        </w:tc>
        <w:tc>
          <w:tcPr>
            <w:tcW w:w="10064" w:type="dxa"/>
            <w:vMerge w:val="restart"/>
          </w:tcPr>
          <w:p>
            <w:pPr>
              <w:pStyle w:val="9"/>
              <w:spacing w:before="20"/>
              <w:rPr>
                <w:b/>
                <w:sz w:val="21"/>
              </w:rPr>
            </w:pPr>
            <w:r>
              <w:rPr>
                <w:b/>
                <w:sz w:val="21"/>
              </w:rPr>
              <w:t>《证券法》</w:t>
            </w:r>
          </w:p>
          <w:p>
            <w:pPr>
              <w:pStyle w:val="9"/>
              <w:spacing w:before="43"/>
              <w:ind w:left="518"/>
              <w:rPr>
                <w:sz w:val="21"/>
              </w:rPr>
            </w:pPr>
            <w:r>
              <w:rPr>
                <w:sz w:val="21"/>
              </w:rPr>
              <w:t>第一百二十四条 设立证券公司，应当具备下列条件：</w:t>
            </w:r>
          </w:p>
          <w:p>
            <w:pPr>
              <w:pStyle w:val="9"/>
              <w:spacing w:before="43" w:line="278" w:lineRule="auto"/>
              <w:ind w:right="32" w:firstLine="410"/>
              <w:rPr>
                <w:sz w:val="21"/>
              </w:rPr>
            </w:pPr>
            <w:r>
              <w:rPr>
                <w:w w:val="95"/>
                <w:sz w:val="21"/>
              </w:rPr>
              <w:t>（二）主要股东具有持续盈利能力，信誉良好，最近三年无重大违法违规记录，净资产不低于人民币二</w:t>
            </w:r>
            <w:r>
              <w:rPr>
                <w:sz w:val="21"/>
              </w:rPr>
              <w:t>亿元；</w:t>
            </w:r>
          </w:p>
          <w:p>
            <w:pPr>
              <w:pStyle w:val="9"/>
              <w:spacing w:line="269" w:lineRule="exact"/>
              <w:ind w:left="518"/>
              <w:rPr>
                <w:sz w:val="21"/>
              </w:rPr>
            </w:pPr>
            <w:r>
              <w:rPr>
                <w:sz w:val="21"/>
              </w:rPr>
              <w:t>（五）有完善的风险管理与内部控制制度。</w:t>
            </w:r>
          </w:p>
          <w:p>
            <w:pPr>
              <w:pStyle w:val="9"/>
              <w:spacing w:before="43"/>
              <w:rPr>
                <w:b/>
                <w:sz w:val="21"/>
              </w:rPr>
            </w:pPr>
            <w:r>
              <w:rPr>
                <w:b/>
                <w:sz w:val="21"/>
              </w:rPr>
              <w:t>《证券公司监督管理条例》</w:t>
            </w:r>
          </w:p>
        </w:tc>
        <w:tc>
          <w:tcPr>
            <w:tcW w:w="2500" w:type="dxa"/>
            <w:tcBorders>
              <w:bottom w:val="nil"/>
            </w:tcBorders>
          </w:tcPr>
          <w:p>
            <w:pPr>
              <w:pStyle w:val="9"/>
              <w:spacing w:before="20"/>
              <w:ind w:left="79" w:right="71"/>
              <w:jc w:val="center"/>
              <w:rPr>
                <w:sz w:val="21"/>
              </w:rPr>
            </w:pPr>
            <w:r>
              <w:rPr>
                <w:sz w:val="21"/>
              </w:rPr>
              <w:t>证监会、</w:t>
            </w:r>
          </w:p>
          <w:p>
            <w:pPr>
              <w:pStyle w:val="9"/>
              <w:spacing w:before="43" w:line="215" w:lineRule="exact"/>
              <w:ind w:left="76" w:right="71"/>
              <w:jc w:val="center"/>
              <w:rPr>
                <w:sz w:val="21"/>
              </w:rPr>
            </w:pPr>
            <w:r>
              <w:rPr>
                <w:sz w:val="21"/>
              </w:rPr>
              <w:t>中国银行保险监督管理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trPr>
        <w:tc>
          <w:tcPr>
            <w:tcW w:w="1384" w:type="dxa"/>
            <w:tcBorders>
              <w:top w:val="nil"/>
              <w:bottom w:val="nil"/>
            </w:tcBorders>
          </w:tcPr>
          <w:p>
            <w:pPr>
              <w:pStyle w:val="9"/>
              <w:spacing w:line="235" w:lineRule="exact"/>
              <w:ind w:left="107"/>
              <w:rPr>
                <w:sz w:val="21"/>
              </w:rPr>
            </w:pPr>
            <w:r>
              <w:rPr>
                <w:spacing w:val="-17"/>
                <w:w w:val="95"/>
                <w:sz w:val="21"/>
              </w:rPr>
              <w:t>公司、保险公</w:t>
            </w:r>
          </w:p>
          <w:p>
            <w:pPr>
              <w:pStyle w:val="9"/>
              <w:spacing w:before="4" w:line="247" w:lineRule="exact"/>
              <w:ind w:left="107"/>
              <w:rPr>
                <w:sz w:val="21"/>
              </w:rPr>
            </w:pPr>
            <w:r>
              <w:rPr>
                <w:spacing w:val="-16"/>
                <w:w w:val="95"/>
                <w:sz w:val="21"/>
              </w:rPr>
              <w:t>司、基金管理</w:t>
            </w:r>
          </w:p>
        </w:tc>
        <w:tc>
          <w:tcPr>
            <w:tcW w:w="10064" w:type="dxa"/>
            <w:vMerge w:val="continue"/>
            <w:tcBorders>
              <w:top w:val="nil"/>
            </w:tcBorders>
          </w:tcPr>
          <w:p>
            <w:pPr>
              <w:rPr>
                <w:sz w:val="2"/>
                <w:szCs w:val="2"/>
              </w:rPr>
            </w:pPr>
          </w:p>
        </w:tc>
        <w:tc>
          <w:tcPr>
            <w:tcW w:w="2500" w:type="dxa"/>
            <w:tcBorders>
              <w:top w:val="nil"/>
              <w:bottom w:val="nil"/>
            </w:tcBorders>
          </w:tcPr>
          <w:p>
            <w:pPr>
              <w:pStyle w:val="9"/>
              <w:spacing w:before="66"/>
              <w:ind w:left="81" w:right="71"/>
              <w:jc w:val="center"/>
              <w:rPr>
                <w:sz w:val="21"/>
              </w:rPr>
            </w:pPr>
            <w:r>
              <w:rPr>
                <w:sz w:val="21"/>
              </w:rPr>
              <w:t>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公司及期货</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公司的设立</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 w:hRule="atLeast"/>
        </w:trPr>
        <w:tc>
          <w:tcPr>
            <w:tcW w:w="1384" w:type="dxa"/>
            <w:tcBorders>
              <w:top w:val="nil"/>
            </w:tcBorders>
          </w:tcPr>
          <w:p>
            <w:pPr>
              <w:pStyle w:val="9"/>
              <w:spacing w:line="245" w:lineRule="exact"/>
              <w:ind w:left="41" w:right="33"/>
              <w:jc w:val="center"/>
              <w:rPr>
                <w:sz w:val="21"/>
              </w:rPr>
            </w:pPr>
            <w:r>
              <w:rPr>
                <w:sz w:val="21"/>
              </w:rPr>
              <w:t>及股权或实</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18"/>
              </w:rPr>
            </w:pPr>
          </w:p>
        </w:tc>
      </w:tr>
    </w:tbl>
    <w:p>
      <w:pPr>
        <w:spacing w:after="0"/>
        <w:rPr>
          <w:rFonts w:ascii="Times New Roman"/>
          <w:sz w:val="18"/>
        </w:rPr>
        <w:sectPr>
          <w:footerReference r:id="rId5" w:type="default"/>
          <w:pgSz w:w="16840" w:h="11910" w:orient="landscape"/>
          <w:pgMar w:top="1100" w:right="1440" w:bottom="1620" w:left="1220" w:header="0" w:footer="1433" w:gutter="0"/>
          <w:pgNumType w:start="2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6" w:hRule="atLeast"/>
        </w:trPr>
        <w:tc>
          <w:tcPr>
            <w:tcW w:w="1384" w:type="dxa"/>
            <w:tcBorders>
              <w:bottom w:val="nil"/>
            </w:tcBorders>
          </w:tcPr>
          <w:p>
            <w:pPr>
              <w:pStyle w:val="9"/>
              <w:spacing w:before="2" w:line="242" w:lineRule="auto"/>
              <w:ind w:left="107" w:right="97"/>
              <w:jc w:val="both"/>
              <w:rPr>
                <w:sz w:val="21"/>
              </w:rPr>
            </w:pPr>
            <w:r>
              <w:rPr>
                <w:spacing w:val="20"/>
                <w:sz w:val="21"/>
              </w:rPr>
              <w:t>际控制人变更审批或备</w:t>
            </w:r>
            <w:r>
              <w:rPr>
                <w:spacing w:val="-19"/>
                <w:sz w:val="21"/>
              </w:rPr>
              <w:t>案，私募投资</w:t>
            </w:r>
            <w:r>
              <w:rPr>
                <w:spacing w:val="20"/>
                <w:sz w:val="21"/>
              </w:rPr>
              <w:t>基金管理人</w:t>
            </w:r>
            <w:r>
              <w:rPr>
                <w:spacing w:val="-19"/>
                <w:sz w:val="21"/>
              </w:rPr>
              <w:t>登记、重大事</w:t>
            </w:r>
            <w:r>
              <w:rPr>
                <w:spacing w:val="20"/>
                <w:sz w:val="21"/>
              </w:rPr>
              <w:t>项变更以及基金备案的</w:t>
            </w:r>
          </w:p>
          <w:p>
            <w:pPr>
              <w:pStyle w:val="9"/>
              <w:spacing w:before="3" w:line="259" w:lineRule="exact"/>
              <w:ind w:left="107"/>
              <w:rPr>
                <w:sz w:val="21"/>
              </w:rPr>
            </w:pPr>
            <w:r>
              <w:rPr>
                <w:sz w:val="21"/>
              </w:rPr>
              <w:t>参考。</w:t>
            </w:r>
          </w:p>
        </w:tc>
        <w:tc>
          <w:tcPr>
            <w:tcW w:w="10064" w:type="dxa"/>
            <w:tcBorders>
              <w:bottom w:val="nil"/>
            </w:tcBorders>
          </w:tcPr>
          <w:p>
            <w:pPr>
              <w:pStyle w:val="9"/>
              <w:spacing w:before="21"/>
              <w:ind w:left="518"/>
              <w:rPr>
                <w:sz w:val="21"/>
              </w:rPr>
            </w:pPr>
            <w:r>
              <w:rPr>
                <w:sz w:val="21"/>
              </w:rPr>
              <w:t xml:space="preserve">第十条 有下列情形之一的单位或者个人，不得成为持有证券公司 </w:t>
            </w:r>
            <w:r>
              <w:rPr>
                <w:rFonts w:ascii="Times New Roman" w:eastAsia="Times New Roman"/>
                <w:sz w:val="21"/>
              </w:rPr>
              <w:t>5%</w:t>
            </w:r>
            <w:r>
              <w:rPr>
                <w:sz w:val="21"/>
              </w:rPr>
              <w:t>以上股权的股东、实际控制人：</w:t>
            </w:r>
          </w:p>
          <w:p>
            <w:pPr>
              <w:pStyle w:val="9"/>
              <w:spacing w:before="43"/>
              <w:ind w:left="518"/>
              <w:rPr>
                <w:sz w:val="21"/>
              </w:rPr>
            </w:pPr>
            <w:r>
              <w:rPr>
                <w:sz w:val="21"/>
              </w:rPr>
              <w:t xml:space="preserve">（一）因故意犯罪被判处刑罚，刑罚执行完毕未逾 </w:t>
            </w:r>
            <w:r>
              <w:rPr>
                <w:rFonts w:ascii="Times New Roman" w:eastAsia="Times New Roman"/>
                <w:sz w:val="21"/>
              </w:rPr>
              <w:t xml:space="preserve">3 </w:t>
            </w:r>
            <w:r>
              <w:rPr>
                <w:sz w:val="21"/>
              </w:rPr>
              <w:t>年；</w:t>
            </w:r>
          </w:p>
          <w:p>
            <w:pPr>
              <w:pStyle w:val="9"/>
              <w:spacing w:before="43"/>
              <w:ind w:left="518"/>
              <w:rPr>
                <w:sz w:val="21"/>
              </w:rPr>
            </w:pPr>
            <w:r>
              <w:rPr>
                <w:sz w:val="21"/>
              </w:rPr>
              <w:t>（四）国务院证券监督管理机构认定的其他情形。</w:t>
            </w:r>
          </w:p>
          <w:p>
            <w:pPr>
              <w:pStyle w:val="9"/>
              <w:spacing w:before="43"/>
              <w:rPr>
                <w:b/>
                <w:sz w:val="21"/>
              </w:rPr>
            </w:pPr>
            <w:r>
              <w:rPr>
                <w:b/>
                <w:sz w:val="21"/>
              </w:rPr>
              <w:t>《中华人民共和国证券投资基金法》</w:t>
            </w:r>
          </w:p>
          <w:p>
            <w:pPr>
              <w:pStyle w:val="9"/>
              <w:spacing w:before="43" w:line="278" w:lineRule="auto"/>
              <w:ind w:right="98" w:firstLine="410"/>
              <w:rPr>
                <w:sz w:val="21"/>
              </w:rPr>
            </w:pPr>
            <w:r>
              <w:rPr>
                <w:sz w:val="21"/>
              </w:rPr>
              <w:t>第十三条 设立管理公开募集基金的基金管理公司，应当具备下列条件，并经国务院证券监督管理机构批准：</w:t>
            </w:r>
          </w:p>
          <w:p>
            <w:pPr>
              <w:pStyle w:val="9"/>
              <w:spacing w:line="269" w:lineRule="exact"/>
              <w:ind w:left="518"/>
              <w:rPr>
                <w:sz w:val="21"/>
              </w:rPr>
            </w:pPr>
            <w:r>
              <w:rPr>
                <w:sz w:val="21"/>
              </w:rPr>
              <w:t>（三）主要股东应当具有经营金融业务或者管理金融机构的良好业绩、良好的财务状况和社会信誉，资</w:t>
            </w:r>
          </w:p>
        </w:tc>
        <w:tc>
          <w:tcPr>
            <w:tcW w:w="2500" w:type="dxa"/>
            <w:vMerge w:val="restart"/>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9" w:line="266" w:lineRule="exact"/>
              <w:rPr>
                <w:sz w:val="21"/>
              </w:rPr>
            </w:pPr>
            <w:r>
              <w:rPr>
                <w:sz w:val="21"/>
              </w:rPr>
              <w:t>产规模达到国务院规定的标准，最近三年没有违法记录；</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8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ind w:left="518"/>
              <w:rPr>
                <w:sz w:val="21"/>
              </w:rPr>
            </w:pPr>
            <w:r>
              <w:rPr>
                <w:sz w:val="21"/>
              </w:rPr>
              <w:t>（七）有良好的内部治理结构、完善的内部稽核监控制度、风险控制制度。</w:t>
            </w:r>
          </w:p>
          <w:p>
            <w:pPr>
              <w:pStyle w:val="9"/>
              <w:spacing w:before="43"/>
              <w:rPr>
                <w:b/>
                <w:sz w:val="21"/>
              </w:rPr>
            </w:pPr>
            <w:r>
              <w:rPr>
                <w:b/>
                <w:sz w:val="21"/>
              </w:rPr>
              <w:t xml:space="preserve">《证券投资基金管理公司管理办法》（证监会令第 </w:t>
            </w:r>
            <w:r>
              <w:rPr>
                <w:rFonts w:ascii="Times New Roman" w:eastAsia="Times New Roman"/>
                <w:b/>
                <w:sz w:val="21"/>
              </w:rPr>
              <w:t xml:space="preserve">84 </w:t>
            </w:r>
            <w:r>
              <w:rPr>
                <w:b/>
                <w:sz w:val="21"/>
              </w:rPr>
              <w:t>号）</w:t>
            </w:r>
          </w:p>
          <w:p>
            <w:pPr>
              <w:pStyle w:val="9"/>
              <w:spacing w:before="43" w:line="278" w:lineRule="auto"/>
              <w:ind w:right="98" w:firstLine="410"/>
              <w:rPr>
                <w:sz w:val="21"/>
              </w:rPr>
            </w:pPr>
            <w:r>
              <w:rPr>
                <w:sz w:val="21"/>
              </w:rPr>
              <w:t xml:space="preserve">第七条 申请设立基金管理公司，出资或者持有股份占资金管理公司注册资本的比例（以下简称持股比例）在 </w:t>
            </w:r>
            <w:r>
              <w:rPr>
                <w:rFonts w:ascii="Times New Roman" w:eastAsia="Times New Roman"/>
                <w:sz w:val="21"/>
              </w:rPr>
              <w:t>5%</w:t>
            </w:r>
            <w:r>
              <w:rPr>
                <w:sz w:val="21"/>
              </w:rPr>
              <w:t>以上的股东，应当具备下列条件：</w:t>
            </w:r>
          </w:p>
          <w:p>
            <w:pPr>
              <w:pStyle w:val="9"/>
              <w:spacing w:line="278" w:lineRule="auto"/>
              <w:ind w:right="22" w:firstLine="410"/>
              <w:rPr>
                <w:sz w:val="21"/>
              </w:rPr>
            </w:pPr>
            <w:r>
              <w:rPr>
                <w:sz w:val="21"/>
              </w:rPr>
              <w:t xml:space="preserve">（六）具有良好的社会信誉，最近 </w:t>
            </w:r>
            <w:r>
              <w:rPr>
                <w:rFonts w:ascii="Times New Roman" w:eastAsia="Times New Roman"/>
                <w:sz w:val="21"/>
              </w:rPr>
              <w:t xml:space="preserve">3 </w:t>
            </w:r>
            <w:r>
              <w:rPr>
                <w:sz w:val="21"/>
              </w:rPr>
              <w:t>年在金融监管、税务、工商等行政机关，以及自律管理、商业银行等机构无不良记录。</w:t>
            </w:r>
          </w:p>
          <w:p>
            <w:pPr>
              <w:pStyle w:val="9"/>
              <w:spacing w:line="269" w:lineRule="exact"/>
              <w:rPr>
                <w:b/>
                <w:sz w:val="21"/>
              </w:rPr>
            </w:pPr>
            <w:r>
              <w:rPr>
                <w:b/>
                <w:sz w:val="21"/>
              </w:rPr>
              <w:t xml:space="preserve">《期货交易管理条例》（国务院令第 </w:t>
            </w:r>
            <w:r>
              <w:rPr>
                <w:rFonts w:ascii="Times New Roman" w:eastAsia="Times New Roman"/>
                <w:b/>
                <w:sz w:val="21"/>
              </w:rPr>
              <w:t xml:space="preserve">489 </w:t>
            </w:r>
            <w:r>
              <w:rPr>
                <w:b/>
                <w:sz w:val="21"/>
              </w:rPr>
              <w:t>号）</w:t>
            </w:r>
          </w:p>
          <w:p>
            <w:pPr>
              <w:pStyle w:val="9"/>
              <w:spacing w:before="42"/>
              <w:ind w:left="518"/>
              <w:rPr>
                <w:sz w:val="21"/>
              </w:rPr>
            </w:pPr>
            <w:r>
              <w:rPr>
                <w:sz w:val="21"/>
              </w:rPr>
              <w:t>第十六条 申请设立期货公司，应当符合《中华人民共和国公司法》的规定，并具备下列条件：</w:t>
            </w:r>
          </w:p>
          <w:p>
            <w:pPr>
              <w:pStyle w:val="9"/>
              <w:spacing w:before="43"/>
              <w:ind w:left="518"/>
              <w:rPr>
                <w:sz w:val="21"/>
              </w:rPr>
            </w:pPr>
            <w:r>
              <w:rPr>
                <w:sz w:val="21"/>
              </w:rPr>
              <w:t xml:space="preserve">（四）主要股东以及实际控制人具有持续盈利能力，信誉良好，最近 </w:t>
            </w:r>
            <w:r>
              <w:rPr>
                <w:rFonts w:ascii="Times New Roman" w:eastAsia="Times New Roman"/>
                <w:sz w:val="21"/>
              </w:rPr>
              <w:t xml:space="preserve">3 </w:t>
            </w:r>
            <w:r>
              <w:rPr>
                <w:sz w:val="21"/>
              </w:rPr>
              <w:t>年无重大违法违规记录。</w:t>
            </w:r>
          </w:p>
          <w:p>
            <w:pPr>
              <w:pStyle w:val="9"/>
              <w:spacing w:before="43"/>
              <w:rPr>
                <w:b/>
                <w:sz w:val="21"/>
              </w:rPr>
            </w:pPr>
            <w:r>
              <w:rPr>
                <w:b/>
                <w:sz w:val="21"/>
              </w:rPr>
              <w:t xml:space="preserve">《期货公司监督管理办法》（证监会令第 </w:t>
            </w:r>
            <w:r>
              <w:rPr>
                <w:rFonts w:ascii="Times New Roman" w:eastAsia="Times New Roman"/>
                <w:b/>
                <w:sz w:val="21"/>
              </w:rPr>
              <w:t xml:space="preserve">110 </w:t>
            </w:r>
            <w:r>
              <w:rPr>
                <w:b/>
                <w:sz w:val="21"/>
              </w:rPr>
              <w:t>号）</w:t>
            </w:r>
          </w:p>
          <w:p>
            <w:pPr>
              <w:pStyle w:val="9"/>
              <w:spacing w:before="43"/>
              <w:ind w:left="518"/>
              <w:rPr>
                <w:sz w:val="21"/>
              </w:rPr>
            </w:pPr>
            <w:r>
              <w:rPr>
                <w:sz w:val="21"/>
              </w:rPr>
              <w:t xml:space="preserve">第七条 持有 </w:t>
            </w:r>
            <w:r>
              <w:rPr>
                <w:rFonts w:ascii="Times New Roman" w:eastAsia="Times New Roman"/>
                <w:sz w:val="21"/>
              </w:rPr>
              <w:t>5%</w:t>
            </w:r>
            <w:r>
              <w:rPr>
                <w:sz w:val="21"/>
              </w:rPr>
              <w:t>以上股权的股东为法人或者其他组织的，应当具备下列条件：</w:t>
            </w:r>
          </w:p>
          <w:p>
            <w:pPr>
              <w:pStyle w:val="9"/>
              <w:spacing w:before="43"/>
              <w:ind w:left="518"/>
              <w:rPr>
                <w:sz w:val="21"/>
              </w:rPr>
            </w:pPr>
            <w:r>
              <w:rPr>
                <w:sz w:val="21"/>
              </w:rPr>
              <w:t xml:space="preserve">（四）近 </w:t>
            </w:r>
            <w:r>
              <w:rPr>
                <w:rFonts w:ascii="Times New Roman" w:eastAsia="Times New Roman"/>
                <w:sz w:val="21"/>
              </w:rPr>
              <w:t xml:space="preserve">3 </w:t>
            </w:r>
            <w:r>
              <w:rPr>
                <w:sz w:val="21"/>
              </w:rPr>
              <w:t>年未因重大违法违规行为受到行政处罚或者刑事处罚。</w:t>
            </w:r>
          </w:p>
          <w:p>
            <w:pPr>
              <w:pStyle w:val="9"/>
              <w:spacing w:before="43" w:line="278" w:lineRule="auto"/>
              <w:ind w:right="16" w:firstLine="410"/>
              <w:rPr>
                <w:sz w:val="21"/>
              </w:rPr>
            </w:pPr>
            <w:r>
              <w:rPr>
                <w:sz w:val="21"/>
              </w:rPr>
              <w:t xml:space="preserve">第八条 持有期货公司 </w:t>
            </w:r>
            <w:r>
              <w:rPr>
                <w:rFonts w:ascii="Times New Roman" w:eastAsia="Times New Roman"/>
                <w:sz w:val="21"/>
              </w:rPr>
              <w:t>5%</w:t>
            </w:r>
            <w:r>
              <w:rPr>
                <w:sz w:val="21"/>
              </w:rPr>
              <w:t xml:space="preserve">以上股权的个人股东应当符合本办法第七条第（三）项至第（七）项规定的条件，且其个人金融资产不低于人民币 </w:t>
            </w:r>
            <w:r>
              <w:rPr>
                <w:rFonts w:ascii="Times New Roman" w:eastAsia="Times New Roman"/>
                <w:sz w:val="21"/>
              </w:rPr>
              <w:t xml:space="preserve">3000 </w:t>
            </w:r>
            <w:r>
              <w:rPr>
                <w:sz w:val="21"/>
              </w:rPr>
              <w:t>万元。</w:t>
            </w:r>
          </w:p>
          <w:p>
            <w:pPr>
              <w:pStyle w:val="9"/>
              <w:spacing w:line="269" w:lineRule="exact"/>
              <w:rPr>
                <w:b/>
                <w:sz w:val="21"/>
              </w:rPr>
            </w:pPr>
            <w:r>
              <w:rPr>
                <w:b/>
                <w:sz w:val="21"/>
              </w:rPr>
              <w:t xml:space="preserve">《私募投资基金监督管理暂行办法》（证监会令第 </w:t>
            </w:r>
            <w:r>
              <w:rPr>
                <w:rFonts w:ascii="Times New Roman" w:eastAsia="Times New Roman"/>
                <w:b/>
                <w:sz w:val="21"/>
              </w:rPr>
              <w:t xml:space="preserve">105 </w:t>
            </w:r>
            <w:r>
              <w:rPr>
                <w:b/>
                <w:sz w:val="21"/>
              </w:rPr>
              <w:t>号）</w:t>
            </w:r>
          </w:p>
          <w:p>
            <w:pPr>
              <w:pStyle w:val="9"/>
              <w:spacing w:before="43" w:line="266" w:lineRule="exact"/>
              <w:ind w:left="518"/>
              <w:rPr>
                <w:sz w:val="21"/>
              </w:rPr>
            </w:pPr>
            <w:r>
              <w:rPr>
                <w:sz w:val="21"/>
              </w:rPr>
              <w:t>第四条 私募基金管理人和从事私募基金托管业务的机构管理、运用私募基金财产，从事私募基金销售</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1"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line="266" w:lineRule="exact"/>
              <w:rPr>
                <w:sz w:val="21"/>
              </w:rPr>
            </w:pPr>
            <w:r>
              <w:rPr>
                <w:sz w:val="21"/>
              </w:rPr>
              <w:t>业务的机构及其他私募服务机构从事私募基金服务活动，应当恪尽职守，履行诚实信用、谨慎勤勉的义务。</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4" w:hRule="atLeast"/>
        </w:trPr>
        <w:tc>
          <w:tcPr>
            <w:tcW w:w="1384" w:type="dxa"/>
            <w:tcBorders>
              <w:top w:val="nil"/>
            </w:tcBorders>
          </w:tcPr>
          <w:p>
            <w:pPr>
              <w:pStyle w:val="9"/>
              <w:ind w:left="0"/>
              <w:rPr>
                <w:rFonts w:ascii="Times New Roman"/>
                <w:sz w:val="20"/>
              </w:rPr>
            </w:pPr>
          </w:p>
        </w:tc>
        <w:tc>
          <w:tcPr>
            <w:tcW w:w="10064" w:type="dxa"/>
            <w:tcBorders>
              <w:top w:val="nil"/>
            </w:tcBorders>
          </w:tcPr>
          <w:p>
            <w:pPr>
              <w:pStyle w:val="9"/>
              <w:spacing w:before="16" w:line="269" w:lineRule="exact"/>
              <w:rPr>
                <w:sz w:val="21"/>
              </w:rPr>
            </w:pPr>
            <w:r>
              <w:rPr>
                <w:sz w:val="21"/>
              </w:rPr>
              <w:t>私募基金从业人员应当遵守法律、行政法规，恪守职业道德和行为规范。</w:t>
            </w:r>
          </w:p>
        </w:tc>
        <w:tc>
          <w:tcPr>
            <w:tcW w:w="2500" w:type="dxa"/>
            <w:vMerge w:val="continue"/>
            <w:tcBorders>
              <w:top w:val="nil"/>
            </w:tcBorders>
          </w:tcPr>
          <w:p>
            <w:pPr>
              <w:rPr>
                <w:sz w:val="2"/>
                <w:szCs w:val="2"/>
              </w:rPr>
            </w:pPr>
          </w:p>
        </w:tc>
      </w:tr>
    </w:tbl>
    <w:p>
      <w:pPr>
        <w:spacing w:after="0"/>
        <w:rPr>
          <w:sz w:val="2"/>
          <w:szCs w:val="2"/>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trPr>
        <w:tc>
          <w:tcPr>
            <w:tcW w:w="1384" w:type="dxa"/>
          </w:tcPr>
          <w:p>
            <w:pPr>
              <w:pStyle w:val="9"/>
              <w:ind w:left="0"/>
              <w:rPr>
                <w:rFonts w:ascii="Times New Roman"/>
                <w:sz w:val="20"/>
              </w:rPr>
            </w:pPr>
          </w:p>
        </w:tc>
        <w:tc>
          <w:tcPr>
            <w:tcW w:w="10064" w:type="dxa"/>
          </w:tcPr>
          <w:p>
            <w:pPr>
              <w:pStyle w:val="9"/>
              <w:spacing w:before="21"/>
              <w:rPr>
                <w:b/>
                <w:sz w:val="21"/>
              </w:rPr>
            </w:pPr>
            <w:r>
              <w:rPr>
                <w:b/>
                <w:sz w:val="21"/>
              </w:rPr>
              <w:t>《中华人民共和国保险法》</w:t>
            </w:r>
          </w:p>
          <w:p>
            <w:pPr>
              <w:pStyle w:val="9"/>
              <w:tabs>
                <w:tab w:val="left" w:pos="1788"/>
              </w:tabs>
              <w:spacing w:before="43"/>
              <w:ind w:left="528"/>
              <w:rPr>
                <w:sz w:val="21"/>
              </w:rPr>
            </w:pPr>
            <w:r>
              <w:rPr>
                <w:sz w:val="21"/>
              </w:rPr>
              <w:t>第六十八条</w:t>
            </w:r>
            <w:r>
              <w:rPr>
                <w:sz w:val="21"/>
              </w:rPr>
              <w:tab/>
            </w:r>
            <w:r>
              <w:rPr>
                <w:sz w:val="21"/>
              </w:rPr>
              <w:t>设立保险公司应当具备下列条件：</w:t>
            </w:r>
          </w:p>
          <w:p>
            <w:pPr>
              <w:pStyle w:val="9"/>
              <w:spacing w:before="2" w:line="310" w:lineRule="atLeast"/>
              <w:ind w:right="96" w:firstLine="314"/>
              <w:rPr>
                <w:sz w:val="21"/>
              </w:rPr>
            </w:pPr>
            <w:r>
              <w:rPr>
                <w:sz w:val="21"/>
              </w:rPr>
              <w:t>（一）主要股东具有持续盈利能力，信誉良好，最近三年内无重大违法违规记录，净资产不低于人民币二亿元。</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84" w:type="dxa"/>
            <w:tcBorders>
              <w:bottom w:val="nil"/>
            </w:tcBorders>
          </w:tcPr>
          <w:p>
            <w:pPr>
              <w:pStyle w:val="9"/>
              <w:spacing w:before="1" w:line="242" w:lineRule="auto"/>
              <w:ind w:left="107" w:right="97"/>
              <w:rPr>
                <w:sz w:val="21"/>
              </w:rPr>
            </w:pPr>
            <w:r>
              <w:rPr>
                <w:rFonts w:ascii="Times New Roman" w:eastAsia="Times New Roman"/>
                <w:sz w:val="21"/>
              </w:rPr>
              <w:t>14.</w:t>
            </w:r>
            <w:r>
              <w:rPr>
                <w:sz w:val="21"/>
              </w:rPr>
              <w:t>将失信信息作为证券</w:t>
            </w:r>
          </w:p>
        </w:tc>
        <w:tc>
          <w:tcPr>
            <w:tcW w:w="10064" w:type="dxa"/>
            <w:vMerge w:val="restart"/>
          </w:tcPr>
          <w:p>
            <w:pPr>
              <w:pStyle w:val="9"/>
              <w:spacing w:before="21"/>
              <w:rPr>
                <w:b/>
                <w:sz w:val="21"/>
              </w:rPr>
            </w:pPr>
            <w:r>
              <w:rPr>
                <w:b/>
                <w:sz w:val="21"/>
              </w:rPr>
              <w:t>《证券法》</w:t>
            </w:r>
          </w:p>
          <w:p>
            <w:pPr>
              <w:pStyle w:val="9"/>
              <w:spacing w:before="42"/>
              <w:ind w:left="518"/>
              <w:rPr>
                <w:sz w:val="21"/>
              </w:rPr>
            </w:pPr>
            <w:r>
              <w:rPr>
                <w:sz w:val="21"/>
              </w:rPr>
              <w:t>第一百三十一条 证券公司的董事、监事、高级管理人员，应当正直诚实，品行良好。</w:t>
            </w:r>
          </w:p>
          <w:p>
            <w:pPr>
              <w:pStyle w:val="9"/>
              <w:spacing w:before="43"/>
              <w:rPr>
                <w:b/>
                <w:sz w:val="21"/>
              </w:rPr>
            </w:pPr>
            <w:r>
              <w:rPr>
                <w:b/>
                <w:sz w:val="21"/>
              </w:rPr>
              <w:t xml:space="preserve">《证券公司董事、监事和高级管理人员任职资格监管办法》（证监会令第 </w:t>
            </w:r>
            <w:r>
              <w:rPr>
                <w:rFonts w:ascii="Times New Roman" w:eastAsia="Times New Roman"/>
                <w:b/>
                <w:sz w:val="21"/>
              </w:rPr>
              <w:t xml:space="preserve">88 </w:t>
            </w:r>
            <w:r>
              <w:rPr>
                <w:b/>
                <w:sz w:val="21"/>
              </w:rPr>
              <w:t>号）</w:t>
            </w:r>
          </w:p>
          <w:p>
            <w:pPr>
              <w:pStyle w:val="9"/>
              <w:spacing w:before="43"/>
              <w:ind w:left="518"/>
              <w:rPr>
                <w:sz w:val="21"/>
              </w:rPr>
            </w:pPr>
            <w:r>
              <w:rPr>
                <w:sz w:val="21"/>
              </w:rPr>
              <w:t>第八条 取得证券公司董事、监事、高管人员和分支机构负责人任职资格，应当具备以下基本条件：</w:t>
            </w:r>
          </w:p>
          <w:p>
            <w:pPr>
              <w:pStyle w:val="9"/>
              <w:spacing w:before="43"/>
              <w:ind w:left="518"/>
              <w:rPr>
                <w:sz w:val="21"/>
              </w:rPr>
            </w:pPr>
            <w:r>
              <w:rPr>
                <w:sz w:val="21"/>
              </w:rPr>
              <w:t>（一）正直诚实，品行良好。</w:t>
            </w:r>
          </w:p>
          <w:p>
            <w:pPr>
              <w:pStyle w:val="9"/>
              <w:spacing w:before="43"/>
              <w:rPr>
                <w:b/>
                <w:sz w:val="21"/>
              </w:rPr>
            </w:pPr>
            <w:r>
              <w:rPr>
                <w:b/>
                <w:sz w:val="21"/>
              </w:rPr>
              <w:t xml:space="preserve">《证券投资基金行业高级管理人员任职管理办法》（证监会令第 </w:t>
            </w:r>
            <w:r>
              <w:rPr>
                <w:rFonts w:ascii="Times New Roman" w:eastAsia="Times New Roman"/>
                <w:b/>
                <w:sz w:val="21"/>
              </w:rPr>
              <w:t xml:space="preserve">23 </w:t>
            </w:r>
            <w:r>
              <w:rPr>
                <w:b/>
                <w:sz w:val="21"/>
              </w:rPr>
              <w:t>号）</w:t>
            </w:r>
          </w:p>
          <w:p>
            <w:pPr>
              <w:pStyle w:val="9"/>
              <w:spacing w:before="43" w:line="278" w:lineRule="auto"/>
              <w:ind w:right="98" w:firstLine="410"/>
              <w:rPr>
                <w:sz w:val="21"/>
              </w:rPr>
            </w:pPr>
            <w:r>
              <w:rPr>
                <w:sz w:val="21"/>
              </w:rPr>
              <w:t>第四条 高级管理人员应当遵守法律、行政法规和中国证监会的规定，遵守公司章程和行业规范，恪守诚信，审慎勤勉，忠实尽责，维护基金份额持有人的合法权益。</w:t>
            </w:r>
          </w:p>
          <w:p>
            <w:pPr>
              <w:pStyle w:val="9"/>
              <w:spacing w:line="269" w:lineRule="exact"/>
              <w:rPr>
                <w:b/>
                <w:sz w:val="21"/>
              </w:rPr>
            </w:pPr>
            <w:r>
              <w:rPr>
                <w:b/>
                <w:sz w:val="21"/>
              </w:rPr>
              <w:t xml:space="preserve">《保险公司董事、监事和高级管理人员任职资格管理规定》（保监会令 </w:t>
            </w:r>
            <w:r>
              <w:rPr>
                <w:rFonts w:ascii="Times New Roman" w:eastAsia="Times New Roman"/>
                <w:b/>
                <w:sz w:val="21"/>
              </w:rPr>
              <w:t xml:space="preserve">2014 </w:t>
            </w:r>
            <w:r>
              <w:rPr>
                <w:b/>
                <w:sz w:val="21"/>
              </w:rPr>
              <w:t xml:space="preserve">年第 </w:t>
            </w:r>
            <w:r>
              <w:rPr>
                <w:rFonts w:ascii="Times New Roman" w:eastAsia="Times New Roman"/>
                <w:b/>
                <w:sz w:val="21"/>
              </w:rPr>
              <w:t xml:space="preserve">1 </w:t>
            </w:r>
            <w:r>
              <w:rPr>
                <w:b/>
                <w:sz w:val="21"/>
              </w:rPr>
              <w:t>号）</w:t>
            </w:r>
          </w:p>
          <w:p>
            <w:pPr>
              <w:pStyle w:val="9"/>
              <w:spacing w:before="2" w:line="310" w:lineRule="atLeast"/>
              <w:ind w:right="98" w:firstLine="420"/>
              <w:rPr>
                <w:sz w:val="21"/>
              </w:rPr>
            </w:pPr>
            <w:r>
              <w:rPr>
                <w:sz w:val="21"/>
              </w:rPr>
              <w:t>第七条 保险机构董事、监事和高级管理人员应当具有诚实信用的品行、良好的合规经营意识和履行职务必需的经营管理能力。</w:t>
            </w:r>
          </w:p>
        </w:tc>
        <w:tc>
          <w:tcPr>
            <w:tcW w:w="2500" w:type="dxa"/>
            <w:tcBorders>
              <w:bottom w:val="nil"/>
            </w:tcBorders>
          </w:tcPr>
          <w:p>
            <w:pPr>
              <w:pStyle w:val="9"/>
              <w:spacing w:before="21"/>
              <w:ind w:left="79" w:right="71"/>
              <w:jc w:val="center"/>
              <w:rPr>
                <w:sz w:val="21"/>
              </w:rPr>
            </w:pPr>
            <w:r>
              <w:rPr>
                <w:sz w:val="21"/>
              </w:rPr>
              <w:t>证监会、</w:t>
            </w:r>
          </w:p>
          <w:p>
            <w:pPr>
              <w:pStyle w:val="9"/>
              <w:spacing w:before="42" w:line="215" w:lineRule="exact"/>
              <w:ind w:left="76" w:right="71"/>
              <w:jc w:val="center"/>
              <w:rPr>
                <w:sz w:val="21"/>
              </w:rPr>
            </w:pPr>
            <w:r>
              <w:rPr>
                <w:sz w:val="21"/>
              </w:rPr>
              <w:t>中国银行保险监督管理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6" w:hRule="atLeast"/>
        </w:trPr>
        <w:tc>
          <w:tcPr>
            <w:tcW w:w="1384" w:type="dxa"/>
            <w:tcBorders>
              <w:top w:val="nil"/>
              <w:bottom w:val="nil"/>
            </w:tcBorders>
          </w:tcPr>
          <w:p>
            <w:pPr>
              <w:pStyle w:val="9"/>
              <w:spacing w:line="235" w:lineRule="exact"/>
              <w:ind w:left="107"/>
              <w:rPr>
                <w:sz w:val="21"/>
              </w:rPr>
            </w:pPr>
            <w:r>
              <w:rPr>
                <w:spacing w:val="-17"/>
                <w:w w:val="95"/>
                <w:sz w:val="21"/>
              </w:rPr>
              <w:t>公司、保险公</w:t>
            </w:r>
          </w:p>
          <w:p>
            <w:pPr>
              <w:pStyle w:val="9"/>
              <w:spacing w:before="4" w:line="247" w:lineRule="exact"/>
              <w:ind w:left="107"/>
              <w:rPr>
                <w:sz w:val="21"/>
              </w:rPr>
            </w:pPr>
            <w:r>
              <w:rPr>
                <w:spacing w:val="-16"/>
                <w:w w:val="95"/>
                <w:sz w:val="21"/>
              </w:rPr>
              <w:t>司、基金管理</w:t>
            </w:r>
          </w:p>
        </w:tc>
        <w:tc>
          <w:tcPr>
            <w:tcW w:w="10064" w:type="dxa"/>
            <w:vMerge w:val="continue"/>
            <w:tcBorders>
              <w:top w:val="nil"/>
            </w:tcBorders>
          </w:tcPr>
          <w:p>
            <w:pPr>
              <w:rPr>
                <w:sz w:val="2"/>
                <w:szCs w:val="2"/>
              </w:rPr>
            </w:pPr>
          </w:p>
        </w:tc>
        <w:tc>
          <w:tcPr>
            <w:tcW w:w="2500" w:type="dxa"/>
            <w:tcBorders>
              <w:top w:val="nil"/>
              <w:bottom w:val="nil"/>
            </w:tcBorders>
          </w:tcPr>
          <w:p>
            <w:pPr>
              <w:pStyle w:val="9"/>
              <w:spacing w:before="66"/>
              <w:ind w:left="935"/>
              <w:rPr>
                <w:sz w:val="21"/>
              </w:rPr>
            </w:pPr>
            <w:r>
              <w:rPr>
                <w:sz w:val="21"/>
              </w:rPr>
              <w:t>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公司、期货公</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司的董事、监</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事和高级管</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trPr>
        <w:tc>
          <w:tcPr>
            <w:tcW w:w="1384" w:type="dxa"/>
            <w:tcBorders>
              <w:top w:val="nil"/>
              <w:bottom w:val="nil"/>
            </w:tcBorders>
          </w:tcPr>
          <w:p>
            <w:pPr>
              <w:pStyle w:val="9"/>
              <w:spacing w:line="241" w:lineRule="exact"/>
              <w:ind w:left="107"/>
              <w:rPr>
                <w:sz w:val="21"/>
              </w:rPr>
            </w:pPr>
            <w:r>
              <w:rPr>
                <w:sz w:val="21"/>
              </w:rPr>
              <w:t>理人员及分</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支机构负责</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人任职审批</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或备案的参</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32" w:hRule="atLeast"/>
        </w:trPr>
        <w:tc>
          <w:tcPr>
            <w:tcW w:w="1384" w:type="dxa"/>
            <w:tcBorders>
              <w:top w:val="nil"/>
            </w:tcBorders>
          </w:tcPr>
          <w:p>
            <w:pPr>
              <w:pStyle w:val="9"/>
              <w:spacing w:line="266" w:lineRule="exact"/>
              <w:ind w:left="107"/>
              <w:rPr>
                <w:sz w:val="21"/>
              </w:rPr>
            </w:pPr>
            <w:r>
              <w:rPr>
                <w:sz w:val="21"/>
              </w:rPr>
              <w:t>考。</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9" w:hRule="atLeast"/>
        </w:trPr>
        <w:tc>
          <w:tcPr>
            <w:tcW w:w="1384" w:type="dxa"/>
            <w:tcBorders>
              <w:bottom w:val="nil"/>
            </w:tcBorders>
          </w:tcPr>
          <w:p>
            <w:pPr>
              <w:pStyle w:val="9"/>
              <w:spacing w:before="1"/>
              <w:ind w:left="107"/>
              <w:rPr>
                <w:sz w:val="21"/>
              </w:rPr>
            </w:pPr>
            <w:r>
              <w:rPr>
                <w:rFonts w:ascii="Times New Roman" w:eastAsia="Times New Roman"/>
                <w:spacing w:val="5"/>
                <w:w w:val="95"/>
                <w:sz w:val="21"/>
              </w:rPr>
              <w:t>15.</w:t>
            </w:r>
            <w:r>
              <w:rPr>
                <w:spacing w:val="12"/>
                <w:w w:val="95"/>
                <w:sz w:val="21"/>
              </w:rPr>
              <w:t>对存在失</w:t>
            </w:r>
          </w:p>
          <w:p>
            <w:pPr>
              <w:pStyle w:val="9"/>
              <w:spacing w:before="2" w:line="247" w:lineRule="exact"/>
              <w:ind w:left="107"/>
              <w:rPr>
                <w:sz w:val="21"/>
              </w:rPr>
            </w:pPr>
            <w:r>
              <w:rPr>
                <w:spacing w:val="24"/>
                <w:w w:val="95"/>
                <w:sz w:val="21"/>
              </w:rPr>
              <w:t>信记录的相</w:t>
            </w:r>
          </w:p>
        </w:tc>
        <w:tc>
          <w:tcPr>
            <w:tcW w:w="10064" w:type="dxa"/>
            <w:vMerge w:val="restart"/>
          </w:tcPr>
          <w:p>
            <w:pPr>
              <w:pStyle w:val="9"/>
              <w:spacing w:before="20"/>
              <w:rPr>
                <w:b/>
                <w:sz w:val="21"/>
              </w:rPr>
            </w:pPr>
            <w:r>
              <w:rPr>
                <w:b/>
                <w:sz w:val="21"/>
              </w:rPr>
              <w:t xml:space="preserve">《上市公司收购管理办法》（证监会令 </w:t>
            </w:r>
            <w:r>
              <w:rPr>
                <w:rFonts w:ascii="Times New Roman" w:eastAsia="Times New Roman"/>
                <w:b/>
                <w:sz w:val="21"/>
              </w:rPr>
              <w:t xml:space="preserve">108 </w:t>
            </w:r>
            <w:r>
              <w:rPr>
                <w:b/>
                <w:sz w:val="21"/>
              </w:rPr>
              <w:t>号）</w:t>
            </w:r>
          </w:p>
          <w:p>
            <w:pPr>
              <w:pStyle w:val="9"/>
              <w:spacing w:before="43" w:line="278" w:lineRule="auto"/>
              <w:ind w:right="98" w:firstLine="410"/>
              <w:rPr>
                <w:sz w:val="21"/>
              </w:rPr>
            </w:pPr>
            <w:r>
              <w:rPr>
                <w:sz w:val="21"/>
              </w:rPr>
              <w:t>第六条 任何人不得利用上市公司的收购损害被收购公司及其股东的合法权益。有下列情形之一的，不得收购上市公司：</w:t>
            </w:r>
          </w:p>
          <w:p>
            <w:pPr>
              <w:pStyle w:val="9"/>
              <w:spacing w:line="269" w:lineRule="exact"/>
              <w:ind w:left="518"/>
              <w:rPr>
                <w:sz w:val="21"/>
              </w:rPr>
            </w:pPr>
            <w:r>
              <w:rPr>
                <w:w w:val="95"/>
                <w:sz w:val="21"/>
              </w:rPr>
              <w:t>（一）收购人负有数额较大债务，到期未清偿，且处于持续状态；</w:t>
            </w:r>
          </w:p>
          <w:p>
            <w:pPr>
              <w:pStyle w:val="9"/>
              <w:spacing w:before="43"/>
              <w:ind w:left="518"/>
              <w:rPr>
                <w:sz w:val="21"/>
              </w:rPr>
            </w:pPr>
            <w:r>
              <w:rPr>
                <w:sz w:val="21"/>
              </w:rPr>
              <w:t>（二）</w:t>
            </w:r>
            <w:r>
              <w:rPr>
                <w:spacing w:val="-10"/>
                <w:sz w:val="21"/>
              </w:rPr>
              <w:t xml:space="preserve">收购人最近 </w:t>
            </w:r>
            <w:r>
              <w:rPr>
                <w:rFonts w:ascii="Times New Roman" w:eastAsia="Times New Roman"/>
                <w:sz w:val="21"/>
              </w:rPr>
              <w:t>3</w:t>
            </w:r>
            <w:r>
              <w:rPr>
                <w:rFonts w:ascii="Times New Roman" w:eastAsia="Times New Roman"/>
                <w:spacing w:val="-8"/>
                <w:sz w:val="21"/>
              </w:rPr>
              <w:t xml:space="preserve"> </w:t>
            </w:r>
            <w:r>
              <w:rPr>
                <w:sz w:val="21"/>
              </w:rPr>
              <w:t>年有重大违法行为或者涉嫌有重大违法行为；</w:t>
            </w:r>
          </w:p>
          <w:p>
            <w:pPr>
              <w:pStyle w:val="9"/>
              <w:spacing w:before="43"/>
              <w:ind w:left="518"/>
              <w:rPr>
                <w:sz w:val="21"/>
              </w:rPr>
            </w:pPr>
            <w:r>
              <w:rPr>
                <w:sz w:val="21"/>
              </w:rPr>
              <w:t>（四）收购人为自然人的，存在《公司法》第一百四十六条规定情形；</w:t>
            </w:r>
          </w:p>
          <w:p>
            <w:pPr>
              <w:pStyle w:val="9"/>
              <w:spacing w:before="43"/>
              <w:ind w:left="518"/>
              <w:rPr>
                <w:sz w:val="21"/>
              </w:rPr>
            </w:pPr>
            <w:r>
              <w:rPr>
                <w:sz w:val="21"/>
              </w:rPr>
              <w:t>（五）法律、行政法规规定以及中国证监会认定的不得收购上市公司的其他情形。</w:t>
            </w:r>
          </w:p>
          <w:p>
            <w:pPr>
              <w:pStyle w:val="9"/>
              <w:spacing w:before="43"/>
              <w:rPr>
                <w:b/>
                <w:sz w:val="21"/>
              </w:rPr>
            </w:pPr>
            <w:r>
              <w:rPr>
                <w:b/>
                <w:sz w:val="21"/>
              </w:rPr>
              <w:t xml:space="preserve">《非上市公众公司收购管理办法》（证监会令第 </w:t>
            </w:r>
            <w:r>
              <w:rPr>
                <w:rFonts w:ascii="Times New Roman" w:eastAsia="Times New Roman"/>
                <w:b/>
                <w:sz w:val="21"/>
              </w:rPr>
              <w:t xml:space="preserve">102 </w:t>
            </w:r>
            <w:r>
              <w:rPr>
                <w:b/>
                <w:sz w:val="21"/>
              </w:rPr>
              <w:t>号）</w:t>
            </w:r>
          </w:p>
          <w:p>
            <w:pPr>
              <w:pStyle w:val="9"/>
              <w:spacing w:before="2" w:line="310" w:lineRule="atLeast"/>
              <w:ind w:right="98" w:firstLine="410"/>
              <w:jc w:val="both"/>
              <w:rPr>
                <w:sz w:val="21"/>
              </w:rPr>
            </w:pPr>
            <w:r>
              <w:rPr>
                <w:sz w:val="21"/>
              </w:rPr>
              <w:t>第六条 进行公众公司收购，收购人及其实际控制人应当具有良好的诚信记录，收购人及其实际控制人</w:t>
            </w:r>
            <w:r>
              <w:rPr>
                <w:spacing w:val="-3"/>
                <w:w w:val="95"/>
                <w:sz w:val="21"/>
              </w:rPr>
              <w:t xml:space="preserve">为法人的，应当具有健全的公司治理机制。任何人不得利用公众公司收购损害被收购公司及其股东的合法权   </w:t>
            </w:r>
            <w:r>
              <w:rPr>
                <w:spacing w:val="-3"/>
                <w:sz w:val="21"/>
              </w:rPr>
              <w:t>益。有下列情形之一的，不得收购公众公司：</w:t>
            </w:r>
          </w:p>
        </w:tc>
        <w:tc>
          <w:tcPr>
            <w:tcW w:w="2500" w:type="dxa"/>
            <w:tcBorders>
              <w:bottom w:val="nil"/>
            </w:tcBorders>
          </w:tcPr>
          <w:p>
            <w:pPr>
              <w:pStyle w:val="9"/>
              <w:spacing w:before="20"/>
              <w:ind w:left="935"/>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关主体在上</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市公司或者</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非上市公众</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公司收购的</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事中事后监</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1" w:hRule="atLeast"/>
        </w:trPr>
        <w:tc>
          <w:tcPr>
            <w:tcW w:w="1384" w:type="dxa"/>
            <w:tcBorders>
              <w:top w:val="nil"/>
              <w:bottom w:val="nil"/>
            </w:tcBorders>
          </w:tcPr>
          <w:p>
            <w:pPr>
              <w:pStyle w:val="9"/>
              <w:spacing w:line="241" w:lineRule="exact"/>
              <w:ind w:left="107"/>
              <w:rPr>
                <w:sz w:val="21"/>
              </w:rPr>
            </w:pPr>
            <w:r>
              <w:rPr>
                <w:sz w:val="21"/>
              </w:rPr>
              <w:t>管中予以重</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1384" w:type="dxa"/>
            <w:tcBorders>
              <w:top w:val="nil"/>
            </w:tcBorders>
          </w:tcPr>
          <w:p>
            <w:pPr>
              <w:pStyle w:val="9"/>
              <w:spacing w:line="265" w:lineRule="exact"/>
              <w:ind w:left="107"/>
              <w:rPr>
                <w:sz w:val="21"/>
              </w:rPr>
            </w:pPr>
            <w:r>
              <w:rPr>
                <w:sz w:val="21"/>
              </w:rPr>
              <w:t>点关注。</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20"/>
              </w:rPr>
            </w:pPr>
          </w:p>
        </w:tc>
      </w:tr>
    </w:tbl>
    <w:p>
      <w:pPr>
        <w:spacing w:after="0"/>
        <w:rPr>
          <w:rFonts w:ascii="Times New Roman"/>
          <w:sz w:val="20"/>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tcPr>
          <w:p>
            <w:pPr>
              <w:pStyle w:val="9"/>
              <w:ind w:left="0"/>
              <w:rPr>
                <w:rFonts w:ascii="Times New Roman"/>
                <w:sz w:val="20"/>
              </w:rPr>
            </w:pPr>
          </w:p>
        </w:tc>
        <w:tc>
          <w:tcPr>
            <w:tcW w:w="10064" w:type="dxa"/>
          </w:tcPr>
          <w:p>
            <w:pPr>
              <w:pStyle w:val="9"/>
              <w:spacing w:before="21"/>
              <w:ind w:left="518"/>
              <w:rPr>
                <w:sz w:val="21"/>
              </w:rPr>
            </w:pPr>
            <w:r>
              <w:rPr>
                <w:sz w:val="21"/>
              </w:rPr>
              <w:t xml:space="preserve">（二）收购人最近 </w:t>
            </w:r>
            <w:r>
              <w:rPr>
                <w:rFonts w:ascii="Times New Roman" w:eastAsia="Times New Roman"/>
                <w:sz w:val="21"/>
              </w:rPr>
              <w:t xml:space="preserve">2 </w:t>
            </w:r>
            <w:r>
              <w:rPr>
                <w:sz w:val="21"/>
              </w:rPr>
              <w:t>年有重大违法行为或者涉嫌有重大违法行为。</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384" w:type="dxa"/>
            <w:tcBorders>
              <w:bottom w:val="nil"/>
            </w:tcBorders>
          </w:tcPr>
          <w:p>
            <w:pPr>
              <w:pStyle w:val="9"/>
              <w:spacing w:before="1"/>
              <w:ind w:left="107"/>
              <w:rPr>
                <w:sz w:val="21"/>
              </w:rPr>
            </w:pPr>
            <w:r>
              <w:rPr>
                <w:rFonts w:ascii="Times New Roman" w:eastAsia="Times New Roman"/>
                <w:spacing w:val="5"/>
                <w:w w:val="95"/>
                <w:sz w:val="21"/>
              </w:rPr>
              <w:t>16.</w:t>
            </w:r>
            <w:r>
              <w:rPr>
                <w:spacing w:val="12"/>
                <w:w w:val="95"/>
                <w:sz w:val="21"/>
              </w:rPr>
              <w:t>将失信信</w:t>
            </w:r>
          </w:p>
          <w:p>
            <w:pPr>
              <w:pStyle w:val="9"/>
              <w:spacing w:before="2" w:line="245" w:lineRule="exact"/>
              <w:ind w:left="107"/>
              <w:rPr>
                <w:sz w:val="21"/>
              </w:rPr>
            </w:pPr>
            <w:r>
              <w:rPr>
                <w:spacing w:val="24"/>
                <w:w w:val="95"/>
                <w:sz w:val="21"/>
              </w:rPr>
              <w:t>息作为非上</w:t>
            </w:r>
          </w:p>
        </w:tc>
        <w:tc>
          <w:tcPr>
            <w:tcW w:w="10064" w:type="dxa"/>
            <w:vMerge w:val="restart"/>
          </w:tcPr>
          <w:p>
            <w:pPr>
              <w:pStyle w:val="9"/>
              <w:spacing w:before="20"/>
              <w:rPr>
                <w:b/>
                <w:sz w:val="21"/>
              </w:rPr>
            </w:pPr>
            <w:r>
              <w:rPr>
                <w:b/>
                <w:sz w:val="21"/>
              </w:rPr>
              <w:t xml:space="preserve">《非上市公众公司重大资产重组管理办法》（证监会令第 </w:t>
            </w:r>
            <w:r>
              <w:rPr>
                <w:rFonts w:ascii="Times New Roman" w:eastAsia="Times New Roman"/>
                <w:b/>
                <w:sz w:val="21"/>
              </w:rPr>
              <w:t xml:space="preserve">103 </w:t>
            </w:r>
            <w:r>
              <w:rPr>
                <w:b/>
                <w:sz w:val="21"/>
              </w:rPr>
              <w:t>号）</w:t>
            </w:r>
          </w:p>
          <w:p>
            <w:pPr>
              <w:pStyle w:val="9"/>
              <w:spacing w:before="43" w:line="278" w:lineRule="auto"/>
              <w:ind w:right="98" w:firstLine="410"/>
              <w:rPr>
                <w:sz w:val="21"/>
              </w:rPr>
            </w:pPr>
            <w:r>
              <w:rPr>
                <w:sz w:val="21"/>
              </w:rPr>
              <w:t>第五条 公众公司的董事、监事和高级管理人员在重大资产重组中，应当诚实守信、勤勉尽责，维护公众公司资产的安全，保护公众公司和全体股东的合法权益。</w:t>
            </w:r>
          </w:p>
          <w:p>
            <w:pPr>
              <w:pStyle w:val="9"/>
              <w:spacing w:line="269" w:lineRule="exact"/>
              <w:ind w:firstLine="410"/>
              <w:rPr>
                <w:sz w:val="21"/>
              </w:rPr>
            </w:pPr>
            <w:r>
              <w:rPr>
                <w:sz w:val="21"/>
              </w:rPr>
              <w:t>第二十七条 全国股份转让系统应当督促为公众公司提供服务的独立财务顾问诚实守信、勤勉尽责，发</w:t>
            </w:r>
          </w:p>
          <w:p>
            <w:pPr>
              <w:pStyle w:val="9"/>
              <w:spacing w:before="2" w:line="310" w:lineRule="atLeast"/>
              <w:ind w:right="38"/>
              <w:rPr>
                <w:sz w:val="21"/>
              </w:rPr>
            </w:pPr>
            <w:r>
              <w:rPr>
                <w:w w:val="95"/>
                <w:sz w:val="21"/>
              </w:rPr>
              <w:t>现独立财务顾问有违反法律、行政法规和中国证监会规定行为的，应当向中国证监会报告，并采取相应的自</w:t>
            </w:r>
            <w:r>
              <w:rPr>
                <w:sz w:val="21"/>
              </w:rPr>
              <w:t>律监管措施。</w:t>
            </w:r>
          </w:p>
        </w:tc>
        <w:tc>
          <w:tcPr>
            <w:tcW w:w="2500" w:type="dxa"/>
            <w:tcBorders>
              <w:bottom w:val="nil"/>
            </w:tcBorders>
          </w:tcPr>
          <w:p>
            <w:pPr>
              <w:pStyle w:val="9"/>
              <w:spacing w:before="20"/>
              <w:ind w:left="81" w:right="71"/>
              <w:jc w:val="center"/>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市公众公司</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hRule="atLeast"/>
        </w:trPr>
        <w:tc>
          <w:tcPr>
            <w:tcW w:w="1384" w:type="dxa"/>
            <w:tcBorders>
              <w:top w:val="nil"/>
              <w:bottom w:val="nil"/>
            </w:tcBorders>
          </w:tcPr>
          <w:p>
            <w:pPr>
              <w:pStyle w:val="9"/>
              <w:spacing w:line="244" w:lineRule="exact"/>
              <w:ind w:left="107"/>
              <w:rPr>
                <w:sz w:val="21"/>
              </w:rPr>
            </w:pPr>
            <w:r>
              <w:rPr>
                <w:sz w:val="21"/>
              </w:rPr>
              <w:t>重大资产重</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组审核的参</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5" w:hRule="atLeast"/>
        </w:trPr>
        <w:tc>
          <w:tcPr>
            <w:tcW w:w="1384" w:type="dxa"/>
            <w:tcBorders>
              <w:top w:val="nil"/>
            </w:tcBorders>
          </w:tcPr>
          <w:p>
            <w:pPr>
              <w:pStyle w:val="9"/>
              <w:spacing w:line="265" w:lineRule="exact"/>
              <w:ind w:left="107"/>
              <w:rPr>
                <w:sz w:val="21"/>
              </w:rPr>
            </w:pPr>
            <w:r>
              <w:rPr>
                <w:sz w:val="21"/>
              </w:rPr>
              <w:t>考。</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4" w:hRule="atLeast"/>
        </w:trPr>
        <w:tc>
          <w:tcPr>
            <w:tcW w:w="1384" w:type="dxa"/>
            <w:tcBorders>
              <w:bottom w:val="nil"/>
            </w:tcBorders>
          </w:tcPr>
          <w:p>
            <w:pPr>
              <w:pStyle w:val="9"/>
              <w:spacing w:before="1" w:line="242" w:lineRule="auto"/>
              <w:ind w:left="107" w:right="97"/>
              <w:rPr>
                <w:sz w:val="21"/>
              </w:rPr>
            </w:pPr>
            <w:r>
              <w:rPr>
                <w:rFonts w:ascii="Times New Roman" w:eastAsia="Times New Roman"/>
                <w:sz w:val="21"/>
              </w:rPr>
              <w:t>17.</w:t>
            </w:r>
            <w:r>
              <w:rPr>
                <w:sz w:val="21"/>
              </w:rPr>
              <w:t>将失信信息作为独立</w:t>
            </w:r>
          </w:p>
        </w:tc>
        <w:tc>
          <w:tcPr>
            <w:tcW w:w="10064" w:type="dxa"/>
            <w:tcBorders>
              <w:bottom w:val="nil"/>
            </w:tcBorders>
          </w:tcPr>
          <w:p>
            <w:pPr>
              <w:pStyle w:val="9"/>
              <w:spacing w:before="20"/>
              <w:rPr>
                <w:b/>
                <w:sz w:val="21"/>
              </w:rPr>
            </w:pPr>
            <w:r>
              <w:rPr>
                <w:b/>
                <w:sz w:val="21"/>
              </w:rPr>
              <w:t xml:space="preserve">《证券投资基金销售管理办法》（证监会令第 </w:t>
            </w:r>
            <w:r>
              <w:rPr>
                <w:rFonts w:ascii="Times New Roman" w:eastAsia="Times New Roman"/>
                <w:b/>
                <w:sz w:val="21"/>
              </w:rPr>
              <w:t xml:space="preserve">91 </w:t>
            </w:r>
            <w:r>
              <w:rPr>
                <w:b/>
                <w:sz w:val="21"/>
              </w:rPr>
              <w:t>号）</w:t>
            </w:r>
          </w:p>
          <w:p>
            <w:pPr>
              <w:pStyle w:val="9"/>
              <w:spacing w:before="43" w:line="222" w:lineRule="exact"/>
              <w:ind w:left="518"/>
              <w:rPr>
                <w:sz w:val="21"/>
              </w:rPr>
            </w:pPr>
            <w:r>
              <w:rPr>
                <w:sz w:val="21"/>
              </w:rPr>
              <w:t>第十六条 独立基金销售机构以有限责任公司形式设立的，其股东可以是企业法人或者自然人。企业法</w:t>
            </w:r>
          </w:p>
        </w:tc>
        <w:tc>
          <w:tcPr>
            <w:tcW w:w="2500" w:type="dxa"/>
            <w:tcBorders>
              <w:bottom w:val="nil"/>
            </w:tcBorders>
          </w:tcPr>
          <w:p>
            <w:pPr>
              <w:pStyle w:val="9"/>
              <w:spacing w:before="20"/>
              <w:ind w:left="81" w:right="71"/>
              <w:jc w:val="center"/>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89" w:hRule="atLeast"/>
        </w:trPr>
        <w:tc>
          <w:tcPr>
            <w:tcW w:w="1384" w:type="dxa"/>
            <w:tcBorders>
              <w:top w:val="nil"/>
              <w:bottom w:val="nil"/>
            </w:tcBorders>
          </w:tcPr>
          <w:p>
            <w:pPr>
              <w:pStyle w:val="9"/>
              <w:spacing w:line="241" w:lineRule="exact"/>
              <w:ind w:left="107"/>
              <w:rPr>
                <w:sz w:val="21"/>
              </w:rPr>
            </w:pPr>
            <w:r>
              <w:rPr>
                <w:sz w:val="21"/>
              </w:rPr>
              <w:t>基金销售机</w:t>
            </w:r>
          </w:p>
          <w:p>
            <w:pPr>
              <w:pStyle w:val="9"/>
              <w:spacing w:before="2" w:line="244" w:lineRule="auto"/>
              <w:ind w:left="107" w:right="97"/>
              <w:rPr>
                <w:sz w:val="21"/>
              </w:rPr>
            </w:pPr>
            <w:r>
              <w:rPr>
                <w:sz w:val="21"/>
              </w:rPr>
              <w:t>构审批的参考。</w:t>
            </w:r>
          </w:p>
        </w:tc>
        <w:tc>
          <w:tcPr>
            <w:tcW w:w="10064" w:type="dxa"/>
            <w:tcBorders>
              <w:top w:val="nil"/>
              <w:bottom w:val="nil"/>
            </w:tcBorders>
          </w:tcPr>
          <w:p>
            <w:pPr>
              <w:pStyle w:val="9"/>
              <w:spacing w:before="70"/>
              <w:rPr>
                <w:sz w:val="21"/>
              </w:rPr>
            </w:pPr>
            <w:r>
              <w:rPr>
                <w:sz w:val="21"/>
              </w:rPr>
              <w:t>人参股独立基金销售机构，应当具备以下条件：</w:t>
            </w:r>
          </w:p>
          <w:p>
            <w:pPr>
              <w:pStyle w:val="9"/>
              <w:spacing w:before="43"/>
              <w:ind w:left="518"/>
              <w:rPr>
                <w:sz w:val="21"/>
              </w:rPr>
            </w:pPr>
            <w:r>
              <w:rPr>
                <w:sz w:val="21"/>
              </w:rPr>
              <w:t xml:space="preserve">（二）最近 </w:t>
            </w:r>
            <w:r>
              <w:rPr>
                <w:rFonts w:ascii="Times New Roman" w:eastAsia="Times New Roman"/>
                <w:sz w:val="21"/>
              </w:rPr>
              <w:t xml:space="preserve">3 </w:t>
            </w:r>
            <w:r>
              <w:rPr>
                <w:sz w:val="21"/>
              </w:rPr>
              <w:t>年没有受到刑事处罚；</w:t>
            </w:r>
          </w:p>
          <w:p>
            <w:pPr>
              <w:pStyle w:val="9"/>
              <w:spacing w:before="43"/>
              <w:ind w:left="518"/>
              <w:rPr>
                <w:sz w:val="21"/>
              </w:rPr>
            </w:pPr>
            <w:r>
              <w:rPr>
                <w:sz w:val="21"/>
              </w:rPr>
              <w:t xml:space="preserve">（三）最近 </w:t>
            </w:r>
            <w:r>
              <w:rPr>
                <w:rFonts w:ascii="Times New Roman" w:eastAsia="Times New Roman"/>
                <w:sz w:val="21"/>
              </w:rPr>
              <w:t xml:space="preserve">3 </w:t>
            </w:r>
            <w:r>
              <w:rPr>
                <w:sz w:val="21"/>
              </w:rPr>
              <w:t>年没有受到金融监管、行业监管、工商、税务等行政管理部门的行政处罚；</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ind w:left="518"/>
              <w:rPr>
                <w:sz w:val="21"/>
              </w:rPr>
            </w:pPr>
            <w:r>
              <w:rPr>
                <w:sz w:val="21"/>
              </w:rPr>
              <w:t xml:space="preserve">（四）最近 </w:t>
            </w:r>
            <w:r>
              <w:rPr>
                <w:rFonts w:ascii="Times New Roman" w:eastAsia="Times New Roman"/>
                <w:sz w:val="21"/>
              </w:rPr>
              <w:t xml:space="preserve">3 </w:t>
            </w:r>
            <w:r>
              <w:rPr>
                <w:sz w:val="21"/>
              </w:rPr>
              <w:t>年在自律管理、商业银行等机构无不良记录。</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3" w:line="268" w:lineRule="exact"/>
              <w:ind w:left="518"/>
              <w:rPr>
                <w:sz w:val="21"/>
              </w:rPr>
            </w:pPr>
            <w:r>
              <w:rPr>
                <w:sz w:val="21"/>
              </w:rPr>
              <w:t>自然人参股独立基金销售机构，应当具备以下条件：</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9"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4"/>
              <w:ind w:left="518"/>
              <w:rPr>
                <w:sz w:val="21"/>
              </w:rPr>
            </w:pPr>
            <w:r>
              <w:rPr>
                <w:sz w:val="21"/>
              </w:rPr>
              <w:t xml:space="preserve">（二）最近 </w:t>
            </w:r>
            <w:r>
              <w:rPr>
                <w:rFonts w:ascii="Times New Roman" w:eastAsia="Times New Roman"/>
                <w:sz w:val="21"/>
              </w:rPr>
              <w:t xml:space="preserve">3 </w:t>
            </w:r>
            <w:r>
              <w:rPr>
                <w:sz w:val="21"/>
              </w:rPr>
              <w:t>年没有受到刑事处罚；</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5"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6"/>
              <w:ind w:left="518"/>
              <w:rPr>
                <w:sz w:val="21"/>
              </w:rPr>
            </w:pPr>
            <w:r>
              <w:rPr>
                <w:sz w:val="21"/>
              </w:rPr>
              <w:t xml:space="preserve">（三）最近 </w:t>
            </w:r>
            <w:r>
              <w:rPr>
                <w:rFonts w:ascii="Times New Roman" w:eastAsia="Times New Roman"/>
                <w:sz w:val="21"/>
              </w:rPr>
              <w:t xml:space="preserve">3 </w:t>
            </w:r>
            <w:r>
              <w:rPr>
                <w:sz w:val="21"/>
              </w:rPr>
              <w:t>年没有受到金融监管、行业监管、工商、税务等行政管理部门的行政处罚；</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3" w:line="268" w:lineRule="exact"/>
              <w:ind w:left="518"/>
              <w:rPr>
                <w:sz w:val="21"/>
              </w:rPr>
            </w:pPr>
            <w:r>
              <w:rPr>
                <w:sz w:val="21"/>
              </w:rPr>
              <w:t>（四）在自律管理、商业银行等机构无不良记录；</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4"/>
              <w:ind w:left="518"/>
              <w:rPr>
                <w:sz w:val="21"/>
              </w:rPr>
            </w:pPr>
            <w:r>
              <w:rPr>
                <w:sz w:val="21"/>
              </w:rPr>
              <w:t xml:space="preserve">（六）最近 </w:t>
            </w:r>
            <w:r>
              <w:rPr>
                <w:rFonts w:ascii="Times New Roman" w:eastAsia="Times New Roman"/>
                <w:sz w:val="21"/>
              </w:rPr>
              <w:t xml:space="preserve">3 </w:t>
            </w:r>
            <w:r>
              <w:rPr>
                <w:sz w:val="21"/>
              </w:rPr>
              <w:t>年无其他重大不良诚信记录。</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3" w:line="268" w:lineRule="exact"/>
              <w:ind w:left="518"/>
              <w:rPr>
                <w:sz w:val="21"/>
              </w:rPr>
            </w:pPr>
            <w:r>
              <w:rPr>
                <w:sz w:val="21"/>
              </w:rPr>
              <w:t>第十七条 独立基金销售机构以合伙企业形式设立的，其合伙人应当具备以下条件：</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3"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4"/>
              <w:ind w:left="518"/>
              <w:rPr>
                <w:sz w:val="21"/>
              </w:rPr>
            </w:pPr>
            <w:r>
              <w:rPr>
                <w:sz w:val="21"/>
              </w:rPr>
              <w:t xml:space="preserve">（二）最近 </w:t>
            </w:r>
            <w:r>
              <w:rPr>
                <w:rFonts w:ascii="Times New Roman" w:eastAsia="Times New Roman"/>
                <w:sz w:val="21"/>
              </w:rPr>
              <w:t xml:space="preserve">3 </w:t>
            </w:r>
            <w:r>
              <w:rPr>
                <w:sz w:val="21"/>
              </w:rPr>
              <w:t>年没有受到刑事处罚；</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0"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3" w:line="268" w:lineRule="exact"/>
              <w:ind w:left="518"/>
              <w:rPr>
                <w:sz w:val="21"/>
              </w:rPr>
            </w:pPr>
            <w:r>
              <w:rPr>
                <w:sz w:val="21"/>
              </w:rPr>
              <w:t>（四）在自律管理、商业银行等机构无不良记录；</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 w:hRule="atLeast"/>
        </w:trPr>
        <w:tc>
          <w:tcPr>
            <w:tcW w:w="1384" w:type="dxa"/>
            <w:tcBorders>
              <w:top w:val="nil"/>
            </w:tcBorders>
          </w:tcPr>
          <w:p>
            <w:pPr>
              <w:pStyle w:val="9"/>
              <w:ind w:left="0"/>
              <w:rPr>
                <w:rFonts w:ascii="Times New Roman"/>
                <w:sz w:val="20"/>
              </w:rPr>
            </w:pPr>
          </w:p>
        </w:tc>
        <w:tc>
          <w:tcPr>
            <w:tcW w:w="10064" w:type="dxa"/>
            <w:tcBorders>
              <w:top w:val="nil"/>
            </w:tcBorders>
          </w:tcPr>
          <w:p>
            <w:pPr>
              <w:pStyle w:val="9"/>
              <w:spacing w:before="24"/>
              <w:ind w:left="518"/>
              <w:rPr>
                <w:sz w:val="21"/>
              </w:rPr>
            </w:pPr>
            <w:r>
              <w:rPr>
                <w:sz w:val="21"/>
              </w:rPr>
              <w:t xml:space="preserve">（六）最近 </w:t>
            </w:r>
            <w:r>
              <w:rPr>
                <w:rFonts w:ascii="Times New Roman" w:eastAsia="Times New Roman"/>
                <w:sz w:val="21"/>
              </w:rPr>
              <w:t xml:space="preserve">3 </w:t>
            </w:r>
            <w:r>
              <w:rPr>
                <w:sz w:val="21"/>
              </w:rPr>
              <w:t>年无其他重大不良诚信记录。</w:t>
            </w:r>
          </w:p>
        </w:tc>
        <w:tc>
          <w:tcPr>
            <w:tcW w:w="2500" w:type="dxa"/>
            <w:tcBorders>
              <w:top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384" w:type="dxa"/>
            <w:tcBorders>
              <w:bottom w:val="nil"/>
            </w:tcBorders>
          </w:tcPr>
          <w:p>
            <w:pPr>
              <w:pStyle w:val="9"/>
              <w:spacing w:line="242" w:lineRule="auto"/>
              <w:ind w:left="107" w:right="97"/>
              <w:rPr>
                <w:sz w:val="21"/>
              </w:rPr>
            </w:pPr>
            <w:r>
              <w:rPr>
                <w:rFonts w:ascii="Times New Roman" w:eastAsia="Times New Roman"/>
                <w:sz w:val="21"/>
              </w:rPr>
              <w:t>18.</w:t>
            </w:r>
            <w:r>
              <w:rPr>
                <w:sz w:val="21"/>
              </w:rPr>
              <w:t>加强旅游经营和服务</w:t>
            </w:r>
          </w:p>
        </w:tc>
        <w:tc>
          <w:tcPr>
            <w:tcW w:w="10064" w:type="dxa"/>
            <w:vMerge w:val="restart"/>
          </w:tcPr>
          <w:p>
            <w:pPr>
              <w:pStyle w:val="9"/>
              <w:spacing w:before="20" w:line="278" w:lineRule="auto"/>
              <w:ind w:left="528" w:right="7416" w:hanging="420"/>
              <w:rPr>
                <w:sz w:val="21"/>
              </w:rPr>
            </w:pPr>
            <w:r>
              <w:rPr>
                <w:b/>
                <w:sz w:val="21"/>
              </w:rPr>
              <w:t>《中华人民共和国旅游法》</w:t>
            </w:r>
            <w:r>
              <w:rPr>
                <w:sz w:val="21"/>
              </w:rPr>
              <w:t>第七章 旅游监督管理</w:t>
            </w:r>
          </w:p>
          <w:p>
            <w:pPr>
              <w:pStyle w:val="9"/>
              <w:spacing w:line="269" w:lineRule="exact"/>
              <w:ind w:left="528"/>
              <w:rPr>
                <w:sz w:val="21"/>
              </w:rPr>
            </w:pPr>
            <w:r>
              <w:rPr>
                <w:sz w:val="21"/>
              </w:rPr>
              <w:t>第八十三条 县级以上人民政府旅游主管部门和有关部门依照本法和有关法律、法规的规定，在各自职</w:t>
            </w:r>
          </w:p>
          <w:p>
            <w:pPr>
              <w:pStyle w:val="9"/>
              <w:spacing w:before="43"/>
              <w:rPr>
                <w:sz w:val="21"/>
              </w:rPr>
            </w:pPr>
            <w:r>
              <w:rPr>
                <w:sz w:val="21"/>
              </w:rPr>
              <w:t>责范围内对旅游市场实施监督管理。</w:t>
            </w:r>
          </w:p>
        </w:tc>
        <w:tc>
          <w:tcPr>
            <w:tcW w:w="2500" w:type="dxa"/>
            <w:tcBorders>
              <w:bottom w:val="nil"/>
            </w:tcBorders>
          </w:tcPr>
          <w:p>
            <w:pPr>
              <w:pStyle w:val="9"/>
              <w:spacing w:before="20"/>
              <w:ind w:left="81" w:right="71"/>
              <w:jc w:val="center"/>
              <w:rPr>
                <w:sz w:val="21"/>
              </w:rPr>
            </w:pPr>
            <w:r>
              <w:rPr>
                <w:sz w:val="21"/>
              </w:rPr>
              <w:t>文化和旅游部、</w:t>
            </w:r>
          </w:p>
          <w:p>
            <w:pPr>
              <w:pStyle w:val="9"/>
              <w:spacing w:before="43" w:line="217" w:lineRule="exact"/>
              <w:ind w:left="79" w:right="71"/>
              <w:jc w:val="center"/>
              <w:rPr>
                <w:sz w:val="21"/>
              </w:rPr>
            </w:pPr>
            <w:r>
              <w:rPr>
                <w:sz w:val="21"/>
              </w:rPr>
              <w:t>国家发展改革委、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51" w:hRule="atLeast"/>
        </w:trPr>
        <w:tc>
          <w:tcPr>
            <w:tcW w:w="1384" w:type="dxa"/>
            <w:tcBorders>
              <w:top w:val="nil"/>
              <w:bottom w:val="nil"/>
            </w:tcBorders>
          </w:tcPr>
          <w:p>
            <w:pPr>
              <w:pStyle w:val="9"/>
              <w:spacing w:line="236" w:lineRule="exact"/>
              <w:ind w:left="107"/>
              <w:rPr>
                <w:sz w:val="21"/>
              </w:rPr>
            </w:pPr>
            <w:r>
              <w:rPr>
                <w:sz w:val="21"/>
              </w:rPr>
              <w:t>质量监管。</w:t>
            </w:r>
          </w:p>
        </w:tc>
        <w:tc>
          <w:tcPr>
            <w:tcW w:w="10064" w:type="dxa"/>
            <w:vMerge w:val="continue"/>
            <w:tcBorders>
              <w:top w:val="nil"/>
            </w:tcBorders>
          </w:tcPr>
          <w:p>
            <w:pPr>
              <w:rPr>
                <w:sz w:val="2"/>
                <w:szCs w:val="2"/>
              </w:rPr>
            </w:pPr>
          </w:p>
        </w:tc>
        <w:tc>
          <w:tcPr>
            <w:tcW w:w="2500" w:type="dxa"/>
            <w:tcBorders>
              <w:top w:val="nil"/>
              <w:bottom w:val="nil"/>
            </w:tcBorders>
          </w:tcPr>
          <w:p>
            <w:pPr>
              <w:pStyle w:val="9"/>
              <w:spacing w:before="65" w:line="266" w:lineRule="exact"/>
              <w:ind w:left="76" w:right="71"/>
              <w:jc w:val="center"/>
              <w:rPr>
                <w:sz w:val="21"/>
              </w:rPr>
            </w:pPr>
            <w:r>
              <w:rPr>
                <w:sz w:val="21"/>
              </w:rPr>
              <w:t>交通运输部、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06" w:hRule="atLeast"/>
        </w:trPr>
        <w:tc>
          <w:tcPr>
            <w:tcW w:w="1384" w:type="dxa"/>
            <w:tcBorders>
              <w:top w:val="nil"/>
            </w:tcBorders>
          </w:tcPr>
          <w:p>
            <w:pPr>
              <w:pStyle w:val="9"/>
              <w:ind w:left="0"/>
              <w:rPr>
                <w:rFonts w:ascii="Times New Roman"/>
                <w:sz w:val="20"/>
              </w:rPr>
            </w:pPr>
          </w:p>
        </w:tc>
        <w:tc>
          <w:tcPr>
            <w:tcW w:w="10064" w:type="dxa"/>
            <w:vMerge w:val="continue"/>
            <w:tcBorders>
              <w:top w:val="nil"/>
            </w:tcBorders>
          </w:tcPr>
          <w:p>
            <w:pPr>
              <w:rPr>
                <w:sz w:val="2"/>
                <w:szCs w:val="2"/>
              </w:rPr>
            </w:pPr>
          </w:p>
        </w:tc>
        <w:tc>
          <w:tcPr>
            <w:tcW w:w="2500" w:type="dxa"/>
            <w:tcBorders>
              <w:top w:val="nil"/>
            </w:tcBorders>
          </w:tcPr>
          <w:p>
            <w:pPr>
              <w:pStyle w:val="9"/>
              <w:spacing w:before="16"/>
              <w:ind w:left="79" w:right="71"/>
              <w:jc w:val="center"/>
              <w:rPr>
                <w:sz w:val="21"/>
              </w:rPr>
            </w:pPr>
            <w:r>
              <w:rPr>
                <w:sz w:val="21"/>
              </w:rPr>
              <w:t>商务部、</w:t>
            </w:r>
          </w:p>
        </w:tc>
      </w:tr>
    </w:tbl>
    <w:p>
      <w:pPr>
        <w:spacing w:after="0"/>
        <w:jc w:val="center"/>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10" w:hRule="atLeast"/>
        </w:trPr>
        <w:tc>
          <w:tcPr>
            <w:tcW w:w="1384" w:type="dxa"/>
          </w:tcPr>
          <w:p>
            <w:pPr>
              <w:pStyle w:val="9"/>
              <w:ind w:left="0"/>
              <w:rPr>
                <w:rFonts w:ascii="Times New Roman"/>
                <w:sz w:val="20"/>
              </w:rPr>
            </w:pPr>
          </w:p>
        </w:tc>
        <w:tc>
          <w:tcPr>
            <w:tcW w:w="10064" w:type="dxa"/>
          </w:tcPr>
          <w:p>
            <w:pPr>
              <w:pStyle w:val="9"/>
              <w:spacing w:before="21" w:line="278" w:lineRule="auto"/>
              <w:ind w:right="27" w:firstLine="420"/>
              <w:rPr>
                <w:sz w:val="21"/>
              </w:rPr>
            </w:pPr>
            <w:r>
              <w:rPr>
                <w:w w:val="95"/>
                <w:sz w:val="21"/>
              </w:rPr>
              <w:t>县级以上人民政府应当组织旅游主管部门、有关主管部门和工商行政管理、产品质量监督、交通等执法</w:t>
            </w:r>
            <w:r>
              <w:rPr>
                <w:sz w:val="21"/>
              </w:rPr>
              <w:t>部门对相关旅游经营行为实施监督检查。</w:t>
            </w:r>
          </w:p>
          <w:p>
            <w:pPr>
              <w:pStyle w:val="9"/>
              <w:spacing w:line="278" w:lineRule="auto"/>
              <w:ind w:right="98" w:firstLine="420"/>
              <w:rPr>
                <w:sz w:val="21"/>
              </w:rPr>
            </w:pPr>
            <w:r>
              <w:rPr>
                <w:sz w:val="21"/>
              </w:rPr>
              <w:t>第八十四条 旅游主管部门履行监督管理职责，不得违反法律、行政法规的规定向监督管理对象收取费用。旅游主管部门及其工作人员不得参与任何形式的旅游经营活动。</w:t>
            </w:r>
          </w:p>
          <w:p>
            <w:pPr>
              <w:pStyle w:val="9"/>
              <w:spacing w:line="269" w:lineRule="exact"/>
              <w:ind w:left="528"/>
              <w:rPr>
                <w:sz w:val="21"/>
              </w:rPr>
            </w:pPr>
            <w:r>
              <w:rPr>
                <w:sz w:val="21"/>
              </w:rPr>
              <w:t>第八十五条 县级以上人民政府旅游主管部门有权对下列事项实施监督检查：</w:t>
            </w:r>
          </w:p>
          <w:p>
            <w:pPr>
              <w:pStyle w:val="9"/>
              <w:spacing w:before="43"/>
              <w:ind w:left="528"/>
              <w:rPr>
                <w:sz w:val="21"/>
              </w:rPr>
            </w:pPr>
            <w:r>
              <w:rPr>
                <w:sz w:val="21"/>
              </w:rPr>
              <w:t>（一）经营旅行社业务以及从事导游、领队服务是否取得经营、执业许可；</w:t>
            </w:r>
          </w:p>
          <w:p>
            <w:pPr>
              <w:pStyle w:val="9"/>
              <w:spacing w:before="43"/>
              <w:ind w:left="528"/>
              <w:rPr>
                <w:sz w:val="21"/>
              </w:rPr>
            </w:pPr>
            <w:r>
              <w:rPr>
                <w:sz w:val="21"/>
              </w:rPr>
              <w:t>（二）旅行社的经营行为；</w:t>
            </w:r>
          </w:p>
          <w:p>
            <w:pPr>
              <w:pStyle w:val="9"/>
              <w:spacing w:before="42"/>
              <w:ind w:left="528"/>
              <w:rPr>
                <w:sz w:val="21"/>
              </w:rPr>
            </w:pPr>
            <w:r>
              <w:rPr>
                <w:sz w:val="21"/>
              </w:rPr>
              <w:t>（三）导游和领队等旅游从业人员的服务行为；</w:t>
            </w:r>
          </w:p>
          <w:p>
            <w:pPr>
              <w:pStyle w:val="9"/>
              <w:spacing w:before="43"/>
              <w:ind w:left="528"/>
              <w:rPr>
                <w:sz w:val="21"/>
              </w:rPr>
            </w:pPr>
            <w:r>
              <w:rPr>
                <w:sz w:val="21"/>
              </w:rPr>
              <w:t>（四）法律、法规规定的其他事项。</w:t>
            </w:r>
          </w:p>
          <w:p>
            <w:pPr>
              <w:pStyle w:val="9"/>
              <w:spacing w:before="43" w:line="278" w:lineRule="auto"/>
              <w:ind w:right="-15" w:firstLine="420"/>
              <w:rPr>
                <w:sz w:val="21"/>
              </w:rPr>
            </w:pPr>
            <w:r>
              <w:rPr>
                <w:spacing w:val="-7"/>
                <w:w w:val="95"/>
                <w:sz w:val="21"/>
              </w:rPr>
              <w:t>旅游主管部门依照前款规定实施监督检查，可以对涉嫌违法的合同、票据、账簿以及其他资料进行查阅、</w:t>
            </w:r>
            <w:r>
              <w:rPr>
                <w:spacing w:val="-7"/>
                <w:sz w:val="21"/>
              </w:rPr>
              <w:t>复制。</w:t>
            </w:r>
          </w:p>
          <w:p>
            <w:pPr>
              <w:pStyle w:val="9"/>
              <w:spacing w:line="278" w:lineRule="auto"/>
              <w:ind w:right="98" w:firstLine="420"/>
              <w:rPr>
                <w:sz w:val="21"/>
              </w:rPr>
            </w:pPr>
            <w:r>
              <w:rPr>
                <w:sz w:val="21"/>
              </w:rPr>
              <w:t>第八十六条 旅游主管部门和有关部门依法实施监督检查，其监督检查人员不得少于二人，并应当出示合法证件。监督检查人员少于二人或者未出示合法证件的，被检查单位和个人有权拒绝。</w:t>
            </w:r>
          </w:p>
          <w:p>
            <w:pPr>
              <w:pStyle w:val="9"/>
              <w:spacing w:line="269" w:lineRule="exact"/>
              <w:ind w:left="528"/>
              <w:rPr>
                <w:sz w:val="21"/>
              </w:rPr>
            </w:pPr>
            <w:r>
              <w:rPr>
                <w:sz w:val="21"/>
              </w:rPr>
              <w:t>监督检查人员对在监督检查中知悉的被检查单位的商业秘密和个人信息应当依法保密。</w:t>
            </w:r>
          </w:p>
          <w:p>
            <w:pPr>
              <w:pStyle w:val="9"/>
              <w:spacing w:before="43" w:line="278" w:lineRule="auto"/>
              <w:ind w:right="98" w:firstLine="420"/>
              <w:rPr>
                <w:sz w:val="21"/>
              </w:rPr>
            </w:pPr>
            <w:r>
              <w:rPr>
                <w:sz w:val="21"/>
              </w:rPr>
              <w:t>第八十七条 对依法实施的监督检查，有关单位和个人应当配合，如实说明情况并提供文件、资料，不得拒绝、阻碍和隐瞒。</w:t>
            </w:r>
          </w:p>
          <w:p>
            <w:pPr>
              <w:pStyle w:val="9"/>
              <w:spacing w:line="269" w:lineRule="exact"/>
              <w:rPr>
                <w:b/>
                <w:sz w:val="21"/>
              </w:rPr>
            </w:pPr>
            <w:r>
              <w:rPr>
                <w:b/>
                <w:sz w:val="21"/>
              </w:rPr>
              <w:t>《旅行社条例》</w:t>
            </w:r>
          </w:p>
          <w:p>
            <w:pPr>
              <w:pStyle w:val="9"/>
              <w:spacing w:before="43"/>
              <w:ind w:left="528"/>
              <w:rPr>
                <w:sz w:val="21"/>
              </w:rPr>
            </w:pPr>
            <w:r>
              <w:rPr>
                <w:sz w:val="21"/>
              </w:rPr>
              <w:t>第三条 国务院旅游行政主管部门负责全国旅行社的监督管理工作。</w:t>
            </w:r>
          </w:p>
          <w:p>
            <w:pPr>
              <w:pStyle w:val="9"/>
              <w:spacing w:before="43"/>
              <w:ind w:left="528"/>
              <w:rPr>
                <w:sz w:val="21"/>
              </w:rPr>
            </w:pPr>
            <w:r>
              <w:rPr>
                <w:sz w:val="21"/>
              </w:rPr>
              <w:t>县级以上地方人民政府管理旅游工作的部门按照职责负责本行政区域内旅行社的监督管理工作。</w:t>
            </w:r>
          </w:p>
          <w:p>
            <w:pPr>
              <w:pStyle w:val="9"/>
              <w:spacing w:before="43" w:line="278" w:lineRule="auto"/>
              <w:ind w:right="34" w:firstLine="420"/>
              <w:rPr>
                <w:sz w:val="21"/>
              </w:rPr>
            </w:pPr>
            <w:r>
              <w:rPr>
                <w:w w:val="95"/>
                <w:sz w:val="21"/>
              </w:rPr>
              <w:t>县级以上各级人民政府工商、价格、商务、外汇等有关部门，应当按照职责分工，依法对旅行社进行监</w:t>
            </w:r>
            <w:r>
              <w:rPr>
                <w:sz w:val="21"/>
              </w:rPr>
              <w:t>督管理。</w:t>
            </w:r>
          </w:p>
          <w:p>
            <w:pPr>
              <w:pStyle w:val="9"/>
              <w:spacing w:line="278" w:lineRule="auto"/>
              <w:ind w:right="98" w:firstLine="420"/>
              <w:rPr>
                <w:sz w:val="21"/>
              </w:rPr>
            </w:pPr>
            <w:r>
              <w:rPr>
                <w:sz w:val="21"/>
              </w:rPr>
              <w:t>第四十一条 旅游、工商、价格、商务、外汇等有关部门应当依法加强对旅行社的监督管理，发现违法行为，应当及时予以处理。</w:t>
            </w:r>
          </w:p>
          <w:p>
            <w:pPr>
              <w:pStyle w:val="9"/>
              <w:spacing w:line="278" w:lineRule="auto"/>
              <w:ind w:right="93" w:firstLine="420"/>
              <w:rPr>
                <w:sz w:val="21"/>
              </w:rPr>
            </w:pPr>
            <w:r>
              <w:rPr>
                <w:sz w:val="21"/>
              </w:rPr>
              <w:t>第四十二条 旅游、工商、价格等行政管理部门应当及时向社会公告监督检查的情况。公告的内容包括</w:t>
            </w:r>
            <w:r>
              <w:rPr>
                <w:w w:val="95"/>
                <w:sz w:val="21"/>
              </w:rPr>
              <w:t>旅行社业务经营许可证的颁发、变更、吊销、注销情况，旅行社的违法经营行为以及旅行社的诚信记录、旅</w:t>
            </w:r>
            <w:r>
              <w:rPr>
                <w:sz w:val="21"/>
              </w:rPr>
              <w:t>游者投诉信息等。</w:t>
            </w:r>
          </w:p>
        </w:tc>
        <w:tc>
          <w:tcPr>
            <w:tcW w:w="2500" w:type="dxa"/>
          </w:tcPr>
          <w:p>
            <w:pPr>
              <w:pStyle w:val="9"/>
              <w:spacing w:before="21" w:line="278" w:lineRule="auto"/>
              <w:ind w:left="107" w:right="71"/>
              <w:jc w:val="center"/>
              <w:rPr>
                <w:sz w:val="21"/>
              </w:rPr>
            </w:pPr>
            <w:r>
              <w:rPr>
                <w:spacing w:val="-2"/>
                <w:sz w:val="21"/>
              </w:rPr>
              <w:t>国家市场监督管理总局、</w:t>
            </w:r>
            <w:r>
              <w:rPr>
                <w:sz w:val="21"/>
              </w:rPr>
              <w:t>住房城乡建设部等相关 部门</w:t>
            </w:r>
          </w:p>
        </w:tc>
      </w:tr>
    </w:tbl>
    <w:p>
      <w:pPr>
        <w:spacing w:after="0" w:line="278" w:lineRule="auto"/>
        <w:jc w:val="center"/>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8" w:hRule="atLeast"/>
        </w:trPr>
        <w:tc>
          <w:tcPr>
            <w:tcW w:w="1384" w:type="dxa"/>
          </w:tcPr>
          <w:p>
            <w:pPr>
              <w:pStyle w:val="9"/>
              <w:ind w:left="0"/>
              <w:rPr>
                <w:rFonts w:ascii="Times New Roman"/>
                <w:sz w:val="20"/>
              </w:rPr>
            </w:pPr>
          </w:p>
        </w:tc>
        <w:tc>
          <w:tcPr>
            <w:tcW w:w="10064" w:type="dxa"/>
          </w:tcPr>
          <w:p>
            <w:pPr>
              <w:pStyle w:val="9"/>
              <w:spacing w:before="21" w:line="278" w:lineRule="auto"/>
              <w:ind w:right="98" w:firstLine="420"/>
              <w:rPr>
                <w:sz w:val="21"/>
              </w:rPr>
            </w:pPr>
            <w:r>
              <w:rPr>
                <w:sz w:val="21"/>
              </w:rPr>
              <w:t>第四十四条 旅行社及其分社应当接受旅游行政管理部门对其旅游合同、服务质量、旅游安全、财务账簿等情况的监督检查，并按照国家有关规定向旅游行政管理部门报送经营和财务信息等统计资料。</w:t>
            </w:r>
          </w:p>
          <w:p>
            <w:pPr>
              <w:pStyle w:val="9"/>
              <w:spacing w:line="269" w:lineRule="exact"/>
              <w:rPr>
                <w:b/>
                <w:sz w:val="21"/>
              </w:rPr>
            </w:pPr>
            <w:r>
              <w:rPr>
                <w:b/>
                <w:sz w:val="21"/>
              </w:rPr>
              <w:t>《风景名胜区条例》</w:t>
            </w:r>
          </w:p>
          <w:p>
            <w:pPr>
              <w:pStyle w:val="9"/>
              <w:spacing w:before="43" w:line="278" w:lineRule="auto"/>
              <w:ind w:right="98" w:firstLine="420"/>
              <w:rPr>
                <w:sz w:val="21"/>
              </w:rPr>
            </w:pPr>
            <w:r>
              <w:rPr>
                <w:sz w:val="21"/>
              </w:rPr>
              <w:t>第五条 国务院建设主管部门负责全国风景名胜区的监督管理工作。国务院其他有关部门按照国务院规定的职责分工，负责风景名胜区的有关监督管理工作。</w:t>
            </w:r>
          </w:p>
          <w:p>
            <w:pPr>
              <w:pStyle w:val="9"/>
              <w:spacing w:line="278" w:lineRule="auto"/>
              <w:ind w:right="96"/>
              <w:jc w:val="both"/>
              <w:rPr>
                <w:sz w:val="21"/>
              </w:rPr>
            </w:pPr>
            <w:r>
              <w:rPr>
                <w:spacing w:val="-4"/>
                <w:w w:val="95"/>
                <w:sz w:val="21"/>
              </w:rPr>
              <w:t>省、自治区人民政府建设主管部门和直辖市人民政府风景名胜区主管部门，负责本行政区域内风景名胜区的</w:t>
            </w:r>
            <w:r>
              <w:rPr>
                <w:spacing w:val="-5"/>
                <w:w w:val="95"/>
                <w:sz w:val="21"/>
              </w:rPr>
              <w:t>监督管理工作。省、自治区、直辖市人民政府其他有关部门按照规定的职责分工，负责风景名胜区的有关监</w:t>
            </w:r>
            <w:r>
              <w:rPr>
                <w:spacing w:val="-5"/>
                <w:sz w:val="21"/>
              </w:rPr>
              <w:t>督管理工作。</w:t>
            </w:r>
          </w:p>
          <w:p>
            <w:pPr>
              <w:pStyle w:val="9"/>
              <w:spacing w:line="278" w:lineRule="auto"/>
              <w:ind w:right="98" w:firstLine="420"/>
              <w:jc w:val="both"/>
              <w:rPr>
                <w:sz w:val="21"/>
              </w:rPr>
            </w:pPr>
            <w:r>
              <w:rPr>
                <w:sz w:val="21"/>
              </w:rPr>
              <w:t>第三十五条 国务院建设主管部门应当对国家级风景名胜区的规划实施情况、资源保护状况进行监督检查和评估。对发现的问题，应当及时纠正、处理。</w:t>
            </w:r>
          </w:p>
          <w:p>
            <w:pPr>
              <w:pStyle w:val="9"/>
              <w:spacing w:line="278" w:lineRule="auto"/>
              <w:ind w:right="98" w:firstLine="420"/>
              <w:jc w:val="both"/>
              <w:rPr>
                <w:sz w:val="21"/>
              </w:rPr>
            </w:pPr>
            <w:r>
              <w:rPr>
                <w:sz w:val="21"/>
              </w:rPr>
              <w:t>第三十六条 风景名胜区管理机构应当建立健全安全保障制度，加强安全管理，保障游览安全，并督促风景名胜区内的经营单位接受有关部门依据法律、法规进行的监督检查。</w:t>
            </w:r>
          </w:p>
          <w:p>
            <w:pPr>
              <w:pStyle w:val="9"/>
              <w:spacing w:line="269" w:lineRule="exact"/>
              <w:rPr>
                <w:sz w:val="21"/>
              </w:rPr>
            </w:pPr>
            <w:r>
              <w:rPr>
                <w:sz w:val="21"/>
              </w:rPr>
              <w:t>禁止超过允许容量接纳游客和在没有安全保障的区域开展游览活动。</w:t>
            </w:r>
          </w:p>
          <w:p>
            <w:pPr>
              <w:pStyle w:val="9"/>
              <w:spacing w:before="42" w:line="278" w:lineRule="auto"/>
              <w:ind w:right="-15" w:firstLine="420"/>
              <w:rPr>
                <w:sz w:val="21"/>
              </w:rPr>
            </w:pPr>
            <w:r>
              <w:rPr>
                <w:spacing w:val="-6"/>
                <w:sz w:val="21"/>
              </w:rPr>
              <w:t>第三十七条 进入风景名胜区的门票，由风景名胜区管理机构负责出售。门票价格依照有关价格的法律、法规的规定执行。</w:t>
            </w:r>
          </w:p>
          <w:p>
            <w:pPr>
              <w:pStyle w:val="9"/>
              <w:spacing w:line="278" w:lineRule="auto"/>
              <w:ind w:right="-15" w:firstLine="420"/>
              <w:rPr>
                <w:sz w:val="21"/>
              </w:rPr>
            </w:pPr>
            <w:r>
              <w:rPr>
                <w:spacing w:val="-9"/>
                <w:w w:val="95"/>
                <w:sz w:val="21"/>
              </w:rPr>
              <w:t>风景名胜区内的交通、服务等项目，应当由风景名胜区管理机构依照有关法律、法规和风景名胜区规划，</w:t>
            </w:r>
            <w:r>
              <w:rPr>
                <w:spacing w:val="-9"/>
                <w:sz w:val="21"/>
              </w:rPr>
              <w:t>采用招标等公平竞争的方式确定经营者。</w:t>
            </w:r>
          </w:p>
          <w:p>
            <w:pPr>
              <w:pStyle w:val="9"/>
              <w:spacing w:line="269" w:lineRule="exact"/>
              <w:ind w:left="588"/>
              <w:rPr>
                <w:sz w:val="21"/>
              </w:rPr>
            </w:pPr>
            <w:r>
              <w:rPr>
                <w:sz w:val="21"/>
              </w:rPr>
              <w:t>风景名胜区管理机构应当与经营者签订合同，依法确定各自的权利义务。经营者应当缴纳风景名胜资源</w:t>
            </w:r>
          </w:p>
          <w:p>
            <w:pPr>
              <w:pStyle w:val="9"/>
              <w:spacing w:before="43"/>
              <w:rPr>
                <w:sz w:val="21"/>
              </w:rPr>
            </w:pPr>
            <w:r>
              <w:rPr>
                <w:sz w:val="21"/>
              </w:rPr>
              <w:t>有偿使用费。</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384" w:type="dxa"/>
            <w:tcBorders>
              <w:bottom w:val="nil"/>
            </w:tcBorders>
          </w:tcPr>
          <w:p>
            <w:pPr>
              <w:pStyle w:val="9"/>
              <w:spacing w:before="1"/>
              <w:ind w:left="107"/>
              <w:rPr>
                <w:sz w:val="21"/>
              </w:rPr>
            </w:pPr>
            <w:r>
              <w:rPr>
                <w:rFonts w:ascii="Times New Roman" w:eastAsia="Times New Roman"/>
                <w:sz w:val="21"/>
              </w:rPr>
              <w:t>19.</w:t>
            </w:r>
            <w:r>
              <w:rPr>
                <w:sz w:val="21"/>
              </w:rPr>
              <w:t>作为导游</w:t>
            </w:r>
          </w:p>
          <w:p>
            <w:pPr>
              <w:pStyle w:val="9"/>
              <w:spacing w:before="2" w:line="245" w:lineRule="exact"/>
              <w:ind w:left="107"/>
              <w:rPr>
                <w:sz w:val="21"/>
              </w:rPr>
            </w:pPr>
            <w:r>
              <w:rPr>
                <w:sz w:val="21"/>
              </w:rPr>
              <w:t>证审验换发</w:t>
            </w:r>
          </w:p>
        </w:tc>
        <w:tc>
          <w:tcPr>
            <w:tcW w:w="10064" w:type="dxa"/>
            <w:vMerge w:val="restart"/>
          </w:tcPr>
          <w:p>
            <w:pPr>
              <w:pStyle w:val="9"/>
              <w:spacing w:before="21"/>
              <w:rPr>
                <w:b/>
                <w:sz w:val="21"/>
              </w:rPr>
            </w:pPr>
            <w:r>
              <w:rPr>
                <w:b/>
                <w:sz w:val="21"/>
              </w:rPr>
              <w:t>《中华人民共和国旅游法》</w:t>
            </w:r>
          </w:p>
          <w:p>
            <w:pPr>
              <w:pStyle w:val="9"/>
              <w:spacing w:before="42" w:line="278" w:lineRule="auto"/>
              <w:ind w:right="-15" w:firstLine="410"/>
              <w:rPr>
                <w:sz w:val="21"/>
              </w:rPr>
            </w:pPr>
            <w:r>
              <w:rPr>
                <w:spacing w:val="-4"/>
                <w:sz w:val="21"/>
              </w:rPr>
              <w:t>第三十七条 参加导游资格考试成绩合格，与旅行社订立劳动合同或者在相关旅游行业组织注册的人员， 可以申请取得导游证。</w:t>
            </w:r>
          </w:p>
          <w:p>
            <w:pPr>
              <w:pStyle w:val="9"/>
              <w:spacing w:line="278" w:lineRule="auto"/>
              <w:ind w:right="187" w:firstLine="410"/>
              <w:rPr>
                <w:sz w:val="21"/>
              </w:rPr>
            </w:pPr>
            <w:r>
              <w:rPr>
                <w:sz w:val="21"/>
              </w:rPr>
              <w:t>第三十九条 从事领队业务，应当取得导游证，具有相应的学历、语言能力和旅游从业经历，并与委派其从事领队业务的取得出境旅游业务经营许可的旅行社订立劳动合同。</w:t>
            </w:r>
          </w:p>
          <w:p>
            <w:pPr>
              <w:pStyle w:val="9"/>
              <w:spacing w:line="269" w:lineRule="exact"/>
              <w:rPr>
                <w:b/>
                <w:sz w:val="21"/>
              </w:rPr>
            </w:pPr>
            <w:r>
              <w:rPr>
                <w:b/>
                <w:sz w:val="21"/>
              </w:rPr>
              <w:t>《导游人员管理条例》</w:t>
            </w:r>
          </w:p>
          <w:p>
            <w:pPr>
              <w:pStyle w:val="9"/>
              <w:spacing w:before="43"/>
              <w:ind w:left="528"/>
              <w:rPr>
                <w:sz w:val="21"/>
              </w:rPr>
            </w:pPr>
            <w:r>
              <w:rPr>
                <w:sz w:val="21"/>
              </w:rPr>
              <w:t>第七条 导游人员应当不断提高自身业务素质和职业技能。</w:t>
            </w:r>
          </w:p>
        </w:tc>
        <w:tc>
          <w:tcPr>
            <w:tcW w:w="2500" w:type="dxa"/>
            <w:tcBorders>
              <w:bottom w:val="nil"/>
            </w:tcBorders>
          </w:tcPr>
          <w:p>
            <w:pPr>
              <w:pStyle w:val="9"/>
              <w:spacing w:before="21"/>
              <w:ind w:left="618"/>
              <w:rPr>
                <w:sz w:val="21"/>
              </w:rPr>
            </w:pPr>
            <w:r>
              <w:rPr>
                <w:sz w:val="21"/>
              </w:rPr>
              <w:t>文化和旅游部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及领队资格</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3" w:hRule="atLeast"/>
        </w:trPr>
        <w:tc>
          <w:tcPr>
            <w:tcW w:w="1384" w:type="dxa"/>
            <w:tcBorders>
              <w:top w:val="nil"/>
              <w:bottom w:val="nil"/>
            </w:tcBorders>
          </w:tcPr>
          <w:p>
            <w:pPr>
              <w:pStyle w:val="9"/>
              <w:spacing w:line="244" w:lineRule="exact"/>
              <w:ind w:left="107"/>
              <w:rPr>
                <w:sz w:val="21"/>
              </w:rPr>
            </w:pPr>
            <w:r>
              <w:rPr>
                <w:sz w:val="21"/>
              </w:rPr>
              <w:t>确认时的重</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87" w:hRule="atLeast"/>
        </w:trPr>
        <w:tc>
          <w:tcPr>
            <w:tcW w:w="1384" w:type="dxa"/>
            <w:tcBorders>
              <w:top w:val="nil"/>
            </w:tcBorders>
          </w:tcPr>
          <w:p>
            <w:pPr>
              <w:pStyle w:val="9"/>
              <w:spacing w:line="266" w:lineRule="exact"/>
              <w:ind w:left="107"/>
              <w:rPr>
                <w:sz w:val="21"/>
              </w:rPr>
            </w:pPr>
            <w:r>
              <w:rPr>
                <w:sz w:val="21"/>
              </w:rPr>
              <w:t>要参考。</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20"/>
              </w:rPr>
            </w:pPr>
          </w:p>
        </w:tc>
      </w:tr>
    </w:tbl>
    <w:p>
      <w:pPr>
        <w:spacing w:after="0"/>
        <w:rPr>
          <w:rFonts w:ascii="Times New Roman"/>
          <w:sz w:val="20"/>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47" w:hRule="atLeast"/>
        </w:trPr>
        <w:tc>
          <w:tcPr>
            <w:tcW w:w="1384" w:type="dxa"/>
          </w:tcPr>
          <w:p>
            <w:pPr>
              <w:pStyle w:val="9"/>
              <w:ind w:left="0"/>
              <w:rPr>
                <w:rFonts w:ascii="Times New Roman"/>
                <w:sz w:val="20"/>
              </w:rPr>
            </w:pPr>
          </w:p>
        </w:tc>
        <w:tc>
          <w:tcPr>
            <w:tcW w:w="10064" w:type="dxa"/>
          </w:tcPr>
          <w:p>
            <w:pPr>
              <w:pStyle w:val="9"/>
              <w:spacing w:before="21" w:line="278" w:lineRule="auto"/>
              <w:ind w:left="528" w:right="74"/>
              <w:rPr>
                <w:w w:val="95"/>
                <w:sz w:val="21"/>
              </w:rPr>
            </w:pPr>
            <w:r>
              <w:rPr>
                <w:w w:val="95"/>
                <w:sz w:val="21"/>
              </w:rPr>
              <w:t xml:space="preserve">国家对导游人员实行等级考核制度。导游人员等级考核标准和考核办法，由国务院旅游行政部门制定。   </w:t>
            </w:r>
          </w:p>
          <w:p>
            <w:pPr>
              <w:pStyle w:val="9"/>
              <w:spacing w:before="21" w:line="278" w:lineRule="auto"/>
              <w:ind w:left="528" w:right="74"/>
              <w:rPr>
                <w:sz w:val="21"/>
              </w:rPr>
            </w:pPr>
            <w:r>
              <w:rPr>
                <w:spacing w:val="-1"/>
                <w:sz w:val="21"/>
              </w:rPr>
              <w:t>第八条 导游人员进行导游活动时，应当佩戴导游证。</w:t>
            </w:r>
          </w:p>
          <w:p>
            <w:pPr>
              <w:pStyle w:val="9"/>
              <w:spacing w:line="269" w:lineRule="exact"/>
              <w:ind w:left="528"/>
              <w:rPr>
                <w:sz w:val="21"/>
              </w:rPr>
            </w:pPr>
            <w:r>
              <w:rPr>
                <w:sz w:val="21"/>
              </w:rPr>
              <w:t xml:space="preserve">导游证的有效期限为 </w:t>
            </w:r>
            <w:r>
              <w:rPr>
                <w:rFonts w:ascii="Times New Roman" w:eastAsia="Times New Roman"/>
                <w:sz w:val="21"/>
              </w:rPr>
              <w:t xml:space="preserve">3 </w:t>
            </w:r>
            <w:r>
              <w:rPr>
                <w:sz w:val="21"/>
              </w:rPr>
              <w:t>年。导游证持有人需要在有效期满后继续从事导游活动的，应当在有效期限届满</w:t>
            </w:r>
          </w:p>
          <w:p>
            <w:pPr>
              <w:pStyle w:val="9"/>
              <w:spacing w:before="43"/>
              <w:rPr>
                <w:sz w:val="21"/>
              </w:rPr>
            </w:pPr>
            <w:r>
              <w:rPr>
                <w:rFonts w:ascii="Times New Roman" w:eastAsia="Times New Roman"/>
                <w:sz w:val="21"/>
              </w:rPr>
              <w:t xml:space="preserve">3 </w:t>
            </w:r>
            <w:r>
              <w:rPr>
                <w:sz w:val="21"/>
              </w:rPr>
              <w:t>个月前，向省、自治区、直辖市人民政府旅游行政部门申请办理换发导游证手续。</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7" w:hRule="atLeast"/>
        </w:trPr>
        <w:tc>
          <w:tcPr>
            <w:tcW w:w="1384" w:type="dxa"/>
          </w:tcPr>
          <w:p>
            <w:pPr>
              <w:pStyle w:val="9"/>
              <w:spacing w:before="1" w:line="242" w:lineRule="auto"/>
              <w:ind w:left="107" w:right="97"/>
              <w:jc w:val="both"/>
              <w:rPr>
                <w:sz w:val="21"/>
              </w:rPr>
            </w:pPr>
            <w:r>
              <w:rPr>
                <w:rFonts w:ascii="Times New Roman" w:eastAsia="Times New Roman"/>
                <w:sz w:val="21"/>
              </w:rPr>
              <w:t>20.</w:t>
            </w:r>
            <w:r>
              <w:rPr>
                <w:sz w:val="21"/>
              </w:rPr>
              <w:t>加强安全生产经营监管。</w:t>
            </w:r>
          </w:p>
        </w:tc>
        <w:tc>
          <w:tcPr>
            <w:tcW w:w="10064" w:type="dxa"/>
          </w:tcPr>
          <w:p>
            <w:pPr>
              <w:pStyle w:val="9"/>
              <w:spacing w:before="1"/>
              <w:rPr>
                <w:b/>
                <w:sz w:val="21"/>
              </w:rPr>
            </w:pPr>
            <w:r>
              <w:rPr>
                <w:b/>
                <w:sz w:val="21"/>
              </w:rPr>
              <w:t>《安全生产法》</w:t>
            </w:r>
          </w:p>
          <w:p>
            <w:pPr>
              <w:pStyle w:val="9"/>
              <w:spacing w:before="2" w:line="242" w:lineRule="auto"/>
              <w:ind w:right="98" w:firstLine="410"/>
              <w:jc w:val="both"/>
              <w:rPr>
                <w:sz w:val="21"/>
              </w:rPr>
            </w:pPr>
            <w:r>
              <w:rPr>
                <w:spacing w:val="-3"/>
                <w:sz w:val="21"/>
              </w:rPr>
              <w:t>第六十条 负有安全生产监督管理职责的部门依照有关法律、法规的规定，对涉及安全生产的事项需要审查批准</w:t>
            </w:r>
            <w:r>
              <w:rPr>
                <w:rFonts w:ascii="Times New Roman" w:eastAsia="Times New Roman"/>
                <w:spacing w:val="-3"/>
                <w:sz w:val="21"/>
              </w:rPr>
              <w:t>(</w:t>
            </w:r>
            <w:r>
              <w:rPr>
                <w:sz w:val="21"/>
              </w:rPr>
              <w:t>包括批准、核准、许可、注册、认证、颁发证照等，下同</w:t>
            </w:r>
            <w:r>
              <w:rPr>
                <w:rFonts w:ascii="Times New Roman" w:eastAsia="Times New Roman"/>
                <w:sz w:val="21"/>
              </w:rPr>
              <w:t>)</w:t>
            </w:r>
            <w:r>
              <w:rPr>
                <w:sz w:val="21"/>
              </w:rPr>
              <w:t>或者验收的，必须严格依照有关法律、</w:t>
            </w:r>
            <w:r>
              <w:rPr>
                <w:w w:val="95"/>
                <w:sz w:val="21"/>
              </w:rPr>
              <w:t>法规和国家标准或者行业标准规定的安全生产条件和程序进行审查</w:t>
            </w:r>
            <w:r>
              <w:rPr>
                <w:rFonts w:ascii="Times New Roman" w:eastAsia="Times New Roman"/>
                <w:w w:val="95"/>
                <w:sz w:val="21"/>
              </w:rPr>
              <w:t>;</w:t>
            </w:r>
            <w:r>
              <w:rPr>
                <w:spacing w:val="-9"/>
                <w:w w:val="95"/>
                <w:sz w:val="21"/>
              </w:rPr>
              <w:t>不符合有关法律、法规和国家标准或者行</w:t>
            </w:r>
            <w:r>
              <w:rPr>
                <w:spacing w:val="-10"/>
                <w:w w:val="95"/>
                <w:sz w:val="21"/>
              </w:rPr>
              <w:t>业标准规定的安全生产条件的，不得批准或者验收通过。对未依法取得批准或者验收合格的单位擅自从事有</w:t>
            </w:r>
            <w:r>
              <w:rPr>
                <w:spacing w:val="-8"/>
                <w:w w:val="95"/>
                <w:sz w:val="21"/>
              </w:rPr>
              <w:t>关活动的，负责行政审批的部门发现或者接到举报后应当立即予以取缔，并依法予以处理。对已经依法取得</w:t>
            </w:r>
            <w:r>
              <w:rPr>
                <w:spacing w:val="-8"/>
                <w:sz w:val="21"/>
              </w:rPr>
              <w:t>批准的单位，负责行政审批的部门发现其不再具备安全生产条件的，应当撤销原批准。</w:t>
            </w:r>
          </w:p>
          <w:p>
            <w:pPr>
              <w:pStyle w:val="9"/>
              <w:spacing w:before="4" w:line="242" w:lineRule="auto"/>
              <w:ind w:right="98" w:firstLine="410"/>
              <w:rPr>
                <w:sz w:val="21"/>
              </w:rPr>
            </w:pPr>
            <w:r>
              <w:rPr>
                <w:spacing w:val="-2"/>
                <w:sz w:val="21"/>
              </w:rPr>
              <w:t>第六十二条 安全生产监督管理部门和其他负有安全生产监督管理职责的部门依法开展安全生产行政执</w:t>
            </w:r>
            <w:r>
              <w:rPr>
                <w:spacing w:val="-6"/>
                <w:w w:val="95"/>
                <w:sz w:val="21"/>
              </w:rPr>
              <w:t>法工作，对生产经营单位执行有关安全生产的法律、法规和国家标准或者行业标准的情况进行监督检查，行</w:t>
            </w:r>
            <w:r>
              <w:rPr>
                <w:spacing w:val="-6"/>
                <w:sz w:val="21"/>
              </w:rPr>
              <w:t>使以下职权：</w:t>
            </w:r>
          </w:p>
          <w:p>
            <w:pPr>
              <w:pStyle w:val="9"/>
              <w:spacing w:before="1"/>
              <w:ind w:left="518"/>
              <w:rPr>
                <w:sz w:val="21"/>
              </w:rPr>
            </w:pPr>
            <w:r>
              <w:rPr>
                <w:sz w:val="21"/>
              </w:rPr>
              <w:t>（一）进入生产经营单位进行检查，调阅有关资料，向有关单位和人员了解情况；</w:t>
            </w:r>
          </w:p>
          <w:p>
            <w:pPr>
              <w:pStyle w:val="9"/>
              <w:spacing w:before="5" w:line="242" w:lineRule="auto"/>
              <w:ind w:right="33" w:firstLine="410"/>
              <w:rPr>
                <w:sz w:val="21"/>
              </w:rPr>
            </w:pPr>
            <w:r>
              <w:rPr>
                <w:w w:val="95"/>
                <w:sz w:val="21"/>
              </w:rPr>
              <w:t>（二）对检查中发现的安全生产违法行为，当场予以纠正或者要求限期改正；对依法应当给予行政处罚</w:t>
            </w:r>
            <w:r>
              <w:rPr>
                <w:sz w:val="21"/>
              </w:rPr>
              <w:t>的行为，依照本法和其他有关法律、行政法规的规定作出行政处罚决定；</w:t>
            </w:r>
          </w:p>
          <w:p>
            <w:pPr>
              <w:pStyle w:val="9"/>
              <w:spacing w:before="1" w:line="242" w:lineRule="auto"/>
              <w:ind w:right="98" w:firstLine="410"/>
              <w:jc w:val="both"/>
              <w:rPr>
                <w:sz w:val="21"/>
              </w:rPr>
            </w:pPr>
            <w:r>
              <w:rPr>
                <w:w w:val="95"/>
                <w:sz w:val="21"/>
              </w:rPr>
              <w:t>（三</w:t>
            </w:r>
            <w:r>
              <w:rPr>
                <w:spacing w:val="-3"/>
                <w:w w:val="95"/>
                <w:sz w:val="21"/>
              </w:rPr>
              <w:t>）</w:t>
            </w:r>
            <w:r>
              <w:rPr>
                <w:spacing w:val="-2"/>
                <w:w w:val="95"/>
                <w:sz w:val="21"/>
              </w:rPr>
              <w:t>对检查中发现的事故隐患，应当责令立即排除；重大事故隐患排除前或者排除过程中无法保证安</w:t>
            </w:r>
            <w:r>
              <w:rPr>
                <w:spacing w:val="-5"/>
                <w:w w:val="95"/>
                <w:sz w:val="21"/>
              </w:rPr>
              <w:t>全的，应当责令从危险区域内撤出作业人员，责令暂时停产停业或者停止使用相关设施、设备；重大事故隐</w:t>
            </w:r>
            <w:r>
              <w:rPr>
                <w:spacing w:val="-5"/>
                <w:sz w:val="21"/>
              </w:rPr>
              <w:t>患排除后，经审查同意，方可恢复生产经营和使用；</w:t>
            </w:r>
          </w:p>
          <w:p>
            <w:pPr>
              <w:pStyle w:val="9"/>
              <w:spacing w:before="1" w:line="242" w:lineRule="auto"/>
              <w:ind w:right="84" w:firstLine="410"/>
              <w:jc w:val="both"/>
              <w:rPr>
                <w:sz w:val="21"/>
              </w:rPr>
            </w:pPr>
            <w:r>
              <w:rPr>
                <w:w w:val="95"/>
                <w:sz w:val="21"/>
              </w:rPr>
              <w:t>（四）对有根据认为不符合保障安全生产的国家标准或者行业标准的设施、设备、器材以及违法生产、</w:t>
            </w:r>
            <w:r>
              <w:rPr>
                <w:spacing w:val="-3"/>
                <w:w w:val="95"/>
                <w:sz w:val="21"/>
              </w:rPr>
              <w:t>储存、使用、经营、运输的危险物品予以查封或者扣押，对违法生产、储存、使用、经营危险物品的作业场</w:t>
            </w:r>
            <w:r>
              <w:rPr>
                <w:spacing w:val="-3"/>
                <w:sz w:val="21"/>
              </w:rPr>
              <w:t>所予以查封，并依法作出处理决定。</w:t>
            </w:r>
          </w:p>
          <w:p>
            <w:pPr>
              <w:pStyle w:val="9"/>
              <w:spacing w:before="3" w:line="242" w:lineRule="auto"/>
              <w:ind w:right="187" w:firstLine="410"/>
              <w:jc w:val="both"/>
              <w:rPr>
                <w:sz w:val="21"/>
              </w:rPr>
            </w:pPr>
            <w:r>
              <w:rPr>
                <w:sz w:val="21"/>
              </w:rPr>
              <w:t>第六十三条 生产经营单位对负有安全生产监督管理职责的部门的监督检查人员（以下统称安全生产监督检查人员）依法履行监督检查职责，应当予以配合，不得拒绝、阻挠。</w:t>
            </w:r>
          </w:p>
          <w:p>
            <w:pPr>
              <w:pStyle w:val="9"/>
              <w:spacing w:before="1" w:line="242" w:lineRule="auto"/>
              <w:ind w:right="98" w:firstLine="410"/>
              <w:jc w:val="both"/>
              <w:rPr>
                <w:sz w:val="21"/>
              </w:rPr>
            </w:pPr>
            <w:r>
              <w:rPr>
                <w:sz w:val="21"/>
              </w:rPr>
              <w:t xml:space="preserve">第六十七条 负有安全生产监督管理职责的部门依法对存在重大事故隐患的生产经营单位作出停产停 </w:t>
            </w:r>
            <w:r>
              <w:rPr>
                <w:spacing w:val="-4"/>
                <w:w w:val="95"/>
                <w:sz w:val="21"/>
              </w:rPr>
              <w:t>业、停止施工、停止使用相关设施或者设备的决定，生产经营单位应当依法执行，及时消除事故隐患。生产</w:t>
            </w:r>
            <w:r>
              <w:rPr>
                <w:w w:val="95"/>
                <w:sz w:val="21"/>
              </w:rPr>
              <w:t>经营单位拒不执行，有发生生产安全事故的现实危险的，在保证安全的前提下，经本部门主要负责人批准，</w:t>
            </w:r>
            <w:r>
              <w:rPr>
                <w:spacing w:val="-2"/>
                <w:w w:val="95"/>
                <w:sz w:val="21"/>
              </w:rPr>
              <w:t>负有安全生产监督管理职责的部门可以采取通知有关单位停止供电、停止供应民用爆炸物品等措施，强制生</w:t>
            </w:r>
          </w:p>
        </w:tc>
        <w:tc>
          <w:tcPr>
            <w:tcW w:w="2500" w:type="dxa"/>
          </w:tcPr>
          <w:p>
            <w:pPr>
              <w:pStyle w:val="9"/>
              <w:spacing w:before="1" w:line="242" w:lineRule="auto"/>
              <w:ind w:left="198" w:right="191" w:firstLine="316"/>
              <w:rPr>
                <w:sz w:val="21"/>
              </w:rPr>
            </w:pPr>
            <w:r>
              <w:rPr>
                <w:sz w:val="21"/>
              </w:rPr>
              <w:t xml:space="preserve">文化和旅游部、  </w:t>
            </w:r>
            <w:r>
              <w:rPr>
                <w:spacing w:val="-2"/>
                <w:sz w:val="21"/>
              </w:rPr>
              <w:t>应急管理部等有关部门</w:t>
            </w:r>
          </w:p>
        </w:tc>
      </w:tr>
    </w:tbl>
    <w:p>
      <w:pPr>
        <w:spacing w:after="0" w:line="242" w:lineRule="auto"/>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5" w:hRule="atLeast"/>
        </w:trPr>
        <w:tc>
          <w:tcPr>
            <w:tcW w:w="1384" w:type="dxa"/>
          </w:tcPr>
          <w:p>
            <w:pPr>
              <w:pStyle w:val="9"/>
              <w:ind w:left="0"/>
              <w:rPr>
                <w:rFonts w:ascii="Times New Roman"/>
                <w:sz w:val="20"/>
              </w:rPr>
            </w:pPr>
          </w:p>
        </w:tc>
        <w:tc>
          <w:tcPr>
            <w:tcW w:w="10064" w:type="dxa"/>
          </w:tcPr>
          <w:p>
            <w:pPr>
              <w:pStyle w:val="9"/>
              <w:spacing w:before="2"/>
              <w:rPr>
                <w:sz w:val="21"/>
              </w:rPr>
            </w:pPr>
            <w:r>
              <w:rPr>
                <w:sz w:val="21"/>
              </w:rPr>
              <w:t>产经营单位履行决定。通知应当采用书面形式，有关单位应当予以配合。</w:t>
            </w:r>
          </w:p>
          <w:p>
            <w:pPr>
              <w:pStyle w:val="9"/>
              <w:spacing w:before="2" w:line="242" w:lineRule="auto"/>
              <w:ind w:right="98" w:firstLine="410"/>
              <w:rPr>
                <w:sz w:val="21"/>
              </w:rPr>
            </w:pPr>
            <w:r>
              <w:rPr>
                <w:spacing w:val="-2"/>
                <w:sz w:val="21"/>
              </w:rPr>
              <w:t>第七十五条 负有安全生产监督管理职责的部门应当建立安全生产违法行为信息库，如实记录生产经营</w:t>
            </w:r>
            <w:r>
              <w:rPr>
                <w:spacing w:val="-5"/>
                <w:w w:val="95"/>
                <w:sz w:val="21"/>
              </w:rPr>
              <w:t>单位的安全生产违法行为信息；对违法行为情节严重的生产经营单位，应当向社会公告，并通报行业主管部</w:t>
            </w:r>
            <w:r>
              <w:rPr>
                <w:spacing w:val="-5"/>
                <w:sz w:val="21"/>
              </w:rPr>
              <w:t>门、投资主管部门、国土资源主管部门、证券监督管理机构以及有关金融机构。</w:t>
            </w:r>
          </w:p>
          <w:p>
            <w:pPr>
              <w:pStyle w:val="9"/>
              <w:spacing w:before="1"/>
              <w:rPr>
                <w:b/>
                <w:sz w:val="21"/>
              </w:rPr>
            </w:pPr>
            <w:r>
              <w:rPr>
                <w:b/>
                <w:sz w:val="21"/>
              </w:rPr>
              <w:t>《中华人民共和国旅游法》</w:t>
            </w:r>
          </w:p>
          <w:p>
            <w:pPr>
              <w:pStyle w:val="9"/>
              <w:spacing w:before="4" w:line="242" w:lineRule="auto"/>
              <w:ind w:right="180" w:firstLine="420"/>
              <w:rPr>
                <w:sz w:val="21"/>
              </w:rPr>
            </w:pPr>
            <w:r>
              <w:rPr>
                <w:sz w:val="21"/>
              </w:rPr>
              <w:t>第七十九条 旅游经营者应当严格执行安全生产管理和消防安全管理的法律、法规和国家标准、行业标准，具备相应的安全生产条件，制定旅游者安全保护制度和应急预案。</w:t>
            </w:r>
          </w:p>
          <w:p>
            <w:pPr>
              <w:pStyle w:val="9"/>
              <w:spacing w:before="1" w:line="242" w:lineRule="auto"/>
              <w:ind w:right="39"/>
              <w:rPr>
                <w:sz w:val="21"/>
              </w:rPr>
            </w:pPr>
            <w:r>
              <w:rPr>
                <w:w w:val="95"/>
                <w:sz w:val="21"/>
              </w:rPr>
              <w:t>旅游经营者应当对直接为旅游者提供服务的从业人员开展经常性应急救助技能培训，对提供的产品和服务进</w:t>
            </w:r>
            <w:r>
              <w:rPr>
                <w:sz w:val="21"/>
              </w:rPr>
              <w:t>行安全检验、监测和评估，采取必要措施防止危害发生。</w:t>
            </w:r>
          </w:p>
          <w:p>
            <w:pPr>
              <w:pStyle w:val="9"/>
              <w:spacing w:before="2"/>
              <w:ind w:left="528"/>
              <w:rPr>
                <w:sz w:val="21"/>
              </w:rPr>
            </w:pPr>
            <w:r>
              <w:rPr>
                <w:sz w:val="21"/>
              </w:rPr>
              <w:t>旅游经营者组织、接待老年人、未成年人、残疾人等旅游者，应当采取相应的安全保障措施。</w:t>
            </w:r>
          </w:p>
          <w:p>
            <w:pPr>
              <w:pStyle w:val="9"/>
              <w:spacing w:before="2"/>
              <w:ind w:left="528"/>
              <w:rPr>
                <w:sz w:val="21"/>
              </w:rPr>
            </w:pPr>
            <w:r>
              <w:rPr>
                <w:sz w:val="21"/>
              </w:rPr>
              <w:t>第八十条 旅游经营者应当就旅游活动中的下列事项，以明示的方式事先向旅游者作出说明或者警示：</w:t>
            </w:r>
          </w:p>
          <w:p>
            <w:pPr>
              <w:pStyle w:val="9"/>
              <w:spacing w:before="4"/>
              <w:ind w:left="422"/>
              <w:rPr>
                <w:sz w:val="21"/>
              </w:rPr>
            </w:pPr>
            <w:r>
              <w:rPr>
                <w:sz w:val="21"/>
              </w:rPr>
              <w:t>（一）正确使用相关设施、设备的方法；</w:t>
            </w:r>
          </w:p>
          <w:p>
            <w:pPr>
              <w:pStyle w:val="9"/>
              <w:spacing w:before="2"/>
              <w:ind w:left="422"/>
              <w:rPr>
                <w:sz w:val="21"/>
              </w:rPr>
            </w:pPr>
            <w:r>
              <w:rPr>
                <w:sz w:val="21"/>
              </w:rPr>
              <w:t>（二）必要的安全防范和应急措施；</w:t>
            </w:r>
          </w:p>
          <w:p>
            <w:pPr>
              <w:pStyle w:val="9"/>
              <w:spacing w:before="5"/>
              <w:ind w:left="422"/>
              <w:rPr>
                <w:sz w:val="21"/>
              </w:rPr>
            </w:pPr>
            <w:r>
              <w:rPr>
                <w:sz w:val="21"/>
              </w:rPr>
              <w:t>（三）未向旅游者开放的经营、服务场所和设施、设备；</w:t>
            </w:r>
          </w:p>
          <w:p>
            <w:pPr>
              <w:pStyle w:val="9"/>
              <w:spacing w:before="2"/>
              <w:ind w:left="422"/>
              <w:rPr>
                <w:sz w:val="21"/>
              </w:rPr>
            </w:pPr>
            <w:r>
              <w:rPr>
                <w:sz w:val="21"/>
              </w:rPr>
              <w:t>（四）不适宜参加相关活动的群体；</w:t>
            </w:r>
          </w:p>
          <w:p>
            <w:pPr>
              <w:pStyle w:val="9"/>
              <w:spacing w:before="5"/>
              <w:ind w:left="422"/>
              <w:rPr>
                <w:sz w:val="21"/>
              </w:rPr>
            </w:pPr>
            <w:r>
              <w:rPr>
                <w:sz w:val="21"/>
              </w:rPr>
              <w:t>（五）可能危及旅游者人身、财产安全的其他情形。</w:t>
            </w:r>
          </w:p>
          <w:p>
            <w:pPr>
              <w:pStyle w:val="9"/>
              <w:spacing w:before="2" w:line="242" w:lineRule="auto"/>
              <w:ind w:right="180" w:firstLine="420"/>
              <w:rPr>
                <w:sz w:val="21"/>
              </w:rPr>
            </w:pPr>
            <w:r>
              <w:rPr>
                <w:sz w:val="21"/>
              </w:rPr>
              <w:t>第八十一条 突发事件或者旅游安全事故发生后，旅游经营者应当立即采取必要的救助和处置措施，依法履行报告义务，并对旅游者作出妥善安排。</w:t>
            </w:r>
          </w:p>
          <w:p>
            <w:pPr>
              <w:pStyle w:val="9"/>
              <w:spacing w:before="1" w:line="242" w:lineRule="auto"/>
              <w:ind w:left="528" w:right="1197" w:hanging="420"/>
              <w:rPr>
                <w:sz w:val="21"/>
              </w:rPr>
            </w:pPr>
            <w:r>
              <w:rPr>
                <w:b/>
                <w:sz w:val="21"/>
              </w:rPr>
              <w:t>《国务院关于印发社会信用体系建设规划纲要（</w:t>
            </w:r>
            <w:r>
              <w:rPr>
                <w:rFonts w:ascii="Times New Roman" w:eastAsia="Times New Roman"/>
                <w:b/>
                <w:sz w:val="21"/>
              </w:rPr>
              <w:t xml:space="preserve">2014-2020 </w:t>
            </w:r>
            <w:r>
              <w:rPr>
                <w:b/>
                <w:sz w:val="21"/>
              </w:rPr>
              <w:t>年）</w:t>
            </w:r>
            <w:r>
              <w:rPr>
                <w:b/>
                <w:spacing w:val="-26"/>
                <w:sz w:val="21"/>
              </w:rPr>
              <w:t>的通知》</w:t>
            </w:r>
            <w:r>
              <w:rPr>
                <w:b/>
                <w:sz w:val="21"/>
              </w:rPr>
              <w:t>（国发〔</w:t>
            </w:r>
            <w:r>
              <w:rPr>
                <w:rFonts w:ascii="Times New Roman" w:eastAsia="Times New Roman"/>
                <w:b/>
                <w:sz w:val="21"/>
              </w:rPr>
              <w:t>2014</w:t>
            </w:r>
            <w:r>
              <w:rPr>
                <w:b/>
                <w:sz w:val="21"/>
              </w:rPr>
              <w:t>〕</w:t>
            </w:r>
            <w:r>
              <w:rPr>
                <w:rFonts w:ascii="Times New Roman" w:eastAsia="Times New Roman"/>
                <w:b/>
                <w:sz w:val="21"/>
              </w:rPr>
              <w:t xml:space="preserve">21 </w:t>
            </w:r>
            <w:r>
              <w:rPr>
                <w:b/>
                <w:sz w:val="21"/>
              </w:rPr>
              <w:t xml:space="preserve">号） </w:t>
            </w:r>
            <w:r>
              <w:rPr>
                <w:sz w:val="21"/>
              </w:rPr>
              <w:t>五、完善以奖惩制度为重点的社会信用体系运行机制</w:t>
            </w:r>
          </w:p>
          <w:p>
            <w:pPr>
              <w:pStyle w:val="9"/>
              <w:spacing w:before="1"/>
              <w:ind w:left="528"/>
              <w:rPr>
                <w:sz w:val="21"/>
              </w:rPr>
            </w:pPr>
            <w:r>
              <w:rPr>
                <w:sz w:val="21"/>
              </w:rPr>
              <w:t>（一）构建守信激励和失信惩戒机制。</w:t>
            </w:r>
          </w:p>
          <w:p>
            <w:pPr>
              <w:pStyle w:val="9"/>
              <w:spacing w:before="5" w:line="242" w:lineRule="auto"/>
              <w:ind w:right="-15" w:firstLine="420"/>
              <w:jc w:val="both"/>
              <w:rPr>
                <w:sz w:val="21"/>
              </w:rPr>
            </w:pPr>
            <w:r>
              <w:rPr>
                <w:spacing w:val="-2"/>
                <w:sz w:val="21"/>
              </w:rPr>
              <w:t>加强对守信主体的奖励和激励。加大对守信行为的表彰和宣传力度。按规定对诚信企业和模范个人给予</w:t>
            </w:r>
            <w:r>
              <w:rPr>
                <w:spacing w:val="-3"/>
                <w:sz w:val="21"/>
              </w:rPr>
              <w:t>表彰，通过新闻媒体广泛宣传，营造守信光荣的舆论氛围。发展改革、财政、金融、环境保护、住房城乡建设、交通运输、商务、工商、税务、质检、安全监管、海关、知识产权等部门，在市场监管和公共服务过程</w:t>
            </w:r>
            <w:r>
              <w:rPr>
                <w:spacing w:val="-9"/>
                <w:w w:val="95"/>
                <w:sz w:val="21"/>
              </w:rPr>
              <w:t>中，要深化信用信息和信用产品的应用，对诚实守信者实行优先办理、简化程序等</w:t>
            </w:r>
            <w:r>
              <w:rPr>
                <w:rFonts w:ascii="Times New Roman" w:hAnsi="Times New Roman" w:eastAsia="Times New Roman"/>
                <w:w w:val="95"/>
                <w:sz w:val="21"/>
              </w:rPr>
              <w:t>“</w:t>
            </w:r>
            <w:r>
              <w:rPr>
                <w:w w:val="95"/>
                <w:sz w:val="21"/>
              </w:rPr>
              <w:t>绿色通道</w:t>
            </w:r>
            <w:r>
              <w:rPr>
                <w:rFonts w:ascii="Times New Roman" w:hAnsi="Times New Roman" w:eastAsia="Times New Roman"/>
                <w:w w:val="95"/>
                <w:sz w:val="21"/>
              </w:rPr>
              <w:t>”</w:t>
            </w:r>
            <w:r>
              <w:rPr>
                <w:w w:val="95"/>
                <w:sz w:val="21"/>
              </w:rPr>
              <w:t>支持激励政策。</w:t>
            </w:r>
          </w:p>
          <w:p>
            <w:pPr>
              <w:pStyle w:val="9"/>
              <w:jc w:val="both"/>
              <w:rPr>
                <w:b/>
                <w:sz w:val="21"/>
              </w:rPr>
            </w:pPr>
            <w:r>
              <w:rPr>
                <w:b/>
                <w:sz w:val="21"/>
              </w:rPr>
              <w:t>《生产经营单位安全生产不良记录</w:t>
            </w:r>
            <w:r>
              <w:rPr>
                <w:rFonts w:ascii="Times New Roman" w:hAnsi="Times New Roman" w:eastAsia="Times New Roman"/>
                <w:b/>
                <w:sz w:val="21"/>
              </w:rPr>
              <w:t>“</w:t>
            </w:r>
            <w:r>
              <w:rPr>
                <w:b/>
                <w:sz w:val="21"/>
              </w:rPr>
              <w:t>黑名单</w:t>
            </w:r>
            <w:r>
              <w:rPr>
                <w:rFonts w:ascii="Times New Roman" w:hAnsi="Times New Roman" w:eastAsia="Times New Roman"/>
                <w:b/>
                <w:sz w:val="21"/>
              </w:rPr>
              <w:t>”</w:t>
            </w:r>
            <w:r>
              <w:rPr>
                <w:b/>
                <w:sz w:val="21"/>
              </w:rPr>
              <w:t>管理暂行规定》（安委办〔</w:t>
            </w:r>
            <w:r>
              <w:rPr>
                <w:rFonts w:ascii="Times New Roman" w:hAnsi="Times New Roman" w:eastAsia="Times New Roman"/>
                <w:b/>
                <w:sz w:val="21"/>
              </w:rPr>
              <w:t>2015</w:t>
            </w:r>
            <w:r>
              <w:rPr>
                <w:b/>
                <w:sz w:val="21"/>
              </w:rPr>
              <w:t>〕</w:t>
            </w:r>
            <w:r>
              <w:rPr>
                <w:rFonts w:ascii="Times New Roman" w:hAnsi="Times New Roman" w:eastAsia="Times New Roman"/>
                <w:b/>
                <w:sz w:val="21"/>
              </w:rPr>
              <w:t xml:space="preserve">14 </w:t>
            </w:r>
            <w:r>
              <w:rPr>
                <w:b/>
                <w:sz w:val="21"/>
              </w:rPr>
              <w:t>号）</w:t>
            </w:r>
          </w:p>
          <w:p>
            <w:pPr>
              <w:pStyle w:val="9"/>
              <w:spacing w:before="24" w:line="278" w:lineRule="auto"/>
              <w:ind w:right="93" w:firstLine="420"/>
              <w:rPr>
                <w:sz w:val="21"/>
              </w:rPr>
            </w:pPr>
            <w:r>
              <w:rPr>
                <w:sz w:val="21"/>
              </w:rPr>
              <w:t>第八条 信息采集部门应当把纳入“黑名单”管理的生产经营单位作为重点监管监察对象，建立常态化</w:t>
            </w:r>
            <w:r>
              <w:rPr>
                <w:spacing w:val="-5"/>
                <w:sz w:val="21"/>
              </w:rPr>
              <w:t xml:space="preserve">暗查暗访机制，不定期开展抽查；加大执法检查频次，每半年至少进行 </w:t>
            </w:r>
            <w:r>
              <w:rPr>
                <w:rFonts w:ascii="Times New Roman" w:hAnsi="Times New Roman" w:eastAsia="Times New Roman"/>
                <w:sz w:val="21"/>
              </w:rPr>
              <w:t xml:space="preserve">1 </w:t>
            </w:r>
            <w:r>
              <w:rPr>
                <w:spacing w:val="-7"/>
                <w:sz w:val="21"/>
              </w:rPr>
              <w:t xml:space="preserve">次抽查，每年至少约谈 </w:t>
            </w:r>
            <w:r>
              <w:rPr>
                <w:rFonts w:ascii="Times New Roman" w:hAnsi="Times New Roman" w:eastAsia="Times New Roman"/>
                <w:sz w:val="21"/>
              </w:rPr>
              <w:t xml:space="preserve">1 </w:t>
            </w:r>
            <w:r>
              <w:rPr>
                <w:sz w:val="21"/>
              </w:rPr>
              <w:t>次其主要</w:t>
            </w:r>
          </w:p>
          <w:p>
            <w:pPr>
              <w:pStyle w:val="9"/>
              <w:spacing w:line="269" w:lineRule="exact"/>
              <w:rPr>
                <w:sz w:val="21"/>
              </w:rPr>
            </w:pPr>
            <w:r>
              <w:rPr>
                <w:sz w:val="21"/>
              </w:rPr>
              <w:t>负责人；发现有新的安全生产违法行为的，要依法依规从重处罚。</w:t>
            </w:r>
          </w:p>
        </w:tc>
        <w:tc>
          <w:tcPr>
            <w:tcW w:w="2500" w:type="dxa"/>
          </w:tcPr>
          <w:p>
            <w:pPr>
              <w:pStyle w:val="9"/>
              <w:ind w:left="0"/>
              <w:rPr>
                <w:rFonts w:ascii="Times New Roman"/>
                <w:sz w:val="20"/>
              </w:rPr>
            </w:pPr>
          </w:p>
        </w:tc>
      </w:tr>
    </w:tbl>
    <w:p>
      <w:pPr>
        <w:spacing w:after="0"/>
        <w:rPr>
          <w:rFonts w:ascii="Times New Roman"/>
          <w:sz w:val="20"/>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384" w:type="dxa"/>
            <w:tcBorders>
              <w:bottom w:val="nil"/>
            </w:tcBorders>
          </w:tcPr>
          <w:p>
            <w:pPr>
              <w:pStyle w:val="9"/>
              <w:spacing w:before="1" w:line="270" w:lineRule="atLeast"/>
              <w:ind w:left="107" w:right="97"/>
              <w:rPr>
                <w:sz w:val="21"/>
              </w:rPr>
            </w:pPr>
            <w:r>
              <w:rPr>
                <w:rFonts w:ascii="Times New Roman" w:eastAsia="Times New Roman"/>
                <w:sz w:val="21"/>
              </w:rPr>
              <w:t>21.</w:t>
            </w:r>
            <w:r>
              <w:rPr>
                <w:sz w:val="21"/>
              </w:rPr>
              <w:t>将失信信息作为公开</w:t>
            </w:r>
          </w:p>
        </w:tc>
        <w:tc>
          <w:tcPr>
            <w:tcW w:w="10064" w:type="dxa"/>
            <w:vMerge w:val="restart"/>
          </w:tcPr>
          <w:p>
            <w:pPr>
              <w:pStyle w:val="9"/>
              <w:spacing w:before="2"/>
              <w:rPr>
                <w:b/>
                <w:sz w:val="21"/>
              </w:rPr>
            </w:pPr>
            <w:r>
              <w:rPr>
                <w:b/>
                <w:sz w:val="21"/>
              </w:rPr>
              <w:t xml:space="preserve">《公司债券发行与交易管理办法》（证监会令第 </w:t>
            </w:r>
            <w:r>
              <w:rPr>
                <w:rFonts w:ascii="Times New Roman" w:eastAsia="Times New Roman"/>
                <w:b/>
                <w:sz w:val="21"/>
              </w:rPr>
              <w:t xml:space="preserve">113 </w:t>
            </w:r>
            <w:r>
              <w:rPr>
                <w:b/>
                <w:sz w:val="21"/>
              </w:rPr>
              <w:t>号）</w:t>
            </w:r>
          </w:p>
          <w:p>
            <w:pPr>
              <w:pStyle w:val="9"/>
              <w:spacing w:before="2"/>
              <w:ind w:left="528"/>
              <w:rPr>
                <w:sz w:val="21"/>
              </w:rPr>
            </w:pPr>
            <w:r>
              <w:rPr>
                <w:sz w:val="21"/>
              </w:rPr>
              <w:t>第十七条 存在下列情形之一的，不得公开发行公司债券：</w:t>
            </w:r>
          </w:p>
          <w:p>
            <w:pPr>
              <w:pStyle w:val="9"/>
              <w:spacing w:before="2"/>
              <w:ind w:left="528"/>
              <w:rPr>
                <w:sz w:val="21"/>
              </w:rPr>
            </w:pPr>
            <w:r>
              <w:rPr>
                <w:sz w:val="21"/>
              </w:rPr>
              <w:t>（一）最近三十六个月内公司财务会计文件存在虚假记载，或公司存在其他重大违法行为；</w:t>
            </w:r>
          </w:p>
          <w:p>
            <w:pPr>
              <w:pStyle w:val="9"/>
              <w:spacing w:before="5"/>
              <w:ind w:left="528"/>
              <w:rPr>
                <w:sz w:val="21"/>
              </w:rPr>
            </w:pPr>
            <w:r>
              <w:rPr>
                <w:sz w:val="21"/>
              </w:rPr>
              <w:t>（二）本次发行申请文件存在虚假记载、误导性陈述或者重大遗漏；</w:t>
            </w:r>
          </w:p>
          <w:p>
            <w:pPr>
              <w:pStyle w:val="9"/>
              <w:spacing w:before="2"/>
              <w:ind w:left="528"/>
              <w:rPr>
                <w:sz w:val="21"/>
              </w:rPr>
            </w:pPr>
            <w:r>
              <w:rPr>
                <w:sz w:val="21"/>
              </w:rPr>
              <w:t>（三）对已发行的公司债券或者其他债务有违约或者迟延支付本息的事实，仍处于继续状态；</w:t>
            </w:r>
          </w:p>
          <w:p>
            <w:pPr>
              <w:pStyle w:val="9"/>
              <w:spacing w:before="4" w:line="251" w:lineRule="exact"/>
              <w:ind w:left="528"/>
              <w:rPr>
                <w:sz w:val="21"/>
              </w:rPr>
            </w:pPr>
            <w:r>
              <w:rPr>
                <w:sz w:val="21"/>
              </w:rPr>
              <w:t>（四）严重损害投资者合法权益和社会公共利益的其他情形。</w:t>
            </w:r>
          </w:p>
        </w:tc>
        <w:tc>
          <w:tcPr>
            <w:tcW w:w="2500" w:type="dxa"/>
            <w:tcBorders>
              <w:bottom w:val="nil"/>
            </w:tcBorders>
          </w:tcPr>
          <w:p>
            <w:pPr>
              <w:pStyle w:val="9"/>
              <w:spacing w:before="2"/>
              <w:ind w:left="935"/>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1384" w:type="dxa"/>
            <w:tcBorders>
              <w:top w:val="nil"/>
              <w:bottom w:val="nil"/>
            </w:tcBorders>
          </w:tcPr>
          <w:p>
            <w:pPr>
              <w:pStyle w:val="9"/>
              <w:spacing w:line="240" w:lineRule="exact"/>
              <w:ind w:left="41" w:right="33"/>
              <w:jc w:val="center"/>
              <w:rPr>
                <w:sz w:val="21"/>
              </w:rPr>
            </w:pPr>
            <w:r>
              <w:rPr>
                <w:sz w:val="21"/>
              </w:rPr>
              <w:t>发行其他公</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司信用类债</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券核准或注</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8" w:hRule="atLeast"/>
        </w:trPr>
        <w:tc>
          <w:tcPr>
            <w:tcW w:w="1384" w:type="dxa"/>
            <w:tcBorders>
              <w:top w:val="nil"/>
            </w:tcBorders>
          </w:tcPr>
          <w:p>
            <w:pPr>
              <w:pStyle w:val="9"/>
              <w:spacing w:line="248" w:lineRule="exact"/>
              <w:ind w:left="31" w:right="138"/>
              <w:jc w:val="center"/>
              <w:rPr>
                <w:sz w:val="21"/>
              </w:rPr>
            </w:pPr>
            <w:r>
              <w:rPr>
                <w:sz w:val="21"/>
              </w:rPr>
              <w:t>册的参考。</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384" w:type="dxa"/>
            <w:tcBorders>
              <w:bottom w:val="nil"/>
            </w:tcBorders>
          </w:tcPr>
          <w:p>
            <w:pPr>
              <w:pStyle w:val="9"/>
              <w:spacing w:before="2" w:line="242" w:lineRule="auto"/>
              <w:ind w:left="107" w:right="97"/>
              <w:rPr>
                <w:sz w:val="21"/>
              </w:rPr>
            </w:pPr>
            <w:r>
              <w:rPr>
                <w:rFonts w:ascii="Times New Roman" w:eastAsia="Times New Roman"/>
                <w:sz w:val="21"/>
              </w:rPr>
              <w:t>22.</w:t>
            </w:r>
            <w:r>
              <w:rPr>
                <w:sz w:val="21"/>
              </w:rPr>
              <w:t>金融机构融资授信时</w:t>
            </w:r>
          </w:p>
        </w:tc>
        <w:tc>
          <w:tcPr>
            <w:tcW w:w="10064" w:type="dxa"/>
            <w:vMerge w:val="restart"/>
          </w:tcPr>
          <w:p>
            <w:pPr>
              <w:pStyle w:val="9"/>
              <w:spacing w:before="2"/>
              <w:rPr>
                <w:b/>
                <w:sz w:val="21"/>
              </w:rPr>
            </w:pPr>
            <w:r>
              <w:rPr>
                <w:b/>
                <w:sz w:val="21"/>
              </w:rPr>
              <w:t>《中华人民共和国商业银行法》</w:t>
            </w:r>
          </w:p>
          <w:p>
            <w:pPr>
              <w:pStyle w:val="9"/>
              <w:spacing w:before="2" w:line="242" w:lineRule="auto"/>
              <w:ind w:right="180" w:firstLine="420"/>
              <w:rPr>
                <w:sz w:val="21"/>
              </w:rPr>
            </w:pPr>
            <w:r>
              <w:rPr>
                <w:sz w:val="21"/>
              </w:rPr>
              <w:t>第三十五条 商业银行贷款，应当对借款人的借款用途、偿还能力、还款方式等情况进行严格审查。商业银行贷款，应当实行审贷分离、分级审批的制度。</w:t>
            </w:r>
          </w:p>
          <w:p>
            <w:pPr>
              <w:pStyle w:val="9"/>
              <w:spacing w:before="1"/>
              <w:rPr>
                <w:b/>
                <w:sz w:val="21"/>
              </w:rPr>
            </w:pPr>
            <w:r>
              <w:rPr>
                <w:b/>
                <w:sz w:val="21"/>
              </w:rPr>
              <w:t>《流动资金贷款管理暂行办法》（银监会令〔</w:t>
            </w:r>
            <w:r>
              <w:rPr>
                <w:rFonts w:ascii="Times New Roman" w:eastAsia="Times New Roman"/>
                <w:b/>
                <w:sz w:val="21"/>
              </w:rPr>
              <w:t>2010</w:t>
            </w:r>
            <w:r>
              <w:rPr>
                <w:b/>
                <w:sz w:val="21"/>
              </w:rPr>
              <w:t>〕</w:t>
            </w:r>
            <w:r>
              <w:rPr>
                <w:rFonts w:ascii="Times New Roman" w:eastAsia="Times New Roman"/>
                <w:b/>
                <w:sz w:val="21"/>
              </w:rPr>
              <w:t xml:space="preserve">1 </w:t>
            </w:r>
            <w:r>
              <w:rPr>
                <w:b/>
                <w:sz w:val="21"/>
              </w:rPr>
              <w:t>号）</w:t>
            </w:r>
          </w:p>
          <w:p>
            <w:pPr>
              <w:pStyle w:val="9"/>
              <w:spacing w:before="2" w:line="242" w:lineRule="auto"/>
              <w:ind w:right="98" w:firstLine="420"/>
              <w:rPr>
                <w:sz w:val="21"/>
              </w:rPr>
            </w:pPr>
            <w:r>
              <w:rPr>
                <w:spacing w:val="-3"/>
                <w:sz w:val="21"/>
              </w:rPr>
              <w:t>第五条 贷款人应完善内部控制机制，实行贷款全流程管理，全面了解客户信息，建立流动资金贷款风</w:t>
            </w:r>
            <w:r>
              <w:rPr>
                <w:spacing w:val="-5"/>
                <w:w w:val="95"/>
                <w:sz w:val="21"/>
              </w:rPr>
              <w:t>险管理制度和有效的岗位制衡机制，将贷款管理各环节的责任落实到具体部门和岗位，并建立各岗位的考核</w:t>
            </w:r>
            <w:r>
              <w:rPr>
                <w:spacing w:val="-5"/>
                <w:sz w:val="21"/>
              </w:rPr>
              <w:t>和问责机制。</w:t>
            </w:r>
          </w:p>
          <w:p>
            <w:pPr>
              <w:pStyle w:val="9"/>
              <w:spacing w:before="3" w:line="242" w:lineRule="auto"/>
              <w:ind w:right="98" w:firstLine="420"/>
              <w:rPr>
                <w:sz w:val="21"/>
              </w:rPr>
            </w:pPr>
            <w:r>
              <w:rPr>
                <w:spacing w:val="-3"/>
                <w:sz w:val="21"/>
              </w:rPr>
              <w:t>第三十条 贷款人应加强贷款资金发放后的管理，针对借款人所属行业及经营特点，通过定期与不定期</w:t>
            </w:r>
            <w:r>
              <w:rPr>
                <w:spacing w:val="-4"/>
                <w:w w:val="95"/>
                <w:sz w:val="21"/>
              </w:rPr>
              <w:t>现场检查与非现场监测，分析借款人经营、财务、信用、支付、担保及融资数量和渠道变化等状况，掌握各</w:t>
            </w:r>
            <w:r>
              <w:rPr>
                <w:spacing w:val="-4"/>
                <w:sz w:val="21"/>
              </w:rPr>
              <w:t>种影响借款人偿债能力的风险因素。</w:t>
            </w:r>
          </w:p>
          <w:p>
            <w:pPr>
              <w:pStyle w:val="9"/>
              <w:spacing w:before="1" w:line="244" w:lineRule="auto"/>
              <w:ind w:left="528" w:right="5047" w:hanging="420"/>
              <w:rPr>
                <w:sz w:val="21"/>
              </w:rPr>
            </w:pPr>
            <w:r>
              <w:rPr>
                <w:b/>
                <w:spacing w:val="-9"/>
                <w:sz w:val="21"/>
              </w:rPr>
              <w:t>《个人贷款管理暂行办法》</w:t>
            </w:r>
            <w:r>
              <w:rPr>
                <w:b/>
                <w:sz w:val="21"/>
              </w:rPr>
              <w:t>（银监会令〔</w:t>
            </w:r>
            <w:r>
              <w:rPr>
                <w:rFonts w:ascii="Times New Roman" w:eastAsia="Times New Roman"/>
                <w:b/>
                <w:sz w:val="21"/>
              </w:rPr>
              <w:t>2010</w:t>
            </w:r>
            <w:r>
              <w:rPr>
                <w:b/>
                <w:sz w:val="21"/>
              </w:rPr>
              <w:t>〕</w:t>
            </w:r>
            <w:r>
              <w:rPr>
                <w:rFonts w:ascii="Times New Roman" w:eastAsia="Times New Roman"/>
                <w:b/>
                <w:sz w:val="21"/>
              </w:rPr>
              <w:t xml:space="preserve">2 </w:t>
            </w:r>
            <w:r>
              <w:rPr>
                <w:b/>
                <w:sz w:val="21"/>
              </w:rPr>
              <w:t>号</w:t>
            </w:r>
            <w:r>
              <w:rPr>
                <w:b/>
                <w:spacing w:val="-11"/>
                <w:sz w:val="21"/>
              </w:rPr>
              <w:t xml:space="preserve">） </w:t>
            </w:r>
            <w:r>
              <w:rPr>
                <w:spacing w:val="-1"/>
                <w:sz w:val="21"/>
              </w:rPr>
              <w:t>第十四条 贷款调查包括但不限于以下内容：</w:t>
            </w:r>
          </w:p>
          <w:p>
            <w:pPr>
              <w:pStyle w:val="9"/>
              <w:spacing w:line="265" w:lineRule="exact"/>
              <w:ind w:left="528"/>
              <w:rPr>
                <w:sz w:val="21"/>
              </w:rPr>
            </w:pPr>
            <w:r>
              <w:rPr>
                <w:w w:val="95"/>
                <w:sz w:val="21"/>
              </w:rPr>
              <w:t>（一）借款人基本情况；</w:t>
            </w:r>
          </w:p>
          <w:p>
            <w:pPr>
              <w:pStyle w:val="9"/>
              <w:spacing w:before="5"/>
              <w:ind w:left="528"/>
              <w:rPr>
                <w:sz w:val="21"/>
              </w:rPr>
            </w:pPr>
            <w:r>
              <w:rPr>
                <w:w w:val="95"/>
                <w:sz w:val="21"/>
              </w:rPr>
              <w:t>（二）借款人收入情况；</w:t>
            </w:r>
          </w:p>
          <w:p>
            <w:pPr>
              <w:pStyle w:val="9"/>
              <w:spacing w:before="2"/>
              <w:ind w:left="528"/>
              <w:rPr>
                <w:sz w:val="21"/>
              </w:rPr>
            </w:pPr>
            <w:r>
              <w:rPr>
                <w:sz w:val="21"/>
              </w:rPr>
              <w:t>（三）</w:t>
            </w:r>
            <w:r>
              <w:fldChar w:fldCharType="begin"/>
            </w:r>
            <w:r>
              <w:instrText xml:space="preserve"> HYPERLINK "http://baike.baidu.com/view/588787.htm" \h </w:instrText>
            </w:r>
            <w:r>
              <w:fldChar w:fldCharType="separate"/>
            </w:r>
            <w:r>
              <w:rPr>
                <w:sz w:val="21"/>
              </w:rPr>
              <w:t>借款</w:t>
            </w:r>
            <w:r>
              <w:rPr>
                <w:sz w:val="21"/>
              </w:rPr>
              <w:fldChar w:fldCharType="end"/>
            </w:r>
            <w:r>
              <w:rPr>
                <w:sz w:val="21"/>
              </w:rPr>
              <w:t>用途；</w:t>
            </w:r>
          </w:p>
          <w:p>
            <w:pPr>
              <w:pStyle w:val="9"/>
              <w:spacing w:before="4"/>
              <w:ind w:left="528"/>
              <w:rPr>
                <w:sz w:val="21"/>
              </w:rPr>
            </w:pPr>
            <w:r>
              <w:rPr>
                <w:sz w:val="21"/>
              </w:rPr>
              <w:t>（四）借款人还款来源、还款能力及还款方式；</w:t>
            </w:r>
          </w:p>
          <w:p>
            <w:pPr>
              <w:pStyle w:val="9"/>
              <w:spacing w:before="3"/>
              <w:ind w:left="528"/>
              <w:rPr>
                <w:sz w:val="21"/>
              </w:rPr>
            </w:pPr>
            <w:r>
              <w:rPr>
                <w:sz w:val="21"/>
              </w:rPr>
              <w:t>（五）保证人担保意愿、担保能力或抵（质）押物价值及变现能力。</w:t>
            </w:r>
          </w:p>
          <w:p>
            <w:pPr>
              <w:pStyle w:val="9"/>
              <w:spacing w:before="2" w:line="244" w:lineRule="auto"/>
              <w:ind w:right="182" w:firstLine="420"/>
              <w:rPr>
                <w:sz w:val="21"/>
              </w:rPr>
            </w:pPr>
            <w:r>
              <w:rPr>
                <w:spacing w:val="-5"/>
                <w:sz w:val="21"/>
              </w:rPr>
              <w:t>第十八条 贷款审查应对贷款调查内容的合法性、合理性、准确性进行全面审查，重点关注调查人的尽职情况和借款人的偿还能力、诚信状况、担保情况、抵（质）押比率、风险程度等。</w:t>
            </w:r>
          </w:p>
          <w:p>
            <w:pPr>
              <w:pStyle w:val="9"/>
              <w:spacing w:line="265" w:lineRule="exact"/>
              <w:rPr>
                <w:b/>
                <w:sz w:val="21"/>
              </w:rPr>
            </w:pPr>
            <w:r>
              <w:rPr>
                <w:b/>
                <w:sz w:val="21"/>
              </w:rPr>
              <w:t>《固定资产贷款管理暂行办法》（银监会令〔</w:t>
            </w:r>
            <w:r>
              <w:rPr>
                <w:rFonts w:ascii="Times New Roman" w:eastAsia="Times New Roman"/>
                <w:b/>
                <w:sz w:val="21"/>
              </w:rPr>
              <w:t>2009</w:t>
            </w:r>
            <w:r>
              <w:rPr>
                <w:b/>
                <w:sz w:val="21"/>
              </w:rPr>
              <w:t>〕</w:t>
            </w:r>
            <w:r>
              <w:rPr>
                <w:rFonts w:ascii="Times New Roman" w:eastAsia="Times New Roman"/>
                <w:b/>
                <w:sz w:val="21"/>
              </w:rPr>
              <w:t xml:space="preserve">2 </w:t>
            </w:r>
            <w:r>
              <w:rPr>
                <w:b/>
                <w:sz w:val="21"/>
              </w:rPr>
              <w:t>号）</w:t>
            </w:r>
          </w:p>
          <w:p>
            <w:pPr>
              <w:pStyle w:val="9"/>
              <w:spacing w:before="4" w:line="242" w:lineRule="auto"/>
              <w:ind w:right="98" w:firstLine="420"/>
              <w:rPr>
                <w:sz w:val="21"/>
              </w:rPr>
            </w:pPr>
            <w:r>
              <w:rPr>
                <w:spacing w:val="-3"/>
                <w:sz w:val="21"/>
              </w:rPr>
              <w:t>第五条 贷款人应完善内部控制机制，实行贷款全流程管理，全面了解客户和项目信息，建立固定资产</w:t>
            </w:r>
            <w:r>
              <w:rPr>
                <w:spacing w:val="-5"/>
                <w:w w:val="95"/>
                <w:sz w:val="21"/>
              </w:rPr>
              <w:t>贷款风险管理制度和有效的岗位制衡机制，将贷款管理各环节的责任落实到具体部门和岗位，并建立各岗位</w:t>
            </w:r>
            <w:r>
              <w:rPr>
                <w:spacing w:val="-5"/>
                <w:sz w:val="21"/>
              </w:rPr>
              <w:t>的考核和问责机制。</w:t>
            </w:r>
          </w:p>
          <w:p>
            <w:pPr>
              <w:pStyle w:val="9"/>
              <w:spacing w:before="1" w:line="250" w:lineRule="exact"/>
              <w:ind w:left="528"/>
              <w:rPr>
                <w:sz w:val="21"/>
              </w:rPr>
            </w:pPr>
            <w:r>
              <w:rPr>
                <w:sz w:val="21"/>
              </w:rPr>
              <w:t>第三十条 贷款人应定期对借款人和项目发起人的履约情况及信用状况、项目的建设和运营情况、宏观</w:t>
            </w:r>
          </w:p>
        </w:tc>
        <w:tc>
          <w:tcPr>
            <w:tcW w:w="2500" w:type="dxa"/>
            <w:tcBorders>
              <w:bottom w:val="nil"/>
            </w:tcBorders>
          </w:tcPr>
          <w:p>
            <w:pPr>
              <w:pStyle w:val="9"/>
              <w:spacing w:before="21"/>
              <w:ind w:left="79" w:right="71"/>
              <w:jc w:val="center"/>
              <w:rPr>
                <w:sz w:val="21"/>
              </w:rPr>
            </w:pPr>
            <w:r>
              <w:rPr>
                <w:sz w:val="21"/>
              </w:rPr>
              <w:t>人民银行、</w:t>
            </w:r>
          </w:p>
          <w:p>
            <w:pPr>
              <w:pStyle w:val="9"/>
              <w:spacing w:before="43" w:line="215" w:lineRule="exact"/>
              <w:ind w:left="76" w:right="71"/>
              <w:jc w:val="center"/>
              <w:rPr>
                <w:sz w:val="21"/>
              </w:rPr>
            </w:pPr>
            <w:r>
              <w:rPr>
                <w:sz w:val="21"/>
              </w:rPr>
              <w:t>中国银行保险监督管理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55" w:hRule="atLeast"/>
        </w:trPr>
        <w:tc>
          <w:tcPr>
            <w:tcW w:w="1384" w:type="dxa"/>
            <w:tcBorders>
              <w:top w:val="nil"/>
            </w:tcBorders>
          </w:tcPr>
          <w:p>
            <w:pPr>
              <w:pStyle w:val="9"/>
              <w:spacing w:line="235" w:lineRule="exact"/>
              <w:ind w:left="107"/>
              <w:rPr>
                <w:sz w:val="21"/>
              </w:rPr>
            </w:pPr>
            <w:r>
              <w:rPr>
                <w:sz w:val="21"/>
              </w:rPr>
              <w:t>的审慎性参</w:t>
            </w:r>
          </w:p>
          <w:p>
            <w:pPr>
              <w:pStyle w:val="9"/>
              <w:spacing w:before="4"/>
              <w:ind w:left="107"/>
              <w:rPr>
                <w:sz w:val="21"/>
              </w:rPr>
            </w:pPr>
            <w:r>
              <w:rPr>
                <w:sz w:val="21"/>
              </w:rPr>
              <w:t>考。</w:t>
            </w:r>
          </w:p>
        </w:tc>
        <w:tc>
          <w:tcPr>
            <w:tcW w:w="10064" w:type="dxa"/>
            <w:vMerge w:val="continue"/>
            <w:tcBorders>
              <w:top w:val="nil"/>
            </w:tcBorders>
          </w:tcPr>
          <w:p>
            <w:pPr>
              <w:rPr>
                <w:sz w:val="2"/>
                <w:szCs w:val="2"/>
              </w:rPr>
            </w:pPr>
          </w:p>
        </w:tc>
        <w:tc>
          <w:tcPr>
            <w:tcW w:w="2500" w:type="dxa"/>
            <w:tcBorders>
              <w:top w:val="nil"/>
            </w:tcBorders>
          </w:tcPr>
          <w:p>
            <w:pPr>
              <w:pStyle w:val="9"/>
              <w:spacing w:before="66"/>
              <w:ind w:left="935"/>
              <w:rPr>
                <w:sz w:val="21"/>
              </w:rPr>
            </w:pPr>
            <w:r>
              <w:rPr>
                <w:sz w:val="21"/>
              </w:rPr>
              <w:t>委员会</w:t>
            </w:r>
          </w:p>
        </w:tc>
      </w:tr>
    </w:tbl>
    <w:p>
      <w:pPr>
        <w:spacing w:after="0"/>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1" w:hRule="atLeast"/>
        </w:trPr>
        <w:tc>
          <w:tcPr>
            <w:tcW w:w="1384" w:type="dxa"/>
          </w:tcPr>
          <w:p>
            <w:pPr>
              <w:pStyle w:val="9"/>
              <w:ind w:left="0"/>
              <w:rPr>
                <w:rFonts w:ascii="Times New Roman"/>
                <w:sz w:val="20"/>
              </w:rPr>
            </w:pPr>
          </w:p>
        </w:tc>
        <w:tc>
          <w:tcPr>
            <w:tcW w:w="10064" w:type="dxa"/>
          </w:tcPr>
          <w:p>
            <w:pPr>
              <w:pStyle w:val="9"/>
              <w:spacing w:before="2" w:line="242" w:lineRule="auto"/>
              <w:ind w:right="39"/>
              <w:rPr>
                <w:sz w:val="21"/>
              </w:rPr>
            </w:pPr>
            <w:r>
              <w:rPr>
                <w:w w:val="95"/>
                <w:sz w:val="21"/>
              </w:rPr>
              <w:t>经济变化和市场波动情况、贷款担保的变动情况等内容进行检查与分析，建立贷款质量监控制度和贷款风险</w:t>
            </w:r>
            <w:r>
              <w:rPr>
                <w:sz w:val="21"/>
              </w:rPr>
              <w:t>预警体系。</w:t>
            </w:r>
          </w:p>
          <w:p>
            <w:pPr>
              <w:pStyle w:val="9"/>
              <w:spacing w:line="268" w:lineRule="exact"/>
              <w:ind w:left="528"/>
              <w:rPr>
                <w:sz w:val="21"/>
              </w:rPr>
            </w:pPr>
            <w:r>
              <w:rPr>
                <w:sz w:val="21"/>
              </w:rPr>
              <w:t>出现可能影响贷款安全的不利情形时，贷款人应对贷款风险进行重新评价并采取针对性措施。</w:t>
            </w:r>
          </w:p>
          <w:p>
            <w:pPr>
              <w:pStyle w:val="9"/>
              <w:spacing w:before="4"/>
              <w:rPr>
                <w:b/>
                <w:sz w:val="21"/>
              </w:rPr>
            </w:pPr>
            <w:r>
              <w:rPr>
                <w:b/>
                <w:sz w:val="21"/>
              </w:rPr>
              <w:t>《征信业管理条例》</w:t>
            </w:r>
          </w:p>
          <w:p>
            <w:pPr>
              <w:pStyle w:val="9"/>
              <w:spacing w:before="2" w:line="242" w:lineRule="auto"/>
              <w:ind w:right="98" w:firstLine="420"/>
              <w:rPr>
                <w:sz w:val="21"/>
              </w:rPr>
            </w:pPr>
            <w:r>
              <w:rPr>
                <w:spacing w:val="-2"/>
                <w:sz w:val="21"/>
              </w:rPr>
              <w:t>第二十一条 征信机构可以通过信息主体、企业交易对方、行业协会提供信息，政府有关部门依法已公</w:t>
            </w:r>
            <w:r>
              <w:rPr>
                <w:spacing w:val="-5"/>
                <w:w w:val="95"/>
                <w:sz w:val="21"/>
              </w:rPr>
              <w:t>开的信息，人民法院依法公布的判决、裁定等渠道，采集企业信息。征信机构不得采集法律、行政法规禁止</w:t>
            </w:r>
            <w:r>
              <w:rPr>
                <w:spacing w:val="-5"/>
                <w:sz w:val="21"/>
              </w:rPr>
              <w:t>采集的企业信息。</w:t>
            </w:r>
          </w:p>
          <w:p>
            <w:pPr>
              <w:pStyle w:val="9"/>
              <w:spacing w:before="4" w:line="242" w:lineRule="auto"/>
              <w:ind w:left="528" w:right="1197" w:hanging="420"/>
              <w:rPr>
                <w:sz w:val="21"/>
              </w:rPr>
            </w:pPr>
            <w:r>
              <w:rPr>
                <w:b/>
                <w:sz w:val="21"/>
              </w:rPr>
              <w:t>《国务院关于印发社会信用体系建设规划纲要（</w:t>
            </w:r>
            <w:r>
              <w:rPr>
                <w:rFonts w:ascii="Times New Roman" w:eastAsia="Times New Roman"/>
                <w:b/>
                <w:sz w:val="21"/>
              </w:rPr>
              <w:t xml:space="preserve">2014-2020 </w:t>
            </w:r>
            <w:r>
              <w:rPr>
                <w:b/>
                <w:sz w:val="21"/>
              </w:rPr>
              <w:t>年）</w:t>
            </w:r>
            <w:r>
              <w:rPr>
                <w:b/>
                <w:spacing w:val="-26"/>
                <w:sz w:val="21"/>
              </w:rPr>
              <w:t>的通知》</w:t>
            </w:r>
            <w:r>
              <w:rPr>
                <w:b/>
                <w:sz w:val="21"/>
              </w:rPr>
              <w:t>（国发〔</w:t>
            </w:r>
            <w:r>
              <w:rPr>
                <w:rFonts w:ascii="Times New Roman" w:eastAsia="Times New Roman"/>
                <w:b/>
                <w:sz w:val="21"/>
              </w:rPr>
              <w:t>2014</w:t>
            </w:r>
            <w:r>
              <w:rPr>
                <w:b/>
                <w:sz w:val="21"/>
              </w:rPr>
              <w:t>〕</w:t>
            </w:r>
            <w:r>
              <w:rPr>
                <w:rFonts w:ascii="Times New Roman" w:eastAsia="Times New Roman"/>
                <w:b/>
                <w:sz w:val="21"/>
              </w:rPr>
              <w:t xml:space="preserve">21 </w:t>
            </w:r>
            <w:r>
              <w:rPr>
                <w:b/>
                <w:sz w:val="21"/>
              </w:rPr>
              <w:t xml:space="preserve">号） </w:t>
            </w:r>
            <w:r>
              <w:rPr>
                <w:sz w:val="21"/>
              </w:rPr>
              <w:t>五、完善以奖惩制度为重点的社会信用体系运行机制</w:t>
            </w:r>
          </w:p>
          <w:p>
            <w:pPr>
              <w:pStyle w:val="9"/>
              <w:spacing w:before="1"/>
              <w:ind w:left="528"/>
              <w:rPr>
                <w:sz w:val="21"/>
              </w:rPr>
            </w:pPr>
            <w:r>
              <w:rPr>
                <w:sz w:val="21"/>
              </w:rPr>
              <w:t>（一）构建守信激励和失信惩戒机制。</w:t>
            </w:r>
          </w:p>
          <w:p>
            <w:pPr>
              <w:pStyle w:val="9"/>
              <w:spacing w:before="2" w:line="242" w:lineRule="auto"/>
              <w:ind w:right="-15" w:firstLine="420"/>
              <w:jc w:val="both"/>
              <w:rPr>
                <w:sz w:val="21"/>
              </w:rPr>
            </w:pPr>
            <w:r>
              <w:rPr>
                <w:spacing w:val="-2"/>
                <w:sz w:val="21"/>
              </w:rPr>
              <w:t>加强对守信主体的奖励和激励。加大对守信行为的表彰和宣传力度。按规定对诚信企业和模范个人给予</w:t>
            </w:r>
            <w:r>
              <w:rPr>
                <w:spacing w:val="-3"/>
                <w:sz w:val="21"/>
              </w:rPr>
              <w:t>表彰，通过新闻媒体广泛宣传，营造守信光荣的舆论氛围。发展改革、财政、金融、环境保护、住房城乡建设、交通运输、商务、工商、税务、质检、安全监管、海关、知识产权等部门，在市场监管和公共服务过程</w:t>
            </w:r>
            <w:r>
              <w:rPr>
                <w:spacing w:val="-9"/>
                <w:w w:val="95"/>
                <w:sz w:val="21"/>
              </w:rPr>
              <w:t>中，要深化信用信息和信用产品的应用，对诚实守信者实行优先办理、简化程序等</w:t>
            </w:r>
            <w:r>
              <w:rPr>
                <w:rFonts w:ascii="Times New Roman" w:hAnsi="Times New Roman" w:eastAsia="Times New Roman"/>
                <w:w w:val="95"/>
                <w:sz w:val="21"/>
              </w:rPr>
              <w:t>“</w:t>
            </w:r>
            <w:r>
              <w:rPr>
                <w:w w:val="95"/>
                <w:sz w:val="21"/>
              </w:rPr>
              <w:t>绿色通道</w:t>
            </w:r>
            <w:r>
              <w:rPr>
                <w:rFonts w:ascii="Times New Roman" w:hAnsi="Times New Roman" w:eastAsia="Times New Roman"/>
                <w:w w:val="95"/>
                <w:sz w:val="21"/>
              </w:rPr>
              <w:t>”</w:t>
            </w:r>
            <w:r>
              <w:rPr>
                <w:w w:val="95"/>
                <w:sz w:val="21"/>
              </w:rPr>
              <w:t>支持激励政策。</w:t>
            </w:r>
          </w:p>
          <w:p>
            <w:pPr>
              <w:pStyle w:val="9"/>
              <w:spacing w:before="3"/>
              <w:jc w:val="both"/>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4"/>
              <w:ind w:left="422"/>
              <w:rPr>
                <w:sz w:val="21"/>
              </w:rPr>
            </w:pPr>
            <w:r>
              <w:rPr>
                <w:sz w:val="21"/>
              </w:rPr>
              <w:t>（十五）建立健全守信激励和失信惩戒机制。</w:t>
            </w:r>
          </w:p>
          <w:p>
            <w:pPr>
              <w:pStyle w:val="9"/>
              <w:spacing w:before="2" w:line="242" w:lineRule="auto"/>
              <w:ind w:right="-15" w:firstLine="420"/>
              <w:rPr>
                <w:sz w:val="21"/>
              </w:rPr>
            </w:pPr>
            <w:r>
              <w:rPr>
                <w:spacing w:val="-5"/>
                <w:w w:val="95"/>
                <w:sz w:val="21"/>
              </w:rPr>
              <w:t>将市场主体的信用信息作为实施行政管理的重要参考。根据市场主体信用状况实行分类分级、动态监管，</w:t>
            </w:r>
            <w:r>
              <w:rPr>
                <w:spacing w:val="-5"/>
                <w:sz w:val="21"/>
              </w:rPr>
              <w:t>建立健全经营异常名录制度，对违背市场竞争原则和侵犯消费者、劳动者合法权益的市场主体建立</w:t>
            </w:r>
            <w:r>
              <w:rPr>
                <w:rFonts w:ascii="Times New Roman" w:hAnsi="Times New Roman" w:eastAsia="Times New Roman"/>
                <w:spacing w:val="-5"/>
                <w:sz w:val="21"/>
              </w:rPr>
              <w:t>“</w:t>
            </w:r>
            <w:r>
              <w:rPr>
                <w:spacing w:val="-5"/>
                <w:sz w:val="21"/>
              </w:rPr>
              <w:t>黑名单</w:t>
            </w:r>
            <w:r>
              <w:rPr>
                <w:rFonts w:ascii="Times New Roman" w:hAnsi="Times New Roman" w:eastAsia="Times New Roman"/>
                <w:spacing w:val="-5"/>
                <w:sz w:val="21"/>
              </w:rPr>
              <w:t xml:space="preserve">” </w:t>
            </w:r>
            <w:r>
              <w:rPr>
                <w:spacing w:val="-39"/>
                <w:sz w:val="21"/>
              </w:rPr>
              <w:t>制度。</w:t>
            </w:r>
            <w:r>
              <w:rPr>
                <w:sz w:val="21"/>
              </w:rPr>
              <w:t>（国家市场监督管理总局牵头负责）对守信主体予以支持和激励，对失信主体在经营、投融资、取得政府供应土地、进出口、出入境、注册新公司、工程招投标、政府采购、获得荣誉、安全许可、生产许可、</w:t>
            </w:r>
            <w:r>
              <w:rPr>
                <w:spacing w:val="-3"/>
                <w:sz w:val="21"/>
              </w:rPr>
              <w:t>从业任职资格、资质审核等方面依法予以限制或禁止，对严重违法失信主体实行市场禁入制度。</w:t>
            </w:r>
            <w:r>
              <w:rPr>
                <w:sz w:val="21"/>
              </w:rPr>
              <w:t>（各相关市场监管部门按职责分工分别负责）</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84" w:type="dxa"/>
            <w:tcBorders>
              <w:bottom w:val="nil"/>
            </w:tcBorders>
          </w:tcPr>
          <w:p>
            <w:pPr>
              <w:pStyle w:val="9"/>
              <w:spacing w:line="242" w:lineRule="auto"/>
              <w:ind w:left="107" w:right="97"/>
              <w:rPr>
                <w:sz w:val="21"/>
              </w:rPr>
            </w:pPr>
            <w:r>
              <w:rPr>
                <w:rFonts w:ascii="Times New Roman" w:eastAsia="Times New Roman"/>
                <w:sz w:val="21"/>
              </w:rPr>
              <w:t>23.</w:t>
            </w:r>
            <w:r>
              <w:rPr>
                <w:sz w:val="21"/>
              </w:rPr>
              <w:t>在实施政府性资金项</w:t>
            </w:r>
          </w:p>
        </w:tc>
        <w:tc>
          <w:tcPr>
            <w:tcW w:w="10064" w:type="dxa"/>
            <w:vMerge w:val="restart"/>
          </w:tcPr>
          <w:p>
            <w:pPr>
              <w:pStyle w:val="9"/>
              <w:rPr>
                <w:b/>
                <w:sz w:val="21"/>
              </w:rPr>
            </w:pPr>
            <w:r>
              <w:rPr>
                <w:b/>
                <w:sz w:val="21"/>
              </w:rPr>
              <w:t>《中央预算内投资补助和贴息项目管理办法》</w:t>
            </w:r>
          </w:p>
          <w:p>
            <w:pPr>
              <w:pStyle w:val="9"/>
              <w:spacing w:before="2" w:line="242" w:lineRule="auto"/>
              <w:ind w:right="98" w:firstLine="314"/>
              <w:jc w:val="both"/>
              <w:rPr>
                <w:sz w:val="21"/>
              </w:rPr>
            </w:pPr>
            <w:r>
              <w:rPr>
                <w:spacing w:val="-6"/>
                <w:sz w:val="21"/>
              </w:rPr>
              <w:t>第二十八条 项目单位有下列行为之一的，国家发展改革委</w:t>
            </w:r>
            <w:r>
              <w:rPr>
                <w:sz w:val="21"/>
              </w:rPr>
              <w:t>（打捆和切块下达投资计划的项目由省级发展</w:t>
            </w:r>
            <w:r>
              <w:rPr>
                <w:w w:val="95"/>
                <w:sz w:val="21"/>
              </w:rPr>
              <w:t>改革委</w:t>
            </w:r>
            <w:r>
              <w:rPr>
                <w:spacing w:val="-5"/>
                <w:w w:val="95"/>
                <w:sz w:val="21"/>
              </w:rPr>
              <w:t>）</w:t>
            </w:r>
            <w:r>
              <w:rPr>
                <w:spacing w:val="-3"/>
                <w:w w:val="95"/>
                <w:sz w:val="21"/>
              </w:rPr>
              <w:t>责令其限期整改；拒不整改或者整改后仍不符合要求的，应当核减，收回或者停止拨付投资补助和</w:t>
            </w:r>
            <w:r>
              <w:rPr>
                <w:spacing w:val="-5"/>
                <w:w w:val="95"/>
                <w:sz w:val="21"/>
              </w:rPr>
              <w:t>贴息资金，暂停其申报中央投资补助和贴息项目，将相关信息纳入全国信用信息共享平台和“信用中国”网</w:t>
            </w:r>
            <w:r>
              <w:rPr>
                <w:spacing w:val="-5"/>
                <w:sz w:val="21"/>
              </w:rPr>
              <w:t>站公开，并可以根据情节轻重提请或者移交有关机关依法追究有关责任人的行政或者法律责任：</w:t>
            </w:r>
          </w:p>
          <w:p>
            <w:pPr>
              <w:pStyle w:val="9"/>
              <w:spacing w:before="2"/>
              <w:ind w:left="422"/>
              <w:rPr>
                <w:sz w:val="21"/>
              </w:rPr>
            </w:pPr>
            <w:r>
              <w:rPr>
                <w:w w:val="95"/>
                <w:sz w:val="21"/>
              </w:rPr>
              <w:t>（一）提供虚假情况，骗取投资补助和贴息资金的；</w:t>
            </w:r>
          </w:p>
          <w:p>
            <w:pPr>
              <w:pStyle w:val="9"/>
              <w:spacing w:before="5"/>
              <w:ind w:left="422"/>
              <w:rPr>
                <w:sz w:val="21"/>
              </w:rPr>
            </w:pPr>
            <w:r>
              <w:rPr>
                <w:w w:val="95"/>
                <w:sz w:val="21"/>
              </w:rPr>
              <w:t>（二）转移、侵占或者挪用投资补助和贴息资金的；</w:t>
            </w:r>
          </w:p>
          <w:p>
            <w:pPr>
              <w:pStyle w:val="9"/>
              <w:spacing w:before="2" w:line="250" w:lineRule="exact"/>
              <w:ind w:left="422"/>
              <w:rPr>
                <w:sz w:val="21"/>
              </w:rPr>
            </w:pPr>
            <w:r>
              <w:rPr>
                <w:sz w:val="21"/>
              </w:rPr>
              <w:t>（三）擅自改变主要建设内容和建设标准的；</w:t>
            </w:r>
          </w:p>
        </w:tc>
        <w:tc>
          <w:tcPr>
            <w:tcW w:w="2500" w:type="dxa"/>
            <w:tcBorders>
              <w:bottom w:val="nil"/>
            </w:tcBorders>
          </w:tcPr>
          <w:p>
            <w:pPr>
              <w:pStyle w:val="9"/>
              <w:spacing w:before="19"/>
              <w:ind w:left="79" w:right="71"/>
              <w:jc w:val="center"/>
              <w:rPr>
                <w:sz w:val="21"/>
              </w:rPr>
            </w:pPr>
            <w:r>
              <w:rPr>
                <w:sz w:val="21"/>
              </w:rPr>
              <w:t>国家发展改革委、</w:t>
            </w:r>
          </w:p>
          <w:p>
            <w:pPr>
              <w:pStyle w:val="9"/>
              <w:spacing w:before="43" w:line="217" w:lineRule="exact"/>
              <w:ind w:left="81" w:right="71"/>
              <w:jc w:val="center"/>
              <w:rPr>
                <w:sz w:val="21"/>
              </w:rPr>
            </w:pPr>
            <w:r>
              <w:rPr>
                <w:sz w:val="21"/>
              </w:rPr>
              <w:t>财政部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384" w:type="dxa"/>
            <w:tcBorders>
              <w:top w:val="nil"/>
              <w:bottom w:val="nil"/>
            </w:tcBorders>
          </w:tcPr>
          <w:p>
            <w:pPr>
              <w:pStyle w:val="9"/>
              <w:spacing w:line="212" w:lineRule="exact"/>
              <w:ind w:left="107"/>
              <w:rPr>
                <w:sz w:val="21"/>
              </w:rPr>
            </w:pPr>
            <w:r>
              <w:rPr>
                <w:sz w:val="21"/>
              </w:rPr>
              <w:t>目安排和其</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他投资领域</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优惠政策时，</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采取从严审</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107"/>
              <w:rPr>
                <w:sz w:val="21"/>
              </w:rPr>
            </w:pPr>
            <w:r>
              <w:rPr>
                <w:sz w:val="21"/>
              </w:rPr>
              <w:t>核或降低支</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6" w:hRule="atLeast"/>
        </w:trPr>
        <w:tc>
          <w:tcPr>
            <w:tcW w:w="1384" w:type="dxa"/>
            <w:tcBorders>
              <w:top w:val="nil"/>
            </w:tcBorders>
          </w:tcPr>
          <w:p>
            <w:pPr>
              <w:pStyle w:val="9"/>
              <w:spacing w:line="246" w:lineRule="exact"/>
              <w:ind w:left="107"/>
              <w:rPr>
                <w:sz w:val="21"/>
              </w:rPr>
            </w:pPr>
            <w:r>
              <w:rPr>
                <w:sz w:val="21"/>
              </w:rPr>
              <w:t>持力度或不</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18"/>
              </w:rPr>
            </w:pPr>
          </w:p>
        </w:tc>
      </w:tr>
    </w:tbl>
    <w:p>
      <w:pPr>
        <w:spacing w:after="0"/>
        <w:rPr>
          <w:rFonts w:ascii="Times New Roman"/>
          <w:sz w:val="18"/>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85" w:hRule="atLeast"/>
        </w:trPr>
        <w:tc>
          <w:tcPr>
            <w:tcW w:w="1384" w:type="dxa"/>
          </w:tcPr>
          <w:p>
            <w:pPr>
              <w:pStyle w:val="9"/>
              <w:spacing w:before="2" w:line="242" w:lineRule="auto"/>
              <w:ind w:left="107" w:right="97"/>
              <w:rPr>
                <w:sz w:val="21"/>
              </w:rPr>
            </w:pPr>
            <w:r>
              <w:rPr>
                <w:sz w:val="21"/>
              </w:rPr>
              <w:t>予支持等限制措施。</w:t>
            </w:r>
          </w:p>
        </w:tc>
        <w:tc>
          <w:tcPr>
            <w:tcW w:w="10064" w:type="dxa"/>
          </w:tcPr>
          <w:p>
            <w:pPr>
              <w:pStyle w:val="9"/>
              <w:spacing w:before="2"/>
              <w:ind w:left="422"/>
              <w:rPr>
                <w:sz w:val="21"/>
              </w:rPr>
            </w:pPr>
            <w:r>
              <w:rPr>
                <w:sz w:val="21"/>
              </w:rPr>
              <w:t>（四）项目建设规模、标准和内容发生较大变化而不及时报告的；</w:t>
            </w:r>
          </w:p>
          <w:p>
            <w:pPr>
              <w:pStyle w:val="9"/>
              <w:spacing w:before="2"/>
              <w:ind w:left="422"/>
              <w:rPr>
                <w:sz w:val="21"/>
              </w:rPr>
            </w:pPr>
            <w:r>
              <w:rPr>
                <w:sz w:val="21"/>
              </w:rPr>
              <w:t>（五）无正当理由未及时建设实施的；</w:t>
            </w:r>
          </w:p>
          <w:p>
            <w:pPr>
              <w:pStyle w:val="9"/>
              <w:spacing w:before="2"/>
              <w:ind w:left="422"/>
              <w:rPr>
                <w:sz w:val="21"/>
              </w:rPr>
            </w:pPr>
            <w:r>
              <w:rPr>
                <w:sz w:val="21"/>
              </w:rPr>
              <w:t>（六）拒不接受依法进行的稽察或者监督检查的；</w:t>
            </w:r>
          </w:p>
          <w:p>
            <w:pPr>
              <w:pStyle w:val="9"/>
              <w:spacing w:before="5"/>
              <w:ind w:left="422"/>
              <w:rPr>
                <w:sz w:val="21"/>
              </w:rPr>
            </w:pPr>
            <w:r>
              <w:rPr>
                <w:w w:val="95"/>
                <w:sz w:val="21"/>
              </w:rPr>
              <w:t>（七）未按要求通过在线平台报告相关项目信息的；</w:t>
            </w:r>
          </w:p>
          <w:p>
            <w:pPr>
              <w:pStyle w:val="9"/>
              <w:spacing w:before="2"/>
              <w:ind w:left="422"/>
              <w:rPr>
                <w:sz w:val="21"/>
              </w:rPr>
            </w:pPr>
            <w:r>
              <w:rPr>
                <w:w w:val="95"/>
                <w:sz w:val="21"/>
              </w:rPr>
              <w:t>（八）其他违反国家法律法规和本办法规定的行为。</w:t>
            </w:r>
          </w:p>
          <w:p>
            <w:pPr>
              <w:pStyle w:val="9"/>
              <w:spacing w:before="4"/>
              <w:ind w:right="-15"/>
              <w:rPr>
                <w:b/>
                <w:sz w:val="21"/>
              </w:rPr>
            </w:pPr>
            <w:r>
              <w:rPr>
                <w:b/>
                <w:w w:val="95"/>
                <w:sz w:val="21"/>
              </w:rPr>
              <w:t>《国务院关于建立完善守信联合激励和失信联合惩戒制度加快推进社会诚信建设的指导意见</w:t>
            </w:r>
            <w:r>
              <w:rPr>
                <w:b/>
                <w:spacing w:val="-133"/>
                <w:w w:val="95"/>
                <w:sz w:val="21"/>
              </w:rPr>
              <w:t>》</w:t>
            </w:r>
            <w:r>
              <w:rPr>
                <w:b/>
                <w:w w:val="95"/>
                <w:sz w:val="21"/>
              </w:rPr>
              <w:t>（</w:t>
            </w:r>
            <w:r>
              <w:rPr>
                <w:b/>
                <w:spacing w:val="-10"/>
                <w:w w:val="95"/>
                <w:sz w:val="21"/>
              </w:rPr>
              <w:t>国发〔</w:t>
            </w:r>
            <w:r>
              <w:rPr>
                <w:rFonts w:ascii="Times New Roman" w:eastAsia="Times New Roman"/>
                <w:b/>
                <w:w w:val="95"/>
                <w:sz w:val="21"/>
              </w:rPr>
              <w:t>2016</w:t>
            </w:r>
            <w:r>
              <w:rPr>
                <w:b/>
                <w:w w:val="95"/>
                <w:sz w:val="21"/>
              </w:rPr>
              <w:t>〕</w:t>
            </w:r>
          </w:p>
          <w:p>
            <w:pPr>
              <w:pStyle w:val="9"/>
              <w:spacing w:before="2"/>
              <w:rPr>
                <w:b/>
                <w:sz w:val="21"/>
              </w:rPr>
            </w:pPr>
            <w:r>
              <w:rPr>
                <w:rFonts w:ascii="Times New Roman" w:eastAsia="Times New Roman"/>
                <w:b/>
                <w:sz w:val="21"/>
              </w:rPr>
              <w:t xml:space="preserve">33 </w:t>
            </w:r>
            <w:r>
              <w:rPr>
                <w:b/>
                <w:sz w:val="21"/>
              </w:rPr>
              <w:t>号）</w:t>
            </w:r>
          </w:p>
          <w:p>
            <w:pPr>
              <w:pStyle w:val="9"/>
              <w:spacing w:before="5" w:line="242" w:lineRule="auto"/>
              <w:ind w:right="-15" w:firstLine="314"/>
              <w:rPr>
                <w:sz w:val="21"/>
              </w:rPr>
            </w:pPr>
            <w:r>
              <w:rPr>
                <w:sz w:val="21"/>
              </w:rPr>
              <w:t>（十）依法依规加强对失信行为的行政性约束和惩戒。对严重失信主体，各地区、各有关部门应将其列</w:t>
            </w:r>
            <w:r>
              <w:rPr>
                <w:spacing w:val="-3"/>
                <w:sz w:val="21"/>
              </w:rPr>
              <w:t>为重点监管对象，依法依规采取行政性约束和惩戒措施。从严审核行政许可审批项目，从严控制生产许可证</w:t>
            </w:r>
            <w:r>
              <w:rPr>
                <w:spacing w:val="-12"/>
                <w:w w:val="95"/>
                <w:sz w:val="21"/>
              </w:rPr>
              <w:t>发放，限制新增项目审批、核准，限制股票发行上市融资或发行债券，限制在全国股份转让系统挂牌、融资，</w:t>
            </w:r>
            <w:r>
              <w:rPr>
                <w:spacing w:val="-12"/>
                <w:sz w:val="21"/>
              </w:rPr>
              <w:t>限制发起设立或参股金融机构以及小额贷款公司、融资担保公司、创业投资公司、互联网融资平台等机构， 限制从事互联网信息服务等。严格限制申请财政性资金项目，限制参与有关公共资源交易活动，限制参与基</w:t>
            </w:r>
            <w:r>
              <w:rPr>
                <w:spacing w:val="-13"/>
                <w:sz w:val="21"/>
              </w:rPr>
              <w:t>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82" w:hRule="atLeast"/>
        </w:trPr>
        <w:tc>
          <w:tcPr>
            <w:tcW w:w="1384" w:type="dxa"/>
          </w:tcPr>
          <w:p>
            <w:pPr>
              <w:pStyle w:val="9"/>
              <w:spacing w:before="1" w:line="242" w:lineRule="auto"/>
              <w:ind w:left="107" w:right="97"/>
              <w:jc w:val="both"/>
              <w:rPr>
                <w:sz w:val="21"/>
              </w:rPr>
            </w:pPr>
            <w:r>
              <w:rPr>
                <w:rFonts w:ascii="Times New Roman" w:eastAsia="Times New Roman"/>
                <w:sz w:val="21"/>
              </w:rPr>
              <w:t>24.</w:t>
            </w:r>
            <w:r>
              <w:rPr>
                <w:sz w:val="21"/>
              </w:rPr>
              <w:t>依法对申请发行企业债券不予受理。</w:t>
            </w:r>
          </w:p>
        </w:tc>
        <w:tc>
          <w:tcPr>
            <w:tcW w:w="10064" w:type="dxa"/>
          </w:tcPr>
          <w:p>
            <w:pPr>
              <w:pStyle w:val="9"/>
              <w:spacing w:before="1" w:line="242" w:lineRule="auto"/>
              <w:ind w:right="141"/>
              <w:jc w:val="both"/>
              <w:rPr>
                <w:b/>
                <w:sz w:val="21"/>
              </w:rPr>
            </w:pPr>
            <w:r>
              <w:rPr>
                <w:b/>
                <w:spacing w:val="-3"/>
                <w:w w:val="95"/>
                <w:sz w:val="21"/>
              </w:rPr>
              <w:t>《国家发展改革委人民银行中央编办关于在行政管理事项中使用信用记录和信用报告的若干意见》</w:t>
            </w:r>
            <w:r>
              <w:rPr>
                <w:b/>
                <w:w w:val="95"/>
                <w:sz w:val="21"/>
              </w:rPr>
              <w:t xml:space="preserve">（发改财   </w:t>
            </w:r>
            <w:r>
              <w:rPr>
                <w:b/>
                <w:sz w:val="21"/>
              </w:rPr>
              <w:t>金〔</w:t>
            </w:r>
            <w:r>
              <w:rPr>
                <w:rFonts w:ascii="Times New Roman" w:eastAsia="Times New Roman"/>
                <w:b/>
                <w:sz w:val="21"/>
              </w:rPr>
              <w:t>2013</w:t>
            </w:r>
            <w:r>
              <w:rPr>
                <w:b/>
                <w:sz w:val="21"/>
              </w:rPr>
              <w:t>〕</w:t>
            </w:r>
            <w:r>
              <w:rPr>
                <w:rFonts w:ascii="Times New Roman" w:eastAsia="Times New Roman"/>
                <w:b/>
                <w:sz w:val="21"/>
              </w:rPr>
              <w:t xml:space="preserve">920 </w:t>
            </w:r>
            <w:r>
              <w:rPr>
                <w:b/>
                <w:sz w:val="21"/>
              </w:rPr>
              <w:t>号）</w:t>
            </w:r>
          </w:p>
          <w:p>
            <w:pPr>
              <w:pStyle w:val="9"/>
              <w:spacing w:before="1" w:line="242" w:lineRule="auto"/>
              <w:ind w:right="98" w:firstLine="420"/>
              <w:jc w:val="both"/>
              <w:rPr>
                <w:sz w:val="21"/>
              </w:rPr>
            </w:pPr>
            <w:r>
              <w:rPr>
                <w:spacing w:val="-5"/>
                <w:w w:val="95"/>
                <w:sz w:val="21"/>
              </w:rPr>
              <w:t>二、切实发挥在行政管理事项中使用信用记录和信用报告的作用。各级政府、各相关部门应将相关市场</w:t>
            </w:r>
            <w:r>
              <w:rPr>
                <w:spacing w:val="-6"/>
                <w:w w:val="95"/>
                <w:sz w:val="21"/>
              </w:rPr>
              <w:t>主体所提供的信用记录或信用报告作为其实施行政管理的重要参考。对守信者，应探索实行优先办理、简化</w:t>
            </w:r>
            <w:r>
              <w:rPr>
                <w:spacing w:val="-12"/>
                <w:sz w:val="21"/>
              </w:rPr>
              <w:t>程序、“绿色通道”和重点支持等激励政策；对失信者，应结合失信类别和程度，严格落实失信惩戒制度。</w:t>
            </w:r>
          </w:p>
          <w:p>
            <w:pPr>
              <w:pStyle w:val="9"/>
              <w:spacing w:before="1" w:line="242" w:lineRule="auto"/>
              <w:ind w:right="98" w:firstLine="420"/>
              <w:jc w:val="both"/>
              <w:rPr>
                <w:sz w:val="21"/>
              </w:rPr>
            </w:pPr>
            <w:r>
              <w:rPr>
                <w:spacing w:val="-5"/>
                <w:w w:val="95"/>
                <w:sz w:val="21"/>
              </w:rPr>
              <w:t>三、探索完善在行政管理事项中使用信用记录和信用报告的制度规范。各级政府、各相关部门应结合地方和部门实际，在政府采购、招标投标、行政审批、市场准入、资质审核等行政管理事项中依法要求相关市</w:t>
            </w:r>
            <w:r>
              <w:rPr>
                <w:spacing w:val="-7"/>
                <w:w w:val="95"/>
                <w:sz w:val="21"/>
              </w:rPr>
              <w:t>场主体提供由第三方信用服务机构出具的信用记录或信用报告。各级政府、各相关部门应根据履职需要，研</w:t>
            </w:r>
            <w:r>
              <w:rPr>
                <w:spacing w:val="-7"/>
                <w:sz w:val="21"/>
              </w:rPr>
              <w:t>究明确信用记录或信用报告的主要内容和运用规范。</w:t>
            </w:r>
          </w:p>
          <w:p>
            <w:pPr>
              <w:pStyle w:val="9"/>
              <w:spacing w:before="3" w:line="242" w:lineRule="auto"/>
              <w:ind w:left="528" w:right="410" w:hanging="420"/>
              <w:jc w:val="both"/>
              <w:rPr>
                <w:sz w:val="21"/>
              </w:rPr>
            </w:pPr>
            <w:r>
              <w:rPr>
                <w:b/>
                <w:spacing w:val="-4"/>
                <w:sz w:val="21"/>
              </w:rPr>
              <w:t>《国家发展改革委办公厅关于进一步改进企业债券发行审核工作的通知》</w:t>
            </w:r>
            <w:r>
              <w:rPr>
                <w:b/>
                <w:sz w:val="21"/>
              </w:rPr>
              <w:t>（发改办财金〔</w:t>
            </w:r>
            <w:r>
              <w:rPr>
                <w:rFonts w:ascii="Times New Roman" w:eastAsia="Times New Roman"/>
                <w:b/>
                <w:sz w:val="21"/>
              </w:rPr>
              <w:t>2013</w:t>
            </w:r>
            <w:r>
              <w:rPr>
                <w:b/>
                <w:sz w:val="21"/>
              </w:rPr>
              <w:t>〕</w:t>
            </w:r>
            <w:r>
              <w:rPr>
                <w:rFonts w:ascii="Times New Roman" w:eastAsia="Times New Roman"/>
                <w:b/>
                <w:sz w:val="21"/>
              </w:rPr>
              <w:t xml:space="preserve">957 </w:t>
            </w:r>
            <w:r>
              <w:rPr>
                <w:b/>
                <w:sz w:val="21"/>
              </w:rPr>
              <w:t xml:space="preserve">号） </w:t>
            </w:r>
            <w:r>
              <w:rPr>
                <w:sz w:val="21"/>
              </w:rPr>
              <w:t>对于以下两类发债申请，要从严审核，有效防范市场风险。</w:t>
            </w:r>
          </w:p>
          <w:p>
            <w:pPr>
              <w:pStyle w:val="9"/>
              <w:spacing w:before="1"/>
              <w:ind w:left="528"/>
              <w:rPr>
                <w:sz w:val="21"/>
              </w:rPr>
            </w:pPr>
            <w:r>
              <w:rPr>
                <w:sz w:val="21"/>
              </w:rPr>
              <w:t>（一）募集资金用于产能过剩、高污染、高耗能等国家产业政策限制领域的发债申请。</w:t>
            </w:r>
          </w:p>
          <w:p>
            <w:pPr>
              <w:pStyle w:val="9"/>
              <w:spacing w:before="5"/>
              <w:ind w:left="528"/>
              <w:rPr>
                <w:sz w:val="21"/>
              </w:rPr>
            </w:pPr>
            <w:r>
              <w:rPr>
                <w:sz w:val="21"/>
              </w:rPr>
              <w:t>（二）企业信用等级较低，负债率高，债券余额较大或运作不规范、资产不实、偿债措施较弱的发债申</w:t>
            </w:r>
          </w:p>
          <w:p>
            <w:pPr>
              <w:pStyle w:val="9"/>
              <w:spacing w:before="2"/>
              <w:rPr>
                <w:sz w:val="21"/>
              </w:rPr>
            </w:pPr>
            <w:r>
              <w:rPr>
                <w:sz w:val="21"/>
              </w:rPr>
              <w:t>请。</w:t>
            </w:r>
          </w:p>
          <w:p>
            <w:pPr>
              <w:pStyle w:val="9"/>
              <w:spacing w:before="2" w:line="250" w:lineRule="exact"/>
              <w:rPr>
                <w:b/>
                <w:sz w:val="21"/>
              </w:rPr>
            </w:pPr>
            <w:r>
              <w:rPr>
                <w:b/>
                <w:sz w:val="21"/>
              </w:rPr>
              <w:t>《公司债券发行与交易管理办法》（证监会令〔</w:t>
            </w:r>
            <w:r>
              <w:rPr>
                <w:rFonts w:ascii="Times New Roman" w:eastAsia="Times New Roman"/>
                <w:b/>
                <w:sz w:val="21"/>
              </w:rPr>
              <w:t>2015</w:t>
            </w:r>
            <w:r>
              <w:rPr>
                <w:b/>
                <w:sz w:val="21"/>
              </w:rPr>
              <w:t>〕</w:t>
            </w:r>
            <w:r>
              <w:rPr>
                <w:rFonts w:ascii="Times New Roman" w:eastAsia="Times New Roman"/>
                <w:b/>
                <w:sz w:val="21"/>
              </w:rPr>
              <w:t xml:space="preserve">113 </w:t>
            </w:r>
            <w:r>
              <w:rPr>
                <w:b/>
                <w:sz w:val="21"/>
              </w:rPr>
              <w:t>号）</w:t>
            </w:r>
          </w:p>
        </w:tc>
        <w:tc>
          <w:tcPr>
            <w:tcW w:w="2500" w:type="dxa"/>
          </w:tcPr>
          <w:p>
            <w:pPr>
              <w:pStyle w:val="9"/>
              <w:spacing w:before="20"/>
              <w:ind w:left="515"/>
              <w:rPr>
                <w:sz w:val="21"/>
              </w:rPr>
            </w:pPr>
            <w:r>
              <w:rPr>
                <w:sz w:val="21"/>
              </w:rPr>
              <w:t>国家发展改革委</w:t>
            </w:r>
          </w:p>
        </w:tc>
      </w:tr>
    </w:tbl>
    <w:p>
      <w:pPr>
        <w:spacing w:after="0"/>
        <w:rPr>
          <w:sz w:val="21"/>
        </w:rPr>
        <w:sectPr>
          <w:footerReference r:id="rId6" w:type="default"/>
          <w:pgSz w:w="16840" w:h="11910" w:orient="landscape"/>
          <w:pgMar w:top="1100" w:right="1440" w:bottom="1620" w:left="1220" w:header="0" w:footer="1433" w:gutter="0"/>
          <w:pgNumType w:start="3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7" w:hRule="atLeast"/>
        </w:trPr>
        <w:tc>
          <w:tcPr>
            <w:tcW w:w="1384" w:type="dxa"/>
          </w:tcPr>
          <w:p>
            <w:pPr>
              <w:pStyle w:val="9"/>
              <w:ind w:left="0"/>
              <w:rPr>
                <w:rFonts w:ascii="Times New Roman"/>
                <w:sz w:val="20"/>
              </w:rPr>
            </w:pPr>
          </w:p>
        </w:tc>
        <w:tc>
          <w:tcPr>
            <w:tcW w:w="10064" w:type="dxa"/>
          </w:tcPr>
          <w:p>
            <w:pPr>
              <w:pStyle w:val="9"/>
              <w:spacing w:before="2"/>
              <w:ind w:left="528"/>
              <w:rPr>
                <w:sz w:val="21"/>
              </w:rPr>
            </w:pPr>
            <w:r>
              <w:rPr>
                <w:sz w:val="21"/>
              </w:rPr>
              <w:t>第十七条 存在下列情形之一的，不得公开发行公司债券：</w:t>
            </w:r>
          </w:p>
          <w:p>
            <w:pPr>
              <w:pStyle w:val="9"/>
              <w:spacing w:before="2"/>
              <w:ind w:left="528"/>
              <w:rPr>
                <w:sz w:val="21"/>
              </w:rPr>
            </w:pPr>
            <w:r>
              <w:rPr>
                <w:sz w:val="21"/>
              </w:rPr>
              <w:t>（一）最近三十六个月内公司财务会计文件存在虚假记载，或公司存在其他重大违法行为；</w:t>
            </w:r>
          </w:p>
          <w:p>
            <w:pPr>
              <w:pStyle w:val="9"/>
              <w:spacing w:before="2"/>
              <w:ind w:left="528"/>
              <w:rPr>
                <w:sz w:val="21"/>
              </w:rPr>
            </w:pPr>
            <w:r>
              <w:rPr>
                <w:sz w:val="21"/>
              </w:rPr>
              <w:t>（二）本次发行申请文件存在虚假记载、误导性陈述或者重大遗漏；</w:t>
            </w:r>
          </w:p>
          <w:p>
            <w:pPr>
              <w:pStyle w:val="9"/>
              <w:spacing w:before="5"/>
              <w:ind w:left="528"/>
              <w:rPr>
                <w:sz w:val="21"/>
              </w:rPr>
            </w:pPr>
            <w:r>
              <w:rPr>
                <w:sz w:val="21"/>
              </w:rPr>
              <w:t>（三）对已发行的公司债券或者其他债务有违约或者迟延支付本息的事实，仍处于继续状态；</w:t>
            </w:r>
          </w:p>
          <w:p>
            <w:pPr>
              <w:pStyle w:val="9"/>
              <w:spacing w:before="2"/>
              <w:ind w:left="528"/>
              <w:rPr>
                <w:sz w:val="21"/>
              </w:rPr>
            </w:pPr>
            <w:r>
              <w:rPr>
                <w:sz w:val="21"/>
              </w:rPr>
              <w:t>（四）严重损害投资者合法权益和社会公共利益的其他情形。</w:t>
            </w:r>
          </w:p>
          <w:p>
            <w:pPr>
              <w:pStyle w:val="9"/>
              <w:spacing w:before="4"/>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2" w:line="242" w:lineRule="auto"/>
              <w:ind w:right="98" w:firstLine="420"/>
              <w:rPr>
                <w:sz w:val="21"/>
              </w:rPr>
            </w:pPr>
            <w:r>
              <w:rPr>
                <w:w w:val="95"/>
                <w:sz w:val="21"/>
              </w:rPr>
              <w:t>（十五</w:t>
            </w:r>
            <w:r>
              <w:rPr>
                <w:spacing w:val="-8"/>
                <w:w w:val="95"/>
                <w:sz w:val="21"/>
              </w:rPr>
              <w:t>）</w:t>
            </w:r>
            <w:r>
              <w:rPr>
                <w:spacing w:val="-2"/>
                <w:w w:val="95"/>
                <w:sz w:val="21"/>
              </w:rPr>
              <w:t>建立健全守信激励和失信惩戒机制。将市场主体的信用信息作为实施行政管理的重要参考。根</w:t>
            </w:r>
            <w:r>
              <w:rPr>
                <w:spacing w:val="-5"/>
                <w:w w:val="95"/>
                <w:sz w:val="21"/>
              </w:rPr>
              <w:t>据市场主体信用状况实行分类分级、动态监管，建立健全经营异常名录制度，对违背市场竞争原则和侵犯消</w:t>
            </w:r>
            <w:r>
              <w:rPr>
                <w:spacing w:val="-10"/>
                <w:sz w:val="21"/>
              </w:rPr>
              <w:t>费者、劳动者合法权益的市场主体建立“黑名单”制度。</w:t>
            </w:r>
            <w:r>
              <w:rPr>
                <w:sz w:val="21"/>
              </w:rPr>
              <w:t>（国家市场监督管理总局牵头负责）对守信主体予</w:t>
            </w:r>
            <w:r>
              <w:rPr>
                <w:spacing w:val="-3"/>
                <w:w w:val="95"/>
                <w:sz w:val="21"/>
              </w:rPr>
              <w:t>以支持和激励，对失信主体在经营、投融资、取得政府供应土地、进出口、出入境、注册新公司、工程招投标、政府采购、获得荣誉、安全许可、生产许可、从业任职资格、资质审核等方面依法予以限制或禁止，对</w:t>
            </w:r>
            <w:r>
              <w:rPr>
                <w:sz w:val="21"/>
              </w:rPr>
              <w:t>严重违法失信主体实行市场禁入制度。（各相关市场监管部门按职责分工分别负责）</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84" w:type="dxa"/>
            <w:tcBorders>
              <w:bottom w:val="nil"/>
            </w:tcBorders>
          </w:tcPr>
          <w:p>
            <w:pPr>
              <w:pStyle w:val="9"/>
              <w:spacing w:line="244" w:lineRule="auto"/>
              <w:ind w:left="107" w:right="97"/>
              <w:rPr>
                <w:sz w:val="21"/>
              </w:rPr>
            </w:pPr>
            <w:r>
              <w:rPr>
                <w:rFonts w:ascii="Times New Roman" w:eastAsia="Times New Roman"/>
                <w:sz w:val="21"/>
              </w:rPr>
              <w:t>25.</w:t>
            </w:r>
            <w:r>
              <w:rPr>
                <w:sz w:val="21"/>
              </w:rPr>
              <w:t>在政府出资产业投资</w:t>
            </w:r>
          </w:p>
        </w:tc>
        <w:tc>
          <w:tcPr>
            <w:tcW w:w="10064" w:type="dxa"/>
            <w:vMerge w:val="restart"/>
          </w:tcPr>
          <w:p>
            <w:pPr>
              <w:pStyle w:val="9"/>
              <w:rPr>
                <w:b/>
                <w:sz w:val="21"/>
              </w:rPr>
            </w:pPr>
            <w:r>
              <w:rPr>
                <w:b/>
                <w:sz w:val="21"/>
              </w:rPr>
              <w:t>《政府出资产业投资基金管理暂行办法》（发改财金规〔</w:t>
            </w:r>
            <w:r>
              <w:rPr>
                <w:rFonts w:ascii="Times New Roman" w:eastAsia="Times New Roman"/>
                <w:b/>
                <w:sz w:val="21"/>
              </w:rPr>
              <w:t>2016</w:t>
            </w:r>
            <w:r>
              <w:rPr>
                <w:b/>
                <w:sz w:val="21"/>
              </w:rPr>
              <w:t>〕</w:t>
            </w:r>
            <w:r>
              <w:rPr>
                <w:rFonts w:ascii="Times New Roman" w:eastAsia="Times New Roman"/>
                <w:b/>
                <w:sz w:val="21"/>
              </w:rPr>
              <w:t xml:space="preserve">2800 </w:t>
            </w:r>
            <w:r>
              <w:rPr>
                <w:b/>
                <w:sz w:val="21"/>
              </w:rPr>
              <w:t>号）</w:t>
            </w:r>
          </w:p>
          <w:p>
            <w:pPr>
              <w:pStyle w:val="9"/>
              <w:spacing w:before="4" w:line="242" w:lineRule="auto"/>
              <w:ind w:right="98" w:firstLine="420"/>
              <w:rPr>
                <w:sz w:val="21"/>
              </w:rPr>
            </w:pPr>
            <w:r>
              <w:rPr>
                <w:spacing w:val="-2"/>
                <w:sz w:val="21"/>
              </w:rPr>
              <w:t>第三十六条 对有不良信用记录的基金、基金管理人和从业人员，国家发展改革委通过“信用中国”网</w:t>
            </w:r>
            <w:r>
              <w:rPr>
                <w:spacing w:val="-5"/>
                <w:w w:val="95"/>
                <w:sz w:val="21"/>
              </w:rPr>
              <w:t>站统一向社会公布。地方发展改革部门可以根据各地实际情况，将区域内失信基金、基金管理人和从业人员</w:t>
            </w:r>
            <w:r>
              <w:rPr>
                <w:spacing w:val="-5"/>
                <w:sz w:val="21"/>
              </w:rPr>
              <w:t>名单以适当方式予以公告。</w:t>
            </w:r>
          </w:p>
          <w:p>
            <w:pPr>
              <w:pStyle w:val="9"/>
              <w:spacing w:before="1" w:line="242" w:lineRule="auto"/>
              <w:ind w:right="59" w:firstLine="314"/>
              <w:rPr>
                <w:sz w:val="21"/>
              </w:rPr>
            </w:pPr>
            <w:r>
              <w:rPr>
                <w:sz w:val="21"/>
              </w:rPr>
              <w:t>发展改革部门会同有关部门依据所适用的法律法规及多部门签署的联合惩戒备忘录等对列入失信联合惩</w:t>
            </w:r>
            <w:r>
              <w:rPr>
                <w:w w:val="95"/>
                <w:sz w:val="21"/>
              </w:rPr>
              <w:t>戒名单的基金、基金管理人和从业人员开展联合惩戒，惩戒措施包括但不限于市场禁入、限制作为供应商参</w:t>
            </w:r>
            <w:r>
              <w:rPr>
                <w:sz w:val="21"/>
              </w:rPr>
              <w:t>加政府采购活动、限制财政补助补贴性资金支持、从严审核发行企业债券等。</w:t>
            </w:r>
          </w:p>
        </w:tc>
        <w:tc>
          <w:tcPr>
            <w:tcW w:w="2500" w:type="dxa"/>
            <w:tcBorders>
              <w:bottom w:val="nil"/>
            </w:tcBorders>
          </w:tcPr>
          <w:p>
            <w:pPr>
              <w:pStyle w:val="9"/>
              <w:spacing w:before="21"/>
              <w:ind w:left="79" w:right="71"/>
              <w:jc w:val="center"/>
              <w:rPr>
                <w:sz w:val="21"/>
              </w:rPr>
            </w:pPr>
            <w:r>
              <w:rPr>
                <w:sz w:val="21"/>
              </w:rPr>
              <w:t>财政部、</w:t>
            </w:r>
          </w:p>
          <w:p>
            <w:pPr>
              <w:pStyle w:val="9"/>
              <w:spacing w:before="43" w:line="216" w:lineRule="exact"/>
              <w:ind w:left="79" w:right="71"/>
              <w:jc w:val="center"/>
              <w:rPr>
                <w:sz w:val="21"/>
              </w:rPr>
            </w:pPr>
            <w:r>
              <w:rPr>
                <w:sz w:val="21"/>
              </w:rPr>
              <w:t>国家发展改革委、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384" w:type="dxa"/>
            <w:tcBorders>
              <w:top w:val="nil"/>
              <w:bottom w:val="nil"/>
            </w:tcBorders>
          </w:tcPr>
          <w:p>
            <w:pPr>
              <w:pStyle w:val="9"/>
              <w:spacing w:line="212" w:lineRule="exact"/>
              <w:ind w:left="41" w:right="33"/>
              <w:jc w:val="center"/>
              <w:rPr>
                <w:sz w:val="21"/>
              </w:rPr>
            </w:pPr>
            <w:r>
              <w:rPr>
                <w:sz w:val="21"/>
              </w:rPr>
              <w:t>基金申报中</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26" w:hRule="atLeast"/>
        </w:trPr>
        <w:tc>
          <w:tcPr>
            <w:tcW w:w="1384" w:type="dxa"/>
            <w:tcBorders>
              <w:top w:val="nil"/>
            </w:tcBorders>
          </w:tcPr>
          <w:p>
            <w:pPr>
              <w:pStyle w:val="9"/>
              <w:spacing w:line="266" w:lineRule="exact"/>
              <w:ind w:left="31" w:right="138"/>
              <w:jc w:val="center"/>
              <w:rPr>
                <w:sz w:val="21"/>
              </w:rPr>
            </w:pPr>
            <w:r>
              <w:rPr>
                <w:sz w:val="21"/>
              </w:rPr>
              <w:t>不予支持。</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1384" w:type="dxa"/>
            <w:tcBorders>
              <w:bottom w:val="nil"/>
            </w:tcBorders>
          </w:tcPr>
          <w:p>
            <w:pPr>
              <w:pStyle w:val="9"/>
              <w:spacing w:before="2" w:line="242" w:lineRule="auto"/>
              <w:ind w:left="107" w:right="97"/>
              <w:rPr>
                <w:sz w:val="21"/>
              </w:rPr>
            </w:pPr>
            <w:r>
              <w:rPr>
                <w:rFonts w:ascii="Times New Roman" w:eastAsia="Times New Roman"/>
                <w:sz w:val="21"/>
              </w:rPr>
              <w:t>26.</w:t>
            </w:r>
            <w:r>
              <w:rPr>
                <w:sz w:val="21"/>
              </w:rPr>
              <w:t>在国家重大建设项目</w:t>
            </w:r>
          </w:p>
        </w:tc>
        <w:tc>
          <w:tcPr>
            <w:tcW w:w="10064" w:type="dxa"/>
            <w:vMerge w:val="restart"/>
          </w:tcPr>
          <w:p>
            <w:pPr>
              <w:pStyle w:val="9"/>
              <w:spacing w:before="2"/>
              <w:ind w:right="-15"/>
              <w:rPr>
                <w:b/>
                <w:sz w:val="21"/>
              </w:rPr>
            </w:pPr>
            <w:r>
              <w:rPr>
                <w:b/>
                <w:w w:val="95"/>
                <w:sz w:val="21"/>
              </w:rPr>
              <w:t>《国务院关于建立完善守信联合激励和失信联合惩戒制度加快推进社会诚信建设的指导意见</w:t>
            </w:r>
            <w:r>
              <w:rPr>
                <w:b/>
                <w:spacing w:val="-133"/>
                <w:w w:val="95"/>
                <w:sz w:val="21"/>
              </w:rPr>
              <w:t>》</w:t>
            </w:r>
            <w:r>
              <w:rPr>
                <w:b/>
                <w:w w:val="95"/>
                <w:sz w:val="21"/>
              </w:rPr>
              <w:t>（</w:t>
            </w:r>
            <w:r>
              <w:rPr>
                <w:b/>
                <w:spacing w:val="-10"/>
                <w:w w:val="95"/>
                <w:sz w:val="21"/>
              </w:rPr>
              <w:t>国发〔</w:t>
            </w:r>
            <w:r>
              <w:rPr>
                <w:rFonts w:ascii="Times New Roman" w:eastAsia="Times New Roman"/>
                <w:b/>
                <w:w w:val="95"/>
                <w:sz w:val="21"/>
              </w:rPr>
              <w:t>2016</w:t>
            </w:r>
            <w:r>
              <w:rPr>
                <w:b/>
                <w:w w:val="95"/>
                <w:sz w:val="21"/>
              </w:rPr>
              <w:t>〕</w:t>
            </w:r>
          </w:p>
          <w:p>
            <w:pPr>
              <w:pStyle w:val="9"/>
              <w:spacing w:before="2"/>
              <w:rPr>
                <w:b/>
                <w:sz w:val="21"/>
              </w:rPr>
            </w:pPr>
            <w:r>
              <w:rPr>
                <w:rFonts w:ascii="Times New Roman" w:eastAsia="Times New Roman"/>
                <w:b/>
                <w:sz w:val="21"/>
              </w:rPr>
              <w:t xml:space="preserve">33 </w:t>
            </w:r>
            <w:r>
              <w:rPr>
                <w:b/>
                <w:sz w:val="21"/>
              </w:rPr>
              <w:t>号）</w:t>
            </w:r>
          </w:p>
          <w:p>
            <w:pPr>
              <w:pStyle w:val="9"/>
              <w:spacing w:before="2" w:line="242" w:lineRule="auto"/>
              <w:ind w:right="-15" w:firstLine="314"/>
              <w:rPr>
                <w:sz w:val="21"/>
              </w:rPr>
            </w:pPr>
            <w:r>
              <w:rPr>
                <w:sz w:val="21"/>
              </w:rPr>
              <w:t>（十）依法依规加强对失信行为的行政性约束和惩戒。对严重失信主体，各地区、各有关部门应将其列</w:t>
            </w:r>
            <w:r>
              <w:rPr>
                <w:spacing w:val="-3"/>
                <w:sz w:val="21"/>
              </w:rPr>
              <w:t>为重点监管对象，依法依规采取行政性约束和惩戒措施。从严审核行政许可审批项目，从严控制生产许可证</w:t>
            </w:r>
            <w:r>
              <w:rPr>
                <w:spacing w:val="-12"/>
                <w:w w:val="95"/>
                <w:sz w:val="21"/>
              </w:rPr>
              <w:t>发放，限制新增项目审批、核准，限制股票发行上市融资或发行债券，限制在全国股份转让系统挂牌、融资，</w:t>
            </w:r>
            <w:r>
              <w:rPr>
                <w:spacing w:val="-12"/>
                <w:sz w:val="21"/>
              </w:rPr>
              <w:t>限制发起设立或参股金融机构以及小额贷款公司、融资担保公司、创业投资公司、互联网融资平台等机构，限制从事互联网信息服务等。严格限制申请财政性资金项目，限制参与有关公共资源交易活动，限制参与基</w:t>
            </w:r>
            <w:r>
              <w:rPr>
                <w:spacing w:val="-13"/>
                <w:sz w:val="21"/>
              </w:rPr>
              <w:t>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tc>
        <w:tc>
          <w:tcPr>
            <w:tcW w:w="2500" w:type="dxa"/>
            <w:tcBorders>
              <w:bottom w:val="nil"/>
            </w:tcBorders>
          </w:tcPr>
          <w:p>
            <w:pPr>
              <w:pStyle w:val="9"/>
              <w:spacing w:before="21"/>
              <w:ind w:left="76" w:right="71"/>
              <w:jc w:val="center"/>
              <w:rPr>
                <w:sz w:val="21"/>
              </w:rPr>
            </w:pPr>
            <w:r>
              <w:rPr>
                <w:sz w:val="21"/>
              </w:rPr>
              <w:t>国家发展改革委等有关</w:t>
            </w:r>
          </w:p>
          <w:p>
            <w:pPr>
              <w:pStyle w:val="9"/>
              <w:spacing w:before="43" w:line="215" w:lineRule="exact"/>
              <w:ind w:left="76" w:right="71"/>
              <w:jc w:val="center"/>
              <w:rPr>
                <w:sz w:val="21"/>
              </w:rPr>
            </w:pPr>
            <w:r>
              <w:rPr>
                <w:sz w:val="21"/>
              </w:rPr>
              <w:t>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2" w:hRule="atLeast"/>
        </w:trPr>
        <w:tc>
          <w:tcPr>
            <w:tcW w:w="1384" w:type="dxa"/>
            <w:tcBorders>
              <w:top w:val="nil"/>
              <w:bottom w:val="nil"/>
            </w:tcBorders>
          </w:tcPr>
          <w:p>
            <w:pPr>
              <w:pStyle w:val="9"/>
              <w:spacing w:line="212" w:lineRule="exact"/>
              <w:ind w:left="41" w:right="33"/>
              <w:jc w:val="center"/>
              <w:rPr>
                <w:sz w:val="21"/>
              </w:rPr>
            </w:pPr>
            <w:r>
              <w:rPr>
                <w:sz w:val="21"/>
              </w:rPr>
              <w:t>稽察、中央财</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政性建设资</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金投资安排</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实施情况的</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监督检查、价</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格执法检查</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2" w:hRule="atLeast"/>
        </w:trPr>
        <w:tc>
          <w:tcPr>
            <w:tcW w:w="1384" w:type="dxa"/>
            <w:tcBorders>
              <w:top w:val="nil"/>
              <w:bottom w:val="nil"/>
            </w:tcBorders>
          </w:tcPr>
          <w:p>
            <w:pPr>
              <w:pStyle w:val="9"/>
              <w:spacing w:line="242" w:lineRule="exact"/>
              <w:ind w:left="41" w:right="33"/>
              <w:jc w:val="center"/>
              <w:rPr>
                <w:sz w:val="21"/>
              </w:rPr>
            </w:pPr>
            <w:r>
              <w:rPr>
                <w:sz w:val="21"/>
              </w:rPr>
              <w:t>等监管活动</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5" w:hRule="atLeast"/>
        </w:trPr>
        <w:tc>
          <w:tcPr>
            <w:tcW w:w="1384" w:type="dxa"/>
            <w:tcBorders>
              <w:top w:val="nil"/>
            </w:tcBorders>
          </w:tcPr>
          <w:p>
            <w:pPr>
              <w:pStyle w:val="9"/>
              <w:spacing w:line="246" w:lineRule="exact"/>
              <w:ind w:left="41" w:right="33"/>
              <w:jc w:val="center"/>
              <w:rPr>
                <w:sz w:val="21"/>
              </w:rPr>
            </w:pPr>
            <w:r>
              <w:rPr>
                <w:sz w:val="21"/>
              </w:rPr>
              <w:t>中，将失信当</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18"/>
              </w:rPr>
            </w:pPr>
          </w:p>
        </w:tc>
      </w:tr>
    </w:tbl>
    <w:p>
      <w:pPr>
        <w:spacing w:after="0"/>
        <w:rPr>
          <w:rFonts w:ascii="Times New Roman"/>
          <w:sz w:val="18"/>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5" w:hRule="atLeast"/>
        </w:trPr>
        <w:tc>
          <w:tcPr>
            <w:tcW w:w="1384" w:type="dxa"/>
          </w:tcPr>
          <w:p>
            <w:pPr>
              <w:pStyle w:val="9"/>
              <w:spacing w:before="2" w:line="242" w:lineRule="auto"/>
              <w:ind w:left="107" w:right="97"/>
              <w:jc w:val="both"/>
              <w:rPr>
                <w:sz w:val="21"/>
              </w:rPr>
            </w:pPr>
            <w:r>
              <w:rPr>
                <w:spacing w:val="20"/>
                <w:sz w:val="21"/>
              </w:rPr>
              <w:t>事人列为重点监督检查</w:t>
            </w:r>
            <w:r>
              <w:rPr>
                <w:spacing w:val="-19"/>
                <w:sz w:val="21"/>
              </w:rPr>
              <w:t>对象，提高随</w:t>
            </w:r>
            <w:r>
              <w:rPr>
                <w:spacing w:val="20"/>
                <w:sz w:val="21"/>
              </w:rPr>
              <w:t>机抽查的比</w:t>
            </w:r>
            <w:r>
              <w:rPr>
                <w:sz w:val="21"/>
              </w:rPr>
              <w:t>例和频次。</w:t>
            </w:r>
          </w:p>
        </w:tc>
        <w:tc>
          <w:tcPr>
            <w:tcW w:w="10064" w:type="dxa"/>
          </w:tcPr>
          <w:p>
            <w:pPr>
              <w:pStyle w:val="9"/>
              <w:spacing w:before="2"/>
              <w:rPr>
                <w:b/>
                <w:sz w:val="21"/>
              </w:rPr>
            </w:pPr>
            <w:r>
              <w:rPr>
                <w:b/>
                <w:sz w:val="21"/>
              </w:rPr>
              <w:t>《中央预算内投资计划实施综合监管暂行办法》（发改稽察〔</w:t>
            </w:r>
            <w:r>
              <w:rPr>
                <w:rFonts w:ascii="Times New Roman" w:eastAsia="Times New Roman"/>
                <w:b/>
                <w:sz w:val="21"/>
              </w:rPr>
              <w:t>2017</w:t>
            </w:r>
            <w:r>
              <w:rPr>
                <w:b/>
                <w:sz w:val="21"/>
              </w:rPr>
              <w:t>〕</w:t>
            </w:r>
            <w:r>
              <w:rPr>
                <w:rFonts w:ascii="Times New Roman" w:eastAsia="Times New Roman"/>
                <w:b/>
                <w:sz w:val="21"/>
              </w:rPr>
              <w:t xml:space="preserve">1955 </w:t>
            </w:r>
            <w:r>
              <w:rPr>
                <w:b/>
                <w:sz w:val="21"/>
              </w:rPr>
              <w:t>号）</w:t>
            </w:r>
          </w:p>
          <w:p>
            <w:pPr>
              <w:pStyle w:val="9"/>
              <w:spacing w:before="2" w:line="242" w:lineRule="auto"/>
              <w:ind w:right="98" w:firstLine="420"/>
              <w:rPr>
                <w:sz w:val="21"/>
              </w:rPr>
            </w:pPr>
            <w:r>
              <w:rPr>
                <w:spacing w:val="-2"/>
                <w:sz w:val="21"/>
              </w:rPr>
              <w:t>第二十六条 稽察办会同各相关司局根据在线监测和现场稽察检查结果，不定期对各专项的投资计划实</w:t>
            </w:r>
            <w:r>
              <w:rPr>
                <w:spacing w:val="-5"/>
                <w:w w:val="95"/>
                <w:sz w:val="21"/>
              </w:rPr>
              <w:t>施情况进行评价，征求有关司局意见后，将评价结果报委主要领导和分管领导。投资司会同有关司局根据评</w:t>
            </w:r>
            <w:r>
              <w:rPr>
                <w:spacing w:val="-5"/>
                <w:sz w:val="21"/>
              </w:rPr>
              <w:t>价结果，结合专项调整依据和原则，研究提出专项调整建议。</w:t>
            </w:r>
          </w:p>
          <w:p>
            <w:pPr>
              <w:pStyle w:val="9"/>
              <w:spacing w:before="1" w:line="242" w:lineRule="auto"/>
              <w:ind w:right="98" w:firstLine="420"/>
              <w:rPr>
                <w:sz w:val="21"/>
              </w:rPr>
            </w:pPr>
            <w:r>
              <w:rPr>
                <w:spacing w:val="-2"/>
                <w:sz w:val="21"/>
              </w:rPr>
              <w:t>第二十八条 对日常监管和稽察检查中发现的具体问题，稽察办和各相关司局按照《中央预算内直接投</w:t>
            </w:r>
            <w:r>
              <w:rPr>
                <w:spacing w:val="-5"/>
                <w:w w:val="95"/>
                <w:sz w:val="21"/>
              </w:rPr>
              <w:t>资项目管理办法》和《中央预算内投资补助和贴息项目管理办法》等有关规定进行处理，督促整改落实，并</w:t>
            </w:r>
            <w:r>
              <w:rPr>
                <w:spacing w:val="-5"/>
                <w:sz w:val="21"/>
              </w:rPr>
              <w:t>视情节轻重采取通报批评或扣减、收回、暂停安排中央预算内投资等措施予以警示和惩戒。</w:t>
            </w:r>
          </w:p>
          <w:p>
            <w:pPr>
              <w:pStyle w:val="9"/>
              <w:spacing w:before="3" w:line="242" w:lineRule="auto"/>
              <w:ind w:right="-15" w:firstLine="420"/>
              <w:rPr>
                <w:sz w:val="21"/>
              </w:rPr>
            </w:pPr>
            <w:r>
              <w:rPr>
                <w:spacing w:val="-6"/>
                <w:sz w:val="21"/>
              </w:rPr>
              <w:t>第三十一条 对中央预算内投资计划下达后超过一年未开工的项目，应进行项目调整。对存在虚假申报、骗取或转移、侵占、挪用中央预算内投资等严重问题的项目，应视情况撤销项目，将中央预算内投资收回用</w:t>
            </w:r>
            <w:r>
              <w:rPr>
                <w:spacing w:val="-7"/>
                <w:sz w:val="21"/>
              </w:rPr>
              <w:t>于其他项目，并在一定时期内不再受理有关项目单位的资金申请报告。凡涉及项目调整的，应在异地选择符</w:t>
            </w:r>
            <w:r>
              <w:rPr>
                <w:sz w:val="21"/>
              </w:rPr>
              <w:t>合条件的项目重新安排。</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9" w:hRule="atLeast"/>
        </w:trPr>
        <w:tc>
          <w:tcPr>
            <w:tcW w:w="1384" w:type="dxa"/>
          </w:tcPr>
          <w:p>
            <w:pPr>
              <w:pStyle w:val="9"/>
              <w:spacing w:line="242" w:lineRule="auto"/>
              <w:ind w:left="107" w:right="6"/>
              <w:rPr>
                <w:sz w:val="21"/>
              </w:rPr>
            </w:pPr>
            <w:r>
              <w:rPr>
                <w:rFonts w:ascii="Times New Roman" w:eastAsia="Times New Roman"/>
                <w:sz w:val="21"/>
              </w:rPr>
              <w:t>27.</w:t>
            </w:r>
            <w:r>
              <w:rPr>
                <w:sz w:val="21"/>
              </w:rPr>
              <w:t>对存在失信记录的相关主体在证券、基金、期货从业资格申请中予以从严审核，对已成为证券、基金、期货从业人员的相关主体予以重点关注。</w:t>
            </w:r>
          </w:p>
        </w:tc>
        <w:tc>
          <w:tcPr>
            <w:tcW w:w="10064" w:type="dxa"/>
          </w:tcPr>
          <w:p>
            <w:pPr>
              <w:pStyle w:val="9"/>
              <w:rPr>
                <w:b/>
                <w:sz w:val="21"/>
              </w:rPr>
            </w:pPr>
            <w:r>
              <w:rPr>
                <w:b/>
                <w:sz w:val="21"/>
              </w:rPr>
              <w:t xml:space="preserve">《证券业从业人员资格管理办法》（证监会令第 </w:t>
            </w:r>
            <w:r>
              <w:rPr>
                <w:rFonts w:ascii="Times New Roman" w:eastAsia="Times New Roman"/>
                <w:b/>
                <w:sz w:val="21"/>
              </w:rPr>
              <w:t xml:space="preserve">14 </w:t>
            </w:r>
            <w:r>
              <w:rPr>
                <w:b/>
                <w:sz w:val="21"/>
              </w:rPr>
              <w:t>号）</w:t>
            </w:r>
          </w:p>
          <w:p>
            <w:pPr>
              <w:pStyle w:val="9"/>
              <w:spacing w:before="3"/>
              <w:ind w:left="518"/>
              <w:rPr>
                <w:sz w:val="21"/>
              </w:rPr>
            </w:pPr>
            <w:r>
              <w:rPr>
                <w:sz w:val="21"/>
              </w:rPr>
              <w:t>第十条 取得从业资格的人员，符合下列条件的，可以通过机构申请执业证书：</w:t>
            </w:r>
          </w:p>
          <w:p>
            <w:pPr>
              <w:pStyle w:val="9"/>
              <w:spacing w:before="2"/>
              <w:ind w:left="518"/>
              <w:rPr>
                <w:sz w:val="21"/>
              </w:rPr>
            </w:pPr>
            <w:r>
              <w:rPr>
                <w:sz w:val="21"/>
              </w:rPr>
              <w:t>（五）品行端正，具有良好的职业道德。</w:t>
            </w:r>
          </w:p>
          <w:p>
            <w:pPr>
              <w:pStyle w:val="9"/>
              <w:spacing w:before="4"/>
              <w:rPr>
                <w:b/>
                <w:sz w:val="21"/>
              </w:rPr>
            </w:pPr>
            <w:r>
              <w:rPr>
                <w:b/>
                <w:sz w:val="21"/>
              </w:rPr>
              <w:t xml:space="preserve">《期货从业人员管理办法》（证监会令第 </w:t>
            </w:r>
            <w:r>
              <w:rPr>
                <w:rFonts w:ascii="Times New Roman" w:eastAsia="Times New Roman"/>
                <w:b/>
                <w:sz w:val="21"/>
              </w:rPr>
              <w:t xml:space="preserve">48 </w:t>
            </w:r>
            <w:r>
              <w:rPr>
                <w:b/>
                <w:sz w:val="21"/>
              </w:rPr>
              <w:t>号）</w:t>
            </w:r>
          </w:p>
          <w:p>
            <w:pPr>
              <w:pStyle w:val="9"/>
              <w:spacing w:before="2" w:line="244" w:lineRule="auto"/>
              <w:ind w:right="187" w:firstLine="410"/>
              <w:rPr>
                <w:sz w:val="21"/>
              </w:rPr>
            </w:pPr>
            <w:r>
              <w:rPr>
                <w:sz w:val="21"/>
              </w:rPr>
              <w:t>第十条 机构任用具有从业资格考试合格证明且符合下列条件的人员从事期货业务的，应当为其办理从业资格申请：</w:t>
            </w:r>
          </w:p>
          <w:p>
            <w:pPr>
              <w:pStyle w:val="9"/>
              <w:spacing w:line="267" w:lineRule="exact"/>
              <w:ind w:left="518"/>
              <w:rPr>
                <w:sz w:val="21"/>
              </w:rPr>
            </w:pPr>
            <w:r>
              <w:rPr>
                <w:sz w:val="21"/>
              </w:rPr>
              <w:t>（一）品行端正，具有良好的职业道德。</w:t>
            </w:r>
          </w:p>
          <w:p>
            <w:pPr>
              <w:pStyle w:val="9"/>
              <w:spacing w:before="3"/>
              <w:rPr>
                <w:b/>
                <w:sz w:val="21"/>
              </w:rPr>
            </w:pPr>
            <w:r>
              <w:rPr>
                <w:b/>
                <w:sz w:val="21"/>
              </w:rPr>
              <w:t xml:space="preserve">《私募投资基金监督管理暂行办法》（证监会令第 </w:t>
            </w:r>
            <w:r>
              <w:rPr>
                <w:rFonts w:ascii="Times New Roman" w:eastAsia="Times New Roman"/>
                <w:b/>
                <w:sz w:val="21"/>
              </w:rPr>
              <w:t xml:space="preserve">105 </w:t>
            </w:r>
            <w:r>
              <w:rPr>
                <w:b/>
                <w:sz w:val="21"/>
              </w:rPr>
              <w:t>号）</w:t>
            </w:r>
          </w:p>
          <w:p>
            <w:pPr>
              <w:pStyle w:val="9"/>
              <w:spacing w:before="2" w:line="242" w:lineRule="auto"/>
              <w:ind w:right="74" w:firstLine="410"/>
              <w:rPr>
                <w:sz w:val="21"/>
              </w:rPr>
            </w:pPr>
            <w:r>
              <w:rPr>
                <w:spacing w:val="-3"/>
                <w:sz w:val="21"/>
              </w:rPr>
              <w:t>第四条 私募基金管理人和从事私募基金托管业务的机构</w:t>
            </w:r>
            <w:r>
              <w:rPr>
                <w:sz w:val="21"/>
              </w:rPr>
              <w:t>（以下简称私募基金托管人）管理、运用私募</w:t>
            </w:r>
            <w:r>
              <w:rPr>
                <w:spacing w:val="-3"/>
                <w:sz w:val="21"/>
              </w:rPr>
              <w:t>基金财产，从事私募基金销售业务的机构</w:t>
            </w:r>
            <w:r>
              <w:rPr>
                <w:sz w:val="21"/>
              </w:rPr>
              <w:t>（以下简称私募基金销售机构</w:t>
            </w:r>
            <w:r>
              <w:rPr>
                <w:spacing w:val="-8"/>
                <w:sz w:val="21"/>
              </w:rPr>
              <w:t>）</w:t>
            </w:r>
            <w:r>
              <w:rPr>
                <w:sz w:val="21"/>
              </w:rPr>
              <w:t>及其他私募服务机构从事私募基金</w:t>
            </w:r>
            <w:r>
              <w:rPr>
                <w:w w:val="95"/>
                <w:sz w:val="21"/>
              </w:rPr>
              <w:t>服务活动，应当恪尽职守，履行诚实信用、谨慎勤勉的义务。私募基金从业人员应当遵守法律、行政法规，</w:t>
            </w:r>
            <w:r>
              <w:rPr>
                <w:sz w:val="21"/>
              </w:rPr>
              <w:t>恪守职业道德和行为规范。</w:t>
            </w:r>
          </w:p>
        </w:tc>
        <w:tc>
          <w:tcPr>
            <w:tcW w:w="2500" w:type="dxa"/>
          </w:tcPr>
          <w:p>
            <w:pPr>
              <w:pStyle w:val="9"/>
              <w:spacing w:before="20"/>
              <w:ind w:left="935"/>
              <w:rPr>
                <w:sz w:val="21"/>
              </w:rPr>
            </w:pPr>
            <w:r>
              <w:rPr>
                <w:sz w:val="21"/>
              </w:rPr>
              <w:t>证监会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trPr>
        <w:tc>
          <w:tcPr>
            <w:tcW w:w="1384" w:type="dxa"/>
          </w:tcPr>
          <w:p>
            <w:pPr>
              <w:pStyle w:val="9"/>
              <w:spacing w:line="242" w:lineRule="auto"/>
              <w:ind w:left="107" w:right="97"/>
              <w:jc w:val="both"/>
              <w:rPr>
                <w:sz w:val="21"/>
              </w:rPr>
            </w:pPr>
            <w:r>
              <w:rPr>
                <w:rFonts w:ascii="Times New Roman" w:eastAsia="Times New Roman"/>
                <w:spacing w:val="5"/>
                <w:sz w:val="21"/>
              </w:rPr>
              <w:t>28.</w:t>
            </w:r>
            <w:r>
              <w:rPr>
                <w:spacing w:val="8"/>
                <w:sz w:val="21"/>
              </w:rPr>
              <w:t>将失信信</w:t>
            </w:r>
            <w:r>
              <w:rPr>
                <w:spacing w:val="20"/>
                <w:sz w:val="21"/>
              </w:rPr>
              <w:t>息作为境内上市公司实</w:t>
            </w:r>
            <w:r>
              <w:rPr>
                <w:spacing w:val="20"/>
                <w:w w:val="95"/>
                <w:sz w:val="21"/>
              </w:rPr>
              <w:t>行股权激励</w:t>
            </w:r>
          </w:p>
          <w:p>
            <w:pPr>
              <w:pStyle w:val="9"/>
              <w:spacing w:before="2" w:line="270" w:lineRule="atLeast"/>
              <w:ind w:left="107" w:right="97"/>
              <w:jc w:val="both"/>
              <w:rPr>
                <w:sz w:val="21"/>
              </w:rPr>
            </w:pPr>
            <w:r>
              <w:rPr>
                <w:spacing w:val="20"/>
                <w:sz w:val="21"/>
              </w:rPr>
              <w:t>计划或相关</w:t>
            </w:r>
            <w:r>
              <w:rPr>
                <w:spacing w:val="20"/>
                <w:w w:val="95"/>
                <w:sz w:val="21"/>
              </w:rPr>
              <w:t>人员成为股</w:t>
            </w:r>
          </w:p>
        </w:tc>
        <w:tc>
          <w:tcPr>
            <w:tcW w:w="10064" w:type="dxa"/>
          </w:tcPr>
          <w:p>
            <w:pPr>
              <w:pStyle w:val="9"/>
              <w:rPr>
                <w:b/>
                <w:sz w:val="21"/>
              </w:rPr>
            </w:pPr>
            <w:r>
              <w:rPr>
                <w:b/>
                <w:sz w:val="21"/>
              </w:rPr>
              <w:t xml:space="preserve">《上市公司股权激励管理办法》（证监会令第 </w:t>
            </w:r>
            <w:r>
              <w:rPr>
                <w:rFonts w:ascii="Times New Roman" w:eastAsia="Times New Roman"/>
                <w:b/>
                <w:sz w:val="21"/>
              </w:rPr>
              <w:t xml:space="preserve">126 </w:t>
            </w:r>
            <w:r>
              <w:rPr>
                <w:b/>
                <w:sz w:val="21"/>
              </w:rPr>
              <w:t>号）</w:t>
            </w:r>
          </w:p>
          <w:p>
            <w:pPr>
              <w:pStyle w:val="9"/>
              <w:spacing w:before="4"/>
              <w:ind w:left="518"/>
              <w:rPr>
                <w:sz w:val="21"/>
              </w:rPr>
            </w:pPr>
            <w:r>
              <w:rPr>
                <w:sz w:val="21"/>
              </w:rPr>
              <w:t>第七条 上市公司具有下列情形之一的，不得实行股权激励：</w:t>
            </w:r>
          </w:p>
          <w:p>
            <w:pPr>
              <w:pStyle w:val="9"/>
              <w:spacing w:before="3"/>
              <w:ind w:left="518"/>
              <w:rPr>
                <w:sz w:val="21"/>
              </w:rPr>
            </w:pPr>
            <w:r>
              <w:rPr>
                <w:sz w:val="21"/>
              </w:rPr>
              <w:t>（四）法律法规规定不得实行股权激励的；</w:t>
            </w:r>
          </w:p>
          <w:p>
            <w:pPr>
              <w:pStyle w:val="9"/>
              <w:spacing w:before="4"/>
              <w:ind w:left="518"/>
              <w:rPr>
                <w:sz w:val="21"/>
              </w:rPr>
            </w:pPr>
            <w:r>
              <w:rPr>
                <w:sz w:val="21"/>
              </w:rPr>
              <w:t>（五）中国证监会认定的其他情形。</w:t>
            </w:r>
          </w:p>
          <w:p>
            <w:pPr>
              <w:pStyle w:val="9"/>
              <w:spacing w:before="2"/>
              <w:ind w:left="518"/>
              <w:rPr>
                <w:sz w:val="21"/>
              </w:rPr>
            </w:pPr>
            <w:r>
              <w:rPr>
                <w:sz w:val="21"/>
              </w:rPr>
              <w:t>第八条 下列人员也不得成为激励对象：</w:t>
            </w:r>
          </w:p>
          <w:p>
            <w:pPr>
              <w:pStyle w:val="9"/>
              <w:spacing w:before="2" w:line="251" w:lineRule="exact"/>
              <w:ind w:left="518"/>
              <w:rPr>
                <w:sz w:val="21"/>
              </w:rPr>
            </w:pPr>
            <w:r>
              <w:rPr>
                <w:sz w:val="21"/>
              </w:rPr>
              <w:t xml:space="preserve">（一）最近 </w:t>
            </w:r>
            <w:r>
              <w:rPr>
                <w:rFonts w:ascii="Times New Roman" w:eastAsia="Times New Roman"/>
                <w:sz w:val="21"/>
              </w:rPr>
              <w:t xml:space="preserve">12 </w:t>
            </w:r>
            <w:r>
              <w:rPr>
                <w:sz w:val="21"/>
              </w:rPr>
              <w:t>个月内被证券交易所认定为不适当人选；</w:t>
            </w:r>
          </w:p>
        </w:tc>
        <w:tc>
          <w:tcPr>
            <w:tcW w:w="2500" w:type="dxa"/>
          </w:tcPr>
          <w:p>
            <w:pPr>
              <w:pStyle w:val="9"/>
              <w:spacing w:before="21"/>
              <w:ind w:left="935"/>
              <w:rPr>
                <w:sz w:val="21"/>
              </w:rPr>
            </w:pPr>
            <w:r>
              <w:rPr>
                <w:sz w:val="21"/>
              </w:rPr>
              <w:t>证监会</w:t>
            </w:r>
          </w:p>
        </w:tc>
      </w:tr>
    </w:tbl>
    <w:p>
      <w:pPr>
        <w:spacing w:after="0"/>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1" w:hRule="atLeast"/>
        </w:trPr>
        <w:tc>
          <w:tcPr>
            <w:tcW w:w="1384" w:type="dxa"/>
            <w:tcBorders>
              <w:bottom w:val="nil"/>
            </w:tcBorders>
          </w:tcPr>
          <w:p>
            <w:pPr>
              <w:pStyle w:val="9"/>
              <w:spacing w:before="1" w:line="270" w:lineRule="atLeast"/>
              <w:ind w:left="107" w:right="97"/>
              <w:jc w:val="both"/>
              <w:rPr>
                <w:sz w:val="21"/>
              </w:rPr>
            </w:pPr>
            <w:r>
              <w:rPr>
                <w:sz w:val="21"/>
              </w:rPr>
              <w:t>权激励对象事中事后监管的参考。</w:t>
            </w:r>
          </w:p>
        </w:tc>
        <w:tc>
          <w:tcPr>
            <w:tcW w:w="10064" w:type="dxa"/>
            <w:tcBorders>
              <w:bottom w:val="nil"/>
            </w:tcBorders>
          </w:tcPr>
          <w:p>
            <w:pPr>
              <w:pStyle w:val="9"/>
              <w:spacing w:before="2"/>
              <w:ind w:left="518"/>
              <w:rPr>
                <w:sz w:val="21"/>
              </w:rPr>
            </w:pPr>
            <w:r>
              <w:rPr>
                <w:sz w:val="21"/>
              </w:rPr>
              <w:t xml:space="preserve">（二）最近 </w:t>
            </w:r>
            <w:r>
              <w:rPr>
                <w:rFonts w:ascii="Times New Roman" w:eastAsia="Times New Roman"/>
                <w:sz w:val="21"/>
              </w:rPr>
              <w:t xml:space="preserve">12 </w:t>
            </w:r>
            <w:r>
              <w:rPr>
                <w:sz w:val="21"/>
              </w:rPr>
              <w:t>个月内被中国证监会及其派出机构认定为不适当人选；</w:t>
            </w:r>
          </w:p>
          <w:p>
            <w:pPr>
              <w:pStyle w:val="9"/>
              <w:spacing w:before="2"/>
              <w:ind w:left="518" w:right="-15"/>
              <w:rPr>
                <w:sz w:val="21"/>
              </w:rPr>
            </w:pPr>
            <w:r>
              <w:rPr>
                <w:sz w:val="21"/>
              </w:rPr>
              <w:t>（三</w:t>
            </w:r>
            <w:r>
              <w:rPr>
                <w:spacing w:val="-13"/>
                <w:sz w:val="21"/>
              </w:rPr>
              <w:t>）</w:t>
            </w:r>
            <w:r>
              <w:rPr>
                <w:spacing w:val="-20"/>
                <w:sz w:val="21"/>
              </w:rPr>
              <w:t xml:space="preserve">最近 </w:t>
            </w:r>
            <w:r>
              <w:rPr>
                <w:rFonts w:ascii="Times New Roman" w:eastAsia="Times New Roman"/>
                <w:sz w:val="21"/>
              </w:rPr>
              <w:t>12</w:t>
            </w:r>
            <w:r>
              <w:rPr>
                <w:rFonts w:ascii="Times New Roman" w:eastAsia="Times New Roman"/>
                <w:spacing w:val="-11"/>
                <w:sz w:val="21"/>
              </w:rPr>
              <w:t xml:space="preserve"> </w:t>
            </w:r>
            <w:r>
              <w:rPr>
                <w:sz w:val="21"/>
              </w:rPr>
              <w:t>个月内因重大违法违规行为被中国证监会及其派出机构行政处罚或者采取市场进入措施；</w:t>
            </w:r>
          </w:p>
          <w:p>
            <w:pPr>
              <w:pStyle w:val="9"/>
              <w:spacing w:before="2" w:line="247" w:lineRule="exact"/>
              <w:ind w:left="518"/>
              <w:rPr>
                <w:sz w:val="21"/>
              </w:rPr>
            </w:pPr>
            <w:r>
              <w:rPr>
                <w:sz w:val="21"/>
              </w:rPr>
              <w:t>（四）具有《公司法》规定的不得担任公司董事、高级管理人员情形的；</w:t>
            </w:r>
          </w:p>
        </w:tc>
        <w:tc>
          <w:tcPr>
            <w:tcW w:w="2500" w:type="dxa"/>
            <w:vMerge w:val="restart"/>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ind w:left="0"/>
              <w:rPr>
                <w:rFonts w:ascii="Times New Roman"/>
                <w:sz w:val="18"/>
              </w:rPr>
            </w:pPr>
          </w:p>
        </w:tc>
        <w:tc>
          <w:tcPr>
            <w:tcW w:w="10064" w:type="dxa"/>
            <w:tcBorders>
              <w:top w:val="nil"/>
              <w:bottom w:val="nil"/>
            </w:tcBorders>
          </w:tcPr>
          <w:p>
            <w:pPr>
              <w:pStyle w:val="9"/>
              <w:spacing w:line="242" w:lineRule="exact"/>
              <w:ind w:left="518"/>
              <w:rPr>
                <w:sz w:val="21"/>
              </w:rPr>
            </w:pPr>
            <w:r>
              <w:rPr>
                <w:sz w:val="21"/>
              </w:rPr>
              <w:t>（五）法律法规规定不得参与上市公司股权激励的；</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1384" w:type="dxa"/>
            <w:tcBorders>
              <w:top w:val="nil"/>
            </w:tcBorders>
          </w:tcPr>
          <w:p>
            <w:pPr>
              <w:pStyle w:val="9"/>
              <w:ind w:left="0"/>
              <w:rPr>
                <w:rFonts w:ascii="Times New Roman"/>
                <w:sz w:val="18"/>
              </w:rPr>
            </w:pPr>
          </w:p>
        </w:tc>
        <w:tc>
          <w:tcPr>
            <w:tcW w:w="10064" w:type="dxa"/>
            <w:tcBorders>
              <w:top w:val="nil"/>
            </w:tcBorders>
          </w:tcPr>
          <w:p>
            <w:pPr>
              <w:pStyle w:val="9"/>
              <w:spacing w:line="249" w:lineRule="exact"/>
              <w:ind w:left="518"/>
              <w:rPr>
                <w:sz w:val="21"/>
              </w:rPr>
            </w:pPr>
            <w:r>
              <w:rPr>
                <w:sz w:val="21"/>
              </w:rPr>
              <w:t>（六）中国证监会认定的其他情形。</w:t>
            </w: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trPr>
        <w:tc>
          <w:tcPr>
            <w:tcW w:w="1384" w:type="dxa"/>
            <w:tcBorders>
              <w:bottom w:val="nil"/>
            </w:tcBorders>
          </w:tcPr>
          <w:p>
            <w:pPr>
              <w:pStyle w:val="9"/>
              <w:spacing w:line="242" w:lineRule="auto"/>
              <w:ind w:left="107" w:right="6"/>
              <w:rPr>
                <w:sz w:val="21"/>
              </w:rPr>
            </w:pPr>
            <w:r>
              <w:rPr>
                <w:rFonts w:ascii="Times New Roman" w:eastAsia="Times New Roman"/>
                <w:sz w:val="21"/>
              </w:rPr>
              <w:t>29.</w:t>
            </w:r>
            <w:r>
              <w:rPr>
                <w:sz w:val="21"/>
              </w:rPr>
              <w:t>限制部分高消费行为。</w:t>
            </w:r>
          </w:p>
        </w:tc>
        <w:tc>
          <w:tcPr>
            <w:tcW w:w="10064" w:type="dxa"/>
            <w:vMerge w:val="restart"/>
          </w:tcPr>
          <w:p>
            <w:pPr>
              <w:pStyle w:val="9"/>
              <w:rPr>
                <w:b/>
                <w:sz w:val="21"/>
              </w:rPr>
            </w:pPr>
            <w:r>
              <w:rPr>
                <w:b/>
                <w:sz w:val="21"/>
              </w:rPr>
              <w:t>《最高人民法院关于限制被执行人高消费及有关消费的若干规定》</w:t>
            </w:r>
          </w:p>
          <w:p>
            <w:pPr>
              <w:pStyle w:val="9"/>
              <w:spacing w:before="2" w:line="244" w:lineRule="auto"/>
              <w:ind w:right="180" w:firstLine="420"/>
              <w:rPr>
                <w:sz w:val="21"/>
              </w:rPr>
            </w:pPr>
            <w:r>
              <w:rPr>
                <w:sz w:val="21"/>
              </w:rPr>
              <w:t>第三条 被执行人为自然人的，被采取限制消费措施后，不得有以下高消费及非生活和工作必需的消费行为：</w:t>
            </w:r>
          </w:p>
          <w:p>
            <w:pPr>
              <w:pStyle w:val="9"/>
              <w:spacing w:line="265" w:lineRule="exact"/>
              <w:ind w:left="528"/>
              <w:rPr>
                <w:sz w:val="21"/>
              </w:rPr>
            </w:pPr>
            <w:r>
              <w:rPr>
                <w:sz w:val="21"/>
              </w:rPr>
              <w:t>（一）乘坐交通工具时，选择飞机、列车软卧、轮船二等以上舱位；</w:t>
            </w:r>
          </w:p>
          <w:p>
            <w:pPr>
              <w:pStyle w:val="9"/>
              <w:spacing w:before="5"/>
              <w:ind w:left="528"/>
              <w:rPr>
                <w:sz w:val="21"/>
              </w:rPr>
            </w:pPr>
            <w:r>
              <w:rPr>
                <w:sz w:val="21"/>
              </w:rPr>
              <w:t>（二）在星级以上宾馆、酒店、夜总会、高尔夫球场等场所进行高消费；</w:t>
            </w:r>
          </w:p>
          <w:p>
            <w:pPr>
              <w:pStyle w:val="9"/>
              <w:spacing w:before="2"/>
              <w:ind w:left="528"/>
              <w:rPr>
                <w:sz w:val="21"/>
              </w:rPr>
            </w:pPr>
            <w:r>
              <w:rPr>
                <w:sz w:val="21"/>
              </w:rPr>
              <w:t>（三）购买不动产或者新建、扩建、高档装修房屋；</w:t>
            </w:r>
          </w:p>
          <w:p>
            <w:pPr>
              <w:pStyle w:val="9"/>
              <w:spacing w:before="4"/>
              <w:ind w:left="528"/>
              <w:rPr>
                <w:sz w:val="21"/>
              </w:rPr>
            </w:pPr>
            <w:r>
              <w:rPr>
                <w:sz w:val="21"/>
              </w:rPr>
              <w:t>（四）租赁高档写字楼、宾馆、公寓等场所办公；</w:t>
            </w:r>
          </w:p>
          <w:p>
            <w:pPr>
              <w:pStyle w:val="9"/>
              <w:spacing w:before="3"/>
              <w:ind w:left="528"/>
              <w:rPr>
                <w:sz w:val="21"/>
              </w:rPr>
            </w:pPr>
            <w:r>
              <w:rPr>
                <w:sz w:val="21"/>
              </w:rPr>
              <w:t>（五）购买非经营必需车辆；</w:t>
            </w:r>
          </w:p>
          <w:p>
            <w:pPr>
              <w:pStyle w:val="9"/>
              <w:spacing w:before="2"/>
              <w:ind w:left="528"/>
              <w:rPr>
                <w:sz w:val="21"/>
              </w:rPr>
            </w:pPr>
            <w:r>
              <w:rPr>
                <w:sz w:val="21"/>
              </w:rPr>
              <w:t>（六）旅游、度假；</w:t>
            </w:r>
          </w:p>
          <w:p>
            <w:pPr>
              <w:pStyle w:val="9"/>
              <w:spacing w:before="4"/>
              <w:ind w:left="528"/>
              <w:rPr>
                <w:sz w:val="21"/>
              </w:rPr>
            </w:pPr>
            <w:r>
              <w:rPr>
                <w:sz w:val="21"/>
              </w:rPr>
              <w:t>（七）子女就读高收费私立学校；</w:t>
            </w:r>
          </w:p>
          <w:p>
            <w:pPr>
              <w:pStyle w:val="9"/>
              <w:spacing w:before="2"/>
              <w:ind w:left="528"/>
              <w:rPr>
                <w:sz w:val="21"/>
              </w:rPr>
            </w:pPr>
            <w:r>
              <w:rPr>
                <w:sz w:val="21"/>
              </w:rPr>
              <w:t>（八）支付高额保费购买保险理财产品；</w:t>
            </w:r>
          </w:p>
          <w:p>
            <w:pPr>
              <w:pStyle w:val="9"/>
              <w:spacing w:before="5" w:line="244" w:lineRule="auto"/>
              <w:ind w:right="98" w:firstLine="420"/>
              <w:jc w:val="both"/>
              <w:rPr>
                <w:sz w:val="21"/>
              </w:rPr>
            </w:pPr>
            <w:r>
              <w:rPr>
                <w:sz w:val="21"/>
              </w:rPr>
              <w:t>（九</w:t>
            </w:r>
            <w:r>
              <w:rPr>
                <w:spacing w:val="-34"/>
                <w:sz w:val="21"/>
              </w:rPr>
              <w:t>）</w:t>
            </w:r>
            <w:r>
              <w:rPr>
                <w:spacing w:val="-21"/>
                <w:sz w:val="21"/>
              </w:rPr>
              <w:t xml:space="preserve">乘坐 </w:t>
            </w:r>
            <w:r>
              <w:rPr>
                <w:rFonts w:ascii="Times New Roman" w:eastAsia="Times New Roman"/>
                <w:sz w:val="21"/>
              </w:rPr>
              <w:t xml:space="preserve">G </w:t>
            </w:r>
            <w:r>
              <w:rPr>
                <w:spacing w:val="-3"/>
                <w:sz w:val="21"/>
              </w:rPr>
              <w:t>字头动车组列车全部座位、其他动车组列车一等以上座位等其他非生活和工作必需的消费行为。</w:t>
            </w:r>
          </w:p>
          <w:p>
            <w:pPr>
              <w:pStyle w:val="9"/>
              <w:spacing w:line="242" w:lineRule="auto"/>
              <w:ind w:right="98" w:firstLine="420"/>
              <w:jc w:val="both"/>
              <w:rPr>
                <w:sz w:val="21"/>
              </w:rPr>
            </w:pPr>
            <w:r>
              <w:rPr>
                <w:spacing w:val="-4"/>
                <w:w w:val="95"/>
                <w:sz w:val="21"/>
              </w:rPr>
              <w:t>被执行人为单位的，被采取限制消费措施后，被执行人及其法定代表人、主要负责人、影响债务履行的</w:t>
            </w:r>
            <w:r>
              <w:rPr>
                <w:spacing w:val="-6"/>
                <w:w w:val="95"/>
                <w:sz w:val="21"/>
              </w:rPr>
              <w:t>直接责任人员、实际控制人不得实施前款规定的行为。因私消费以个人财产实施前款规定行为的，可以向执</w:t>
            </w:r>
            <w:r>
              <w:rPr>
                <w:spacing w:val="-6"/>
                <w:sz w:val="21"/>
              </w:rPr>
              <w:t>行法院提出申请。执行法院审查属实的，应予准许。</w:t>
            </w:r>
          </w:p>
          <w:p>
            <w:pPr>
              <w:pStyle w:val="9"/>
              <w:spacing w:line="244" w:lineRule="auto"/>
              <w:ind w:right="180" w:firstLine="420"/>
              <w:jc w:val="both"/>
              <w:rPr>
                <w:sz w:val="21"/>
              </w:rPr>
            </w:pPr>
            <w:r>
              <w:rPr>
                <w:sz w:val="21"/>
              </w:rPr>
              <w:t>第六条 人民法院决定采取限制消费措施的，可以根据案件需要和被执行人的情况向有义务协助调查、执行的单位送达协助执行通知书，也可以在相关媒体上进行公告。</w:t>
            </w:r>
          </w:p>
          <w:p>
            <w:pPr>
              <w:pStyle w:val="9"/>
              <w:spacing w:line="244" w:lineRule="auto"/>
              <w:ind w:left="528" w:right="1147" w:hanging="420"/>
              <w:jc w:val="both"/>
              <w:rPr>
                <w:sz w:val="21"/>
              </w:rPr>
            </w:pPr>
            <w:r>
              <w:rPr>
                <w:b/>
                <w:spacing w:val="-4"/>
                <w:sz w:val="21"/>
              </w:rPr>
              <w:t>《关于加快推进失信被执行人信用监督、警示和惩戒机制建设的意见》</w:t>
            </w:r>
            <w:r>
              <w:rPr>
                <w:b/>
                <w:sz w:val="21"/>
              </w:rPr>
              <w:t>（中办发〔</w:t>
            </w:r>
            <w:r>
              <w:rPr>
                <w:rFonts w:ascii="Times New Roman" w:eastAsia="Times New Roman"/>
                <w:b/>
                <w:sz w:val="21"/>
              </w:rPr>
              <w:t>2016</w:t>
            </w:r>
            <w:r>
              <w:rPr>
                <w:b/>
                <w:sz w:val="21"/>
              </w:rPr>
              <w:t>〕</w:t>
            </w:r>
            <w:r>
              <w:rPr>
                <w:rFonts w:ascii="Times New Roman" w:eastAsia="Times New Roman"/>
                <w:b/>
                <w:sz w:val="21"/>
              </w:rPr>
              <w:t xml:space="preserve">64 </w:t>
            </w:r>
            <w:r>
              <w:rPr>
                <w:b/>
                <w:sz w:val="21"/>
              </w:rPr>
              <w:t xml:space="preserve">号） </w:t>
            </w:r>
            <w:r>
              <w:rPr>
                <w:sz w:val="21"/>
              </w:rPr>
              <w:t>二、加强联合惩戒</w:t>
            </w:r>
          </w:p>
          <w:p>
            <w:pPr>
              <w:pStyle w:val="9"/>
              <w:spacing w:line="265" w:lineRule="exact"/>
              <w:ind w:left="528"/>
              <w:rPr>
                <w:sz w:val="21"/>
              </w:rPr>
            </w:pPr>
            <w:r>
              <w:rPr>
                <w:sz w:val="21"/>
              </w:rPr>
              <w:t>（七）限制高消费及有关消费</w:t>
            </w:r>
          </w:p>
          <w:p>
            <w:pPr>
              <w:pStyle w:val="9"/>
              <w:numPr>
                <w:ilvl w:val="0"/>
                <w:numId w:val="2"/>
              </w:numPr>
              <w:tabs>
                <w:tab w:val="left" w:pos="842"/>
              </w:tabs>
              <w:spacing w:before="0" w:after="0" w:line="242" w:lineRule="auto"/>
              <w:ind w:left="108" w:right="-15" w:firstLine="420"/>
              <w:jc w:val="left"/>
              <w:rPr>
                <w:sz w:val="21"/>
              </w:rPr>
            </w:pPr>
            <w:r>
              <w:rPr>
                <w:spacing w:val="-3"/>
                <w:w w:val="95"/>
                <w:sz w:val="21"/>
              </w:rPr>
              <w:t>乘坐火车、飞机限制。限制失信被执行人及失信被执行人的法定代表人、主要负责人、实际控制人、</w:t>
            </w:r>
            <w:r>
              <w:rPr>
                <w:spacing w:val="-3"/>
                <w:sz w:val="21"/>
              </w:rPr>
              <w:t>影响债务履行的直接责任人员乘坐列车软卧、</w:t>
            </w:r>
            <w:r>
              <w:rPr>
                <w:rFonts w:ascii="Times New Roman" w:eastAsia="Times New Roman"/>
                <w:spacing w:val="-3"/>
                <w:sz w:val="21"/>
              </w:rPr>
              <w:t>G</w:t>
            </w:r>
            <w:r>
              <w:rPr>
                <w:rFonts w:ascii="Times New Roman" w:eastAsia="Times New Roman"/>
                <w:spacing w:val="-8"/>
                <w:sz w:val="21"/>
              </w:rPr>
              <w:t xml:space="preserve"> </w:t>
            </w:r>
            <w:r>
              <w:rPr>
                <w:sz w:val="21"/>
              </w:rPr>
              <w:t>字头动车组列车全部座位、其他动车组列车一等以上座位、民航飞机等非生活和工作必需的消费行为。</w:t>
            </w:r>
          </w:p>
          <w:p>
            <w:pPr>
              <w:pStyle w:val="9"/>
              <w:numPr>
                <w:ilvl w:val="0"/>
                <w:numId w:val="2"/>
              </w:numPr>
              <w:tabs>
                <w:tab w:val="left" w:pos="842"/>
              </w:tabs>
              <w:spacing w:before="0" w:after="0" w:line="250" w:lineRule="exact"/>
              <w:ind w:left="841" w:right="0" w:hanging="314"/>
              <w:jc w:val="left"/>
              <w:rPr>
                <w:sz w:val="21"/>
              </w:rPr>
            </w:pPr>
            <w:r>
              <w:rPr>
                <w:sz w:val="21"/>
              </w:rPr>
              <w:t>住宿宾馆饭店限制。限制失信被执行人及失信被执行人的法定代表人、主要负责人、实际控制人、</w:t>
            </w:r>
          </w:p>
        </w:tc>
        <w:tc>
          <w:tcPr>
            <w:tcW w:w="2500" w:type="dxa"/>
            <w:tcBorders>
              <w:bottom w:val="nil"/>
            </w:tcBorders>
          </w:tcPr>
          <w:p>
            <w:pPr>
              <w:pStyle w:val="9"/>
              <w:spacing w:before="19"/>
              <w:ind w:left="515"/>
              <w:rPr>
                <w:sz w:val="21"/>
              </w:rPr>
            </w:pPr>
            <w:r>
              <w:rPr>
                <w:w w:val="95"/>
                <w:sz w:val="21"/>
              </w:rPr>
              <w:t>最高人民法院、</w:t>
            </w:r>
          </w:p>
          <w:p>
            <w:pPr>
              <w:pStyle w:val="9"/>
              <w:spacing w:before="43" w:line="266" w:lineRule="exact"/>
              <w:ind w:left="515"/>
              <w:rPr>
                <w:sz w:val="21"/>
              </w:rPr>
            </w:pPr>
            <w:r>
              <w:rPr>
                <w:w w:val="95"/>
                <w:sz w:val="21"/>
              </w:rPr>
              <w:t>文化和旅游部、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84" w:type="dxa"/>
            <w:tcBorders>
              <w:top w:val="nil"/>
              <w:bottom w:val="nil"/>
            </w:tcBorders>
          </w:tcPr>
          <w:p>
            <w:pPr>
              <w:pStyle w:val="9"/>
              <w:ind w:left="0"/>
              <w:rPr>
                <w:rFonts w:ascii="Times New Roman"/>
                <w:sz w:val="20"/>
              </w:rPr>
            </w:pPr>
          </w:p>
        </w:tc>
        <w:tc>
          <w:tcPr>
            <w:tcW w:w="10064" w:type="dxa"/>
            <w:vMerge w:val="continue"/>
            <w:tcBorders>
              <w:top w:val="nil"/>
            </w:tcBorders>
          </w:tcPr>
          <w:p>
            <w:pPr>
              <w:rPr>
                <w:sz w:val="2"/>
                <w:szCs w:val="2"/>
              </w:rPr>
            </w:pPr>
          </w:p>
        </w:tc>
        <w:tc>
          <w:tcPr>
            <w:tcW w:w="2500" w:type="dxa"/>
            <w:tcBorders>
              <w:top w:val="nil"/>
              <w:bottom w:val="nil"/>
            </w:tcBorders>
          </w:tcPr>
          <w:p>
            <w:pPr>
              <w:pStyle w:val="9"/>
              <w:spacing w:before="16" w:line="266" w:lineRule="exact"/>
              <w:ind w:left="76" w:right="71"/>
              <w:jc w:val="center"/>
              <w:rPr>
                <w:sz w:val="21"/>
              </w:rPr>
            </w:pPr>
            <w:r>
              <w:rPr>
                <w:sz w:val="21"/>
              </w:rPr>
              <w:t>交通运输部、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84" w:type="dxa"/>
            <w:tcBorders>
              <w:top w:val="nil"/>
              <w:bottom w:val="nil"/>
            </w:tcBorders>
          </w:tcPr>
          <w:p>
            <w:pPr>
              <w:pStyle w:val="9"/>
              <w:ind w:left="0"/>
              <w:rPr>
                <w:rFonts w:ascii="Times New Roman"/>
                <w:sz w:val="20"/>
              </w:rPr>
            </w:pPr>
          </w:p>
        </w:tc>
        <w:tc>
          <w:tcPr>
            <w:tcW w:w="10064" w:type="dxa"/>
            <w:vMerge w:val="continue"/>
            <w:tcBorders>
              <w:top w:val="nil"/>
            </w:tcBorders>
          </w:tcPr>
          <w:p>
            <w:pPr>
              <w:rPr>
                <w:sz w:val="2"/>
                <w:szCs w:val="2"/>
              </w:rPr>
            </w:pPr>
          </w:p>
        </w:tc>
        <w:tc>
          <w:tcPr>
            <w:tcW w:w="2500" w:type="dxa"/>
            <w:tcBorders>
              <w:top w:val="nil"/>
              <w:bottom w:val="nil"/>
            </w:tcBorders>
          </w:tcPr>
          <w:p>
            <w:pPr>
              <w:pStyle w:val="9"/>
              <w:spacing w:before="16" w:line="266" w:lineRule="exact"/>
              <w:ind w:left="79" w:right="71"/>
              <w:jc w:val="center"/>
              <w:rPr>
                <w:sz w:val="21"/>
              </w:rPr>
            </w:pPr>
            <w:r>
              <w:rPr>
                <w:sz w:val="21"/>
              </w:rPr>
              <w:t>民航局、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4" w:hRule="atLeast"/>
        </w:trPr>
        <w:tc>
          <w:tcPr>
            <w:tcW w:w="1384" w:type="dxa"/>
            <w:tcBorders>
              <w:top w:val="nil"/>
            </w:tcBorders>
          </w:tcPr>
          <w:p>
            <w:pPr>
              <w:pStyle w:val="9"/>
              <w:ind w:left="0"/>
              <w:rPr>
                <w:rFonts w:ascii="Times New Roman"/>
                <w:sz w:val="20"/>
              </w:rPr>
            </w:pPr>
          </w:p>
        </w:tc>
        <w:tc>
          <w:tcPr>
            <w:tcW w:w="10064" w:type="dxa"/>
            <w:vMerge w:val="continue"/>
            <w:tcBorders>
              <w:top w:val="nil"/>
            </w:tcBorders>
          </w:tcPr>
          <w:p>
            <w:pPr>
              <w:rPr>
                <w:sz w:val="2"/>
                <w:szCs w:val="2"/>
              </w:rPr>
            </w:pPr>
          </w:p>
        </w:tc>
        <w:tc>
          <w:tcPr>
            <w:tcW w:w="2500" w:type="dxa"/>
            <w:tcBorders>
              <w:top w:val="nil"/>
            </w:tcBorders>
          </w:tcPr>
          <w:p>
            <w:pPr>
              <w:pStyle w:val="9"/>
              <w:spacing w:before="16"/>
              <w:ind w:left="79" w:right="71"/>
              <w:jc w:val="center"/>
              <w:rPr>
                <w:sz w:val="21"/>
              </w:rPr>
            </w:pPr>
            <w:r>
              <w:rPr>
                <w:sz w:val="21"/>
              </w:rPr>
              <w:t>铁路总公司</w:t>
            </w:r>
          </w:p>
        </w:tc>
      </w:tr>
    </w:tbl>
    <w:p>
      <w:pPr>
        <w:spacing w:after="0"/>
        <w:jc w:val="center"/>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40" w:hRule="atLeast"/>
        </w:trPr>
        <w:tc>
          <w:tcPr>
            <w:tcW w:w="1384" w:type="dxa"/>
          </w:tcPr>
          <w:p>
            <w:pPr>
              <w:pStyle w:val="9"/>
              <w:ind w:left="0"/>
              <w:rPr>
                <w:rFonts w:ascii="Times New Roman"/>
                <w:sz w:val="20"/>
              </w:rPr>
            </w:pPr>
          </w:p>
        </w:tc>
        <w:tc>
          <w:tcPr>
            <w:tcW w:w="10064" w:type="dxa"/>
          </w:tcPr>
          <w:p>
            <w:pPr>
              <w:pStyle w:val="9"/>
              <w:spacing w:before="2" w:line="242" w:lineRule="auto"/>
              <w:ind w:right="39"/>
              <w:jc w:val="both"/>
              <w:rPr>
                <w:sz w:val="21"/>
              </w:rPr>
            </w:pPr>
            <w:r>
              <w:rPr>
                <w:w w:val="95"/>
                <w:sz w:val="21"/>
              </w:rPr>
              <w:t>影响债务履行的直接责任人员住宿星级以上宾馆饭店、国家一级以上酒店及其他高消费住宿场所；限制其在</w:t>
            </w:r>
            <w:r>
              <w:rPr>
                <w:sz w:val="21"/>
              </w:rPr>
              <w:t>夜总会、高尔夫球场等高消费场所消费。</w:t>
            </w:r>
          </w:p>
          <w:p>
            <w:pPr>
              <w:pStyle w:val="9"/>
              <w:numPr>
                <w:ilvl w:val="0"/>
                <w:numId w:val="3"/>
              </w:numPr>
              <w:tabs>
                <w:tab w:val="left" w:pos="842"/>
              </w:tabs>
              <w:spacing w:before="0" w:after="0" w:line="242" w:lineRule="auto"/>
              <w:ind w:left="108" w:right="98" w:firstLine="420"/>
              <w:jc w:val="both"/>
              <w:rPr>
                <w:sz w:val="21"/>
              </w:rPr>
            </w:pPr>
            <w:r>
              <w:rPr>
                <w:sz w:val="21"/>
              </w:rPr>
              <w:t>高消费旅游限制。限制失信被执行人及失信被执行人的法定代表人、主要负责人、实际控制人、影</w:t>
            </w:r>
            <w:r>
              <w:rPr>
                <w:spacing w:val="-1"/>
                <w:w w:val="95"/>
                <w:sz w:val="21"/>
              </w:rPr>
              <w:t>响债务履行的直接责任人员参加旅行社组织的团队出境旅游，以及享受旅行社提供的与出境旅游相关的其他</w:t>
            </w:r>
            <w:r>
              <w:rPr>
                <w:spacing w:val="-1"/>
                <w:sz w:val="21"/>
              </w:rPr>
              <w:t>服务；对失信被执行人在获得旅游等级评定的度假区内或旅游企业内消费实行限额控制。</w:t>
            </w:r>
          </w:p>
          <w:p>
            <w:pPr>
              <w:pStyle w:val="9"/>
              <w:numPr>
                <w:ilvl w:val="0"/>
                <w:numId w:val="3"/>
              </w:numPr>
              <w:tabs>
                <w:tab w:val="left" w:pos="842"/>
              </w:tabs>
              <w:spacing w:before="2" w:after="0" w:line="242" w:lineRule="auto"/>
              <w:ind w:left="108" w:right="182" w:firstLine="420"/>
              <w:jc w:val="both"/>
              <w:rPr>
                <w:sz w:val="21"/>
              </w:rPr>
            </w:pPr>
            <w:r>
              <w:rPr>
                <w:w w:val="95"/>
                <w:sz w:val="21"/>
              </w:rPr>
              <w:t xml:space="preserve">子女就读高收费学校限制。限制失信被执行人及失信被执行人的法定代表人、主要负责人、实际控   </w:t>
            </w:r>
            <w:r>
              <w:rPr>
                <w:sz w:val="21"/>
              </w:rPr>
              <w:t>制人、影响债务履行的直接责任人员以其财产支付子女入学就读高收费私立学校。</w:t>
            </w:r>
          </w:p>
          <w:p>
            <w:pPr>
              <w:pStyle w:val="9"/>
              <w:numPr>
                <w:ilvl w:val="0"/>
                <w:numId w:val="3"/>
              </w:numPr>
              <w:tabs>
                <w:tab w:val="left" w:pos="842"/>
              </w:tabs>
              <w:spacing w:before="1" w:after="0" w:line="242" w:lineRule="auto"/>
              <w:ind w:left="108" w:right="182" w:firstLine="420"/>
              <w:jc w:val="both"/>
              <w:rPr>
                <w:sz w:val="21"/>
              </w:rPr>
            </w:pPr>
            <w:r>
              <w:rPr>
                <w:w w:val="95"/>
                <w:sz w:val="21"/>
              </w:rPr>
              <w:t xml:space="preserve">购买具有现金价值保险限制。限制失信被执行人及失信被执行人的法定代表人、主要负责人、实际   </w:t>
            </w:r>
            <w:r>
              <w:rPr>
                <w:sz w:val="21"/>
              </w:rPr>
              <w:t>控制人、影响债务履行的直接责任人员支付高额保费购买具有现金价值的保险产品。</w:t>
            </w:r>
          </w:p>
          <w:p>
            <w:pPr>
              <w:pStyle w:val="9"/>
              <w:numPr>
                <w:ilvl w:val="0"/>
                <w:numId w:val="3"/>
              </w:numPr>
              <w:tabs>
                <w:tab w:val="left" w:pos="842"/>
              </w:tabs>
              <w:spacing w:before="1" w:after="0" w:line="242" w:lineRule="auto"/>
              <w:ind w:left="108" w:right="-15" w:firstLine="420"/>
              <w:jc w:val="both"/>
              <w:rPr>
                <w:sz w:val="21"/>
              </w:rPr>
            </w:pPr>
            <w:r>
              <w:rPr>
                <w:spacing w:val="-3"/>
                <w:w w:val="95"/>
                <w:sz w:val="21"/>
              </w:rPr>
              <w:t>新建、扩建、高档装修房屋等限制。限制失信被执行人及失信被执行人的法定代表人、主要负责人、</w:t>
            </w:r>
            <w:r>
              <w:rPr>
                <w:spacing w:val="-5"/>
                <w:sz w:val="21"/>
              </w:rPr>
              <w:t>实际控制人、影响债务履行的直接责任人员新建、扩建、高档装修房屋，购买非经营必需车辆等非生活和工作必需的消费行为。</w:t>
            </w:r>
          </w:p>
          <w:p>
            <w:pPr>
              <w:pStyle w:val="9"/>
              <w:spacing w:before="1"/>
              <w:ind w:left="528"/>
              <w:jc w:val="both"/>
              <w:rPr>
                <w:sz w:val="21"/>
              </w:rPr>
            </w:pPr>
            <w:r>
              <w:rPr>
                <w:sz w:val="21"/>
              </w:rPr>
              <w:t>三、加强信息公开与共享</w:t>
            </w:r>
          </w:p>
          <w:p>
            <w:pPr>
              <w:pStyle w:val="9"/>
              <w:spacing w:before="5"/>
              <w:ind w:left="528"/>
              <w:jc w:val="both"/>
              <w:rPr>
                <w:sz w:val="21"/>
              </w:rPr>
            </w:pPr>
            <w:r>
              <w:rPr>
                <w:sz w:val="21"/>
              </w:rPr>
              <w:t>（三）信用信息共享</w:t>
            </w:r>
          </w:p>
          <w:p>
            <w:pPr>
              <w:pStyle w:val="9"/>
              <w:spacing w:before="21" w:line="278" w:lineRule="auto"/>
              <w:ind w:right="74" w:firstLine="523"/>
              <w:jc w:val="both"/>
              <w:rPr>
                <w:sz w:val="21"/>
              </w:rPr>
            </w:pPr>
            <w:r>
              <w:rPr>
                <w:sz w:val="21"/>
              </w:rPr>
              <w:t>各地区各部门之间要进一步打破信息壁垒，实现信息共享，通过全国信用信息共享平台，加快推进失</w:t>
            </w:r>
            <w:r>
              <w:rPr>
                <w:w w:val="95"/>
                <w:sz w:val="21"/>
              </w:rPr>
              <w:t>信被执行人信息与公安、民政、人力资源社会保障、国土资源、住房城乡建设、财政、金融、税务、工商、</w:t>
            </w:r>
            <w:r>
              <w:rPr>
                <w:spacing w:val="-4"/>
                <w:sz w:val="21"/>
              </w:rPr>
              <w:t>安全监管、证券、科技等部门信用信息资源共享，推进失信被执行人信息与有关人民团体、社会组织、企事业单位信用信息资源共享。</w:t>
            </w:r>
          </w:p>
          <w:p>
            <w:pPr>
              <w:pStyle w:val="9"/>
              <w:spacing w:line="249" w:lineRule="exact"/>
              <w:ind w:right="-15"/>
              <w:jc w:val="both"/>
              <w:rPr>
                <w:b/>
                <w:sz w:val="21"/>
              </w:rPr>
            </w:pPr>
            <w:r>
              <w:rPr>
                <w:b/>
                <w:w w:val="95"/>
                <w:sz w:val="21"/>
              </w:rPr>
              <w:t>《国务院关于建立完善守信联合激励和失信联合惩戒制度加快推进社会诚信建设的指导意见</w:t>
            </w:r>
            <w:r>
              <w:rPr>
                <w:b/>
                <w:spacing w:val="-133"/>
                <w:w w:val="95"/>
                <w:sz w:val="21"/>
              </w:rPr>
              <w:t>》</w:t>
            </w:r>
            <w:r>
              <w:rPr>
                <w:b/>
                <w:w w:val="95"/>
                <w:sz w:val="21"/>
              </w:rPr>
              <w:t>（</w:t>
            </w:r>
            <w:r>
              <w:rPr>
                <w:b/>
                <w:spacing w:val="-10"/>
                <w:w w:val="95"/>
                <w:sz w:val="21"/>
              </w:rPr>
              <w:t>国发〔</w:t>
            </w:r>
            <w:r>
              <w:rPr>
                <w:rFonts w:ascii="Times New Roman" w:eastAsia="Times New Roman"/>
                <w:b/>
                <w:w w:val="95"/>
                <w:sz w:val="21"/>
              </w:rPr>
              <w:t>2016</w:t>
            </w:r>
            <w:r>
              <w:rPr>
                <w:b/>
                <w:w w:val="95"/>
                <w:sz w:val="21"/>
              </w:rPr>
              <w:t>〕</w:t>
            </w:r>
          </w:p>
          <w:p>
            <w:pPr>
              <w:pStyle w:val="9"/>
              <w:spacing w:before="4"/>
              <w:jc w:val="both"/>
              <w:rPr>
                <w:b/>
                <w:sz w:val="21"/>
              </w:rPr>
            </w:pPr>
            <w:r>
              <w:rPr>
                <w:rFonts w:ascii="Times New Roman" w:eastAsia="Times New Roman"/>
                <w:b/>
                <w:sz w:val="21"/>
              </w:rPr>
              <w:t xml:space="preserve">33 </w:t>
            </w:r>
            <w:r>
              <w:rPr>
                <w:b/>
                <w:sz w:val="21"/>
              </w:rPr>
              <w:t>号）</w:t>
            </w:r>
          </w:p>
          <w:p>
            <w:pPr>
              <w:pStyle w:val="9"/>
              <w:spacing w:before="3" w:line="242" w:lineRule="auto"/>
              <w:ind w:right="74" w:firstLine="420"/>
              <w:jc w:val="both"/>
              <w:rPr>
                <w:sz w:val="21"/>
              </w:rPr>
            </w:pPr>
            <w:r>
              <w:rPr>
                <w:sz w:val="21"/>
              </w:rPr>
              <w:t>（十一</w:t>
            </w:r>
            <w:r>
              <w:rPr>
                <w:spacing w:val="-8"/>
                <w:sz w:val="21"/>
              </w:rPr>
              <w:t>）</w:t>
            </w:r>
            <w:r>
              <w:rPr>
                <w:spacing w:val="-2"/>
                <w:sz w:val="21"/>
              </w:rPr>
              <w:t>加强对失信行为的市场性约束和惩戒。对严重失信主体，有关部门和机构应以统一社会信用代</w:t>
            </w:r>
            <w:r>
              <w:rPr>
                <w:spacing w:val="-5"/>
                <w:sz w:val="21"/>
              </w:rPr>
              <w:t>码为索引，及时公开披露相关信息，便于市场识别失信行为，防范信用风险。督促有关企业和个人履行法定</w:t>
            </w:r>
            <w:r>
              <w:rPr>
                <w:spacing w:val="-6"/>
                <w:sz w:val="21"/>
              </w:rPr>
              <w:t>义务，对有履行能力但拒不履行的严重失信主体实施限制出境和限制购买不动产、乘坐飞机、乘坐高等级列</w:t>
            </w:r>
            <w:r>
              <w:rPr>
                <w:spacing w:val="-6"/>
                <w:w w:val="95"/>
                <w:sz w:val="21"/>
              </w:rPr>
              <w:t>车和席次、旅游度假、入住星级以上宾馆及其他高消费行为等措施。支持征信机构采集严重失信行为信息，</w:t>
            </w:r>
            <w:r>
              <w:rPr>
                <w:spacing w:val="-6"/>
                <w:sz w:val="21"/>
              </w:rPr>
              <w:t>纳入信用记录和信用报告。引导商业银行、证券期货经营机构、保险公司等金融机构按照风险定价原则，对</w:t>
            </w:r>
            <w:r>
              <w:rPr>
                <w:sz w:val="21"/>
              </w:rPr>
              <w:t>严重失信主体提高贷款利率和财产保险费率，或者限制向其提供贷款、保荐、承销、保险等服务。</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384" w:type="dxa"/>
          </w:tcPr>
          <w:p>
            <w:pPr>
              <w:pStyle w:val="9"/>
              <w:spacing w:line="242" w:lineRule="auto"/>
              <w:ind w:left="107" w:right="97"/>
              <w:jc w:val="both"/>
              <w:rPr>
                <w:sz w:val="21"/>
              </w:rPr>
            </w:pPr>
            <w:r>
              <w:rPr>
                <w:rFonts w:ascii="Times New Roman" w:eastAsia="Times New Roman"/>
                <w:sz w:val="21"/>
              </w:rPr>
              <w:t xml:space="preserve">30. </w:t>
            </w:r>
            <w:r>
              <w:rPr>
                <w:spacing w:val="-12"/>
                <w:sz w:val="21"/>
              </w:rPr>
              <w:t>依 法 限</w:t>
            </w:r>
            <w:r>
              <w:rPr>
                <w:spacing w:val="-19"/>
                <w:sz w:val="21"/>
              </w:rPr>
              <w:t>制、暂停或取</w:t>
            </w:r>
            <w:r>
              <w:rPr>
                <w:spacing w:val="20"/>
                <w:sz w:val="21"/>
              </w:rPr>
              <w:t>消政策性资</w:t>
            </w:r>
          </w:p>
        </w:tc>
        <w:tc>
          <w:tcPr>
            <w:tcW w:w="10064" w:type="dxa"/>
          </w:tcPr>
          <w:p>
            <w:pPr>
              <w:pStyle w:val="9"/>
              <w:jc w:val="both"/>
              <w:rPr>
                <w:b/>
                <w:sz w:val="21"/>
              </w:rPr>
            </w:pPr>
            <w:r>
              <w:rPr>
                <w:b/>
                <w:sz w:val="21"/>
              </w:rPr>
              <w:t>《国务院关于印发社会信用体系建设规划纲要（</w:t>
            </w:r>
            <w:r>
              <w:rPr>
                <w:rFonts w:ascii="Times New Roman" w:eastAsia="Times New Roman"/>
                <w:b/>
                <w:sz w:val="21"/>
              </w:rPr>
              <w:t xml:space="preserve">2014-2020 </w:t>
            </w:r>
            <w:r>
              <w:rPr>
                <w:b/>
                <w:sz w:val="21"/>
              </w:rPr>
              <w:t>年）的通知》（国发〔</w:t>
            </w:r>
            <w:r>
              <w:rPr>
                <w:rFonts w:ascii="Times New Roman" w:eastAsia="Times New Roman"/>
                <w:b/>
                <w:sz w:val="21"/>
              </w:rPr>
              <w:t>2014</w:t>
            </w:r>
            <w:r>
              <w:rPr>
                <w:b/>
                <w:sz w:val="21"/>
              </w:rPr>
              <w:t>〕</w:t>
            </w:r>
            <w:r>
              <w:rPr>
                <w:rFonts w:ascii="Times New Roman" w:eastAsia="Times New Roman"/>
                <w:b/>
                <w:sz w:val="21"/>
              </w:rPr>
              <w:t xml:space="preserve">21 </w:t>
            </w:r>
            <w:r>
              <w:rPr>
                <w:b/>
                <w:sz w:val="21"/>
              </w:rPr>
              <w:t>号）</w:t>
            </w:r>
          </w:p>
          <w:p>
            <w:pPr>
              <w:pStyle w:val="9"/>
              <w:spacing w:before="2" w:line="244" w:lineRule="auto"/>
              <w:ind w:right="74" w:firstLine="420"/>
              <w:jc w:val="both"/>
              <w:rPr>
                <w:sz w:val="21"/>
              </w:rPr>
            </w:pPr>
            <w:r>
              <w:rPr>
                <w:sz w:val="21"/>
              </w:rPr>
              <w:t>发挥政府诚信建设示范作用。各级人民政府首先要加强自身诚信建设，以政府的诚信施政，带动全社会</w:t>
            </w:r>
            <w:r>
              <w:rPr>
                <w:w w:val="95"/>
                <w:sz w:val="21"/>
              </w:rPr>
              <w:t>诚信意识的树立和诚信水平的提高。在行政许可、政府采购、招标投标、劳动就业、社会保障、科研管理、</w:t>
            </w:r>
          </w:p>
        </w:tc>
        <w:tc>
          <w:tcPr>
            <w:tcW w:w="2500" w:type="dxa"/>
          </w:tcPr>
          <w:p>
            <w:pPr>
              <w:pStyle w:val="9"/>
              <w:spacing w:before="19" w:line="278" w:lineRule="auto"/>
              <w:ind w:left="198" w:right="191" w:firstLine="211"/>
              <w:rPr>
                <w:sz w:val="21"/>
              </w:rPr>
            </w:pPr>
            <w:r>
              <w:rPr>
                <w:sz w:val="21"/>
              </w:rPr>
              <w:t xml:space="preserve">国家发展改革委、 </w:t>
            </w:r>
            <w:r>
              <w:rPr>
                <w:spacing w:val="-2"/>
                <w:sz w:val="21"/>
              </w:rPr>
              <w:t>人力资源社会保障部、</w:t>
            </w:r>
          </w:p>
          <w:p>
            <w:pPr>
              <w:pStyle w:val="9"/>
              <w:spacing w:line="269" w:lineRule="exact"/>
              <w:ind w:left="830"/>
              <w:rPr>
                <w:sz w:val="21"/>
              </w:rPr>
            </w:pPr>
            <w:r>
              <w:rPr>
                <w:sz w:val="21"/>
              </w:rPr>
              <w:t>财政部、</w:t>
            </w:r>
          </w:p>
        </w:tc>
      </w:tr>
    </w:tbl>
    <w:p>
      <w:pPr>
        <w:spacing w:after="0" w:line="269" w:lineRule="exact"/>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1" w:hRule="atLeast"/>
        </w:trPr>
        <w:tc>
          <w:tcPr>
            <w:tcW w:w="1384" w:type="dxa"/>
          </w:tcPr>
          <w:p>
            <w:pPr>
              <w:pStyle w:val="9"/>
              <w:spacing w:before="2" w:line="242" w:lineRule="auto"/>
              <w:ind w:left="107" w:right="97"/>
              <w:jc w:val="both"/>
              <w:rPr>
                <w:sz w:val="21"/>
              </w:rPr>
            </w:pPr>
            <w:r>
              <w:rPr>
                <w:spacing w:val="-19"/>
                <w:sz w:val="21"/>
              </w:rPr>
              <w:t>金、政府补贴</w:t>
            </w:r>
            <w:r>
              <w:rPr>
                <w:spacing w:val="20"/>
                <w:sz w:val="21"/>
              </w:rPr>
              <w:t>性资金和社会保障资金</w:t>
            </w:r>
            <w:r>
              <w:rPr>
                <w:sz w:val="21"/>
              </w:rPr>
              <w:t>支持。</w:t>
            </w:r>
          </w:p>
        </w:tc>
        <w:tc>
          <w:tcPr>
            <w:tcW w:w="10064" w:type="dxa"/>
          </w:tcPr>
          <w:p>
            <w:pPr>
              <w:pStyle w:val="9"/>
              <w:spacing w:before="2" w:line="242" w:lineRule="auto"/>
              <w:ind w:right="39"/>
              <w:rPr>
                <w:sz w:val="21"/>
              </w:rPr>
            </w:pPr>
            <w:r>
              <w:rPr>
                <w:w w:val="95"/>
                <w:sz w:val="21"/>
              </w:rPr>
              <w:t>干部选拔任用和管理监督、申请政府资金支持等领域，率先使用信用信息和信用产品，培育信用服务市场发</w:t>
            </w:r>
            <w:r>
              <w:rPr>
                <w:sz w:val="21"/>
              </w:rPr>
              <w:t>展。</w:t>
            </w:r>
          </w:p>
          <w:p>
            <w:pPr>
              <w:pStyle w:val="9"/>
              <w:spacing w:line="268" w:lineRule="exact"/>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4" w:line="242" w:lineRule="auto"/>
              <w:ind w:right="74" w:firstLine="314"/>
              <w:rPr>
                <w:sz w:val="21"/>
              </w:rPr>
            </w:pPr>
            <w:r>
              <w:rPr>
                <w:sz w:val="21"/>
              </w:rPr>
              <w:t>（十五）建立健全守信激励和失信惩戒机制。将市场主体的信用信息作为实施行政管理的重要参考。根</w:t>
            </w:r>
            <w:r>
              <w:rPr>
                <w:spacing w:val="-3"/>
                <w:sz w:val="21"/>
              </w:rPr>
              <w:t>据市场主体信用状况实行分类分级、动态监管，建立健全经营异常名录制度，对违背市场竞争原则和侵犯消</w:t>
            </w:r>
            <w:r>
              <w:rPr>
                <w:spacing w:val="-7"/>
                <w:sz w:val="21"/>
              </w:rPr>
              <w:t>费者、劳动者合法权益的市场主体建立</w:t>
            </w:r>
            <w:r>
              <w:rPr>
                <w:rFonts w:ascii="Times New Roman" w:hAnsi="Times New Roman" w:eastAsia="Times New Roman"/>
                <w:sz w:val="21"/>
              </w:rPr>
              <w:t>“</w:t>
            </w:r>
            <w:r>
              <w:rPr>
                <w:sz w:val="21"/>
              </w:rPr>
              <w:t>黑名单</w:t>
            </w:r>
            <w:r>
              <w:rPr>
                <w:rFonts w:ascii="Times New Roman" w:hAnsi="Times New Roman" w:eastAsia="Times New Roman"/>
                <w:sz w:val="21"/>
              </w:rPr>
              <w:t>”</w:t>
            </w:r>
            <w:r>
              <w:rPr>
                <w:spacing w:val="-47"/>
                <w:sz w:val="21"/>
              </w:rPr>
              <w:t>制度。</w:t>
            </w:r>
            <w:r>
              <w:rPr>
                <w:sz w:val="21"/>
              </w:rPr>
              <w:t>（国家市场监督管理总局牵头负责</w:t>
            </w:r>
            <w:r>
              <w:rPr>
                <w:spacing w:val="-34"/>
                <w:sz w:val="21"/>
              </w:rPr>
              <w:t>）</w:t>
            </w:r>
            <w:r>
              <w:rPr>
                <w:sz w:val="21"/>
              </w:rPr>
              <w:t>对守信主体予以支</w:t>
            </w:r>
            <w:r>
              <w:rPr>
                <w:w w:val="95"/>
                <w:sz w:val="21"/>
              </w:rPr>
              <w:t>持和激励，对失信主体在经营、投融资、取得政府供应土地、进出口、出入境、注册新公司、工程招投标、</w:t>
            </w:r>
            <w:r>
              <w:rPr>
                <w:spacing w:val="-3"/>
                <w:sz w:val="21"/>
              </w:rPr>
              <w:t>政府采购、获得荣誉、安全许可、生产许可、从业任职资格、资质审核等方面依法予以限制或禁止，对严重</w:t>
            </w:r>
            <w:r>
              <w:rPr>
                <w:spacing w:val="-10"/>
                <w:sz w:val="21"/>
              </w:rPr>
              <w:t>违法失信主体实行市场禁入制度。</w:t>
            </w:r>
            <w:r>
              <w:rPr>
                <w:sz w:val="21"/>
              </w:rPr>
              <w:t>（各相关市场监管部门按职责分工分别负责）</w:t>
            </w:r>
          </w:p>
          <w:p>
            <w:pPr>
              <w:pStyle w:val="9"/>
              <w:spacing w:before="4"/>
              <w:ind w:right="-15"/>
              <w:rPr>
                <w:b/>
                <w:sz w:val="21"/>
              </w:rPr>
            </w:pPr>
            <w:r>
              <w:rPr>
                <w:b/>
                <w:w w:val="95"/>
                <w:sz w:val="21"/>
              </w:rPr>
              <w:t>《国务院关于建立完善守信联合激励和失信联合惩戒制度加快推进社会诚信建设的指导意见</w:t>
            </w:r>
            <w:r>
              <w:rPr>
                <w:b/>
                <w:spacing w:val="-133"/>
                <w:w w:val="95"/>
                <w:sz w:val="21"/>
              </w:rPr>
              <w:t>》</w:t>
            </w:r>
            <w:r>
              <w:rPr>
                <w:b/>
                <w:w w:val="95"/>
                <w:sz w:val="21"/>
              </w:rPr>
              <w:t>（</w:t>
            </w:r>
            <w:r>
              <w:rPr>
                <w:b/>
                <w:spacing w:val="-10"/>
                <w:w w:val="95"/>
                <w:sz w:val="21"/>
              </w:rPr>
              <w:t>国发〔</w:t>
            </w:r>
            <w:r>
              <w:rPr>
                <w:rFonts w:ascii="Times New Roman" w:eastAsia="Times New Roman"/>
                <w:b/>
                <w:w w:val="95"/>
                <w:sz w:val="21"/>
              </w:rPr>
              <w:t>2016</w:t>
            </w:r>
            <w:r>
              <w:rPr>
                <w:b/>
                <w:w w:val="95"/>
                <w:sz w:val="21"/>
              </w:rPr>
              <w:t>〕</w:t>
            </w:r>
          </w:p>
          <w:p>
            <w:pPr>
              <w:pStyle w:val="9"/>
              <w:spacing w:before="2"/>
              <w:rPr>
                <w:b/>
                <w:sz w:val="21"/>
              </w:rPr>
            </w:pPr>
            <w:r>
              <w:rPr>
                <w:rFonts w:ascii="Times New Roman" w:eastAsia="Times New Roman"/>
                <w:b/>
                <w:sz w:val="21"/>
              </w:rPr>
              <w:t xml:space="preserve">33 </w:t>
            </w:r>
            <w:r>
              <w:rPr>
                <w:b/>
                <w:sz w:val="21"/>
              </w:rPr>
              <w:t>号）</w:t>
            </w:r>
          </w:p>
          <w:p>
            <w:pPr>
              <w:pStyle w:val="9"/>
              <w:spacing w:before="24" w:line="278" w:lineRule="auto"/>
              <w:ind w:right="-15" w:firstLine="420"/>
              <w:rPr>
                <w:sz w:val="21"/>
              </w:rPr>
            </w:pPr>
            <w:r>
              <w:rPr>
                <w:sz w:val="21"/>
              </w:rPr>
              <w:t>（十</w:t>
            </w:r>
            <w:r>
              <w:rPr>
                <w:spacing w:val="-5"/>
                <w:sz w:val="21"/>
              </w:rPr>
              <w:t>）</w:t>
            </w:r>
            <w:r>
              <w:rPr>
                <w:spacing w:val="-3"/>
                <w:sz w:val="21"/>
              </w:rPr>
              <w:t>依法依规加强对失信行为的行政性约束和惩戒。对严重失信主体，各地区、各有关部门应将其列</w:t>
            </w:r>
            <w:r>
              <w:rPr>
                <w:spacing w:val="-5"/>
                <w:sz w:val="21"/>
              </w:rPr>
              <w:t>为重点监管对象，依法依规采取行政性约束和惩戒措施。从严审核行政许可审批项目，从严控制生产许可证</w:t>
            </w:r>
            <w:r>
              <w:rPr>
                <w:spacing w:val="-12"/>
                <w:sz w:val="21"/>
              </w:rPr>
              <w:t>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w:t>
            </w:r>
            <w:r>
              <w:rPr>
                <w:spacing w:val="-13"/>
                <w:sz w:val="21"/>
              </w:rPr>
              <w:t>础设施和公用事业特许经营。对严重失信企业及其法定代表人、主要负责人和对失信行为负有直接责任的注册执业人员等实施市场和行业禁入措施。及时撤销严重失信企业及其法定代表人、负责人、高级管理人员和</w:t>
            </w:r>
            <w:r>
              <w:rPr>
                <w:sz w:val="21"/>
              </w:rPr>
              <w:t>对失信行为负有直接责任的董事、股东等人员的荣誉称号，取消参加评先评优资格。</w:t>
            </w:r>
          </w:p>
        </w:tc>
        <w:tc>
          <w:tcPr>
            <w:tcW w:w="2500" w:type="dxa"/>
          </w:tcPr>
          <w:p>
            <w:pPr>
              <w:pStyle w:val="9"/>
              <w:spacing w:before="21"/>
              <w:ind w:left="410"/>
              <w:rPr>
                <w:sz w:val="21"/>
              </w:rPr>
            </w:pPr>
            <w:r>
              <w:rPr>
                <w:sz w:val="21"/>
              </w:rPr>
              <w:t>国资委等有关部门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1" w:hRule="atLeast"/>
        </w:trPr>
        <w:tc>
          <w:tcPr>
            <w:tcW w:w="1384" w:type="dxa"/>
          </w:tcPr>
          <w:p>
            <w:pPr>
              <w:pStyle w:val="9"/>
              <w:spacing w:before="1" w:line="242" w:lineRule="auto"/>
              <w:ind w:left="107" w:right="97"/>
              <w:jc w:val="both"/>
              <w:rPr>
                <w:sz w:val="21"/>
              </w:rPr>
            </w:pPr>
            <w:r>
              <w:rPr>
                <w:rFonts w:ascii="Times New Roman" w:eastAsia="Times New Roman"/>
                <w:sz w:val="21"/>
              </w:rPr>
              <w:t>31.</w:t>
            </w:r>
            <w:r>
              <w:rPr>
                <w:sz w:val="21"/>
              </w:rPr>
              <w:t>限制失信当事人享受优惠性政策的审慎性参考。</w:t>
            </w:r>
          </w:p>
        </w:tc>
        <w:tc>
          <w:tcPr>
            <w:tcW w:w="10064" w:type="dxa"/>
          </w:tcPr>
          <w:p>
            <w:pPr>
              <w:pStyle w:val="9"/>
              <w:spacing w:before="1" w:line="242" w:lineRule="auto"/>
              <w:ind w:left="528" w:right="1197" w:hanging="420"/>
              <w:rPr>
                <w:sz w:val="21"/>
              </w:rPr>
            </w:pPr>
            <w:r>
              <w:rPr>
                <w:b/>
                <w:sz w:val="21"/>
              </w:rPr>
              <w:t>《国务院关于印发社会信用体系建设规划纲要（</w:t>
            </w:r>
            <w:r>
              <w:rPr>
                <w:rFonts w:ascii="Times New Roman" w:eastAsia="Times New Roman"/>
                <w:b/>
                <w:sz w:val="21"/>
              </w:rPr>
              <w:t xml:space="preserve">2014-2020 </w:t>
            </w:r>
            <w:r>
              <w:rPr>
                <w:b/>
                <w:sz w:val="21"/>
              </w:rPr>
              <w:t>年）</w:t>
            </w:r>
            <w:r>
              <w:rPr>
                <w:b/>
                <w:spacing w:val="-26"/>
                <w:sz w:val="21"/>
              </w:rPr>
              <w:t>的通知》</w:t>
            </w:r>
            <w:r>
              <w:rPr>
                <w:b/>
                <w:sz w:val="21"/>
              </w:rPr>
              <w:t>（国发〔</w:t>
            </w:r>
            <w:r>
              <w:rPr>
                <w:rFonts w:ascii="Times New Roman" w:eastAsia="Times New Roman"/>
                <w:b/>
                <w:sz w:val="21"/>
              </w:rPr>
              <w:t>2014</w:t>
            </w:r>
            <w:r>
              <w:rPr>
                <w:b/>
                <w:sz w:val="21"/>
              </w:rPr>
              <w:t>〕</w:t>
            </w:r>
            <w:r>
              <w:rPr>
                <w:rFonts w:ascii="Times New Roman" w:eastAsia="Times New Roman"/>
                <w:b/>
                <w:sz w:val="21"/>
              </w:rPr>
              <w:t xml:space="preserve">21 </w:t>
            </w:r>
            <w:r>
              <w:rPr>
                <w:b/>
                <w:sz w:val="21"/>
              </w:rPr>
              <w:t xml:space="preserve">号） </w:t>
            </w:r>
            <w:r>
              <w:rPr>
                <w:sz w:val="21"/>
              </w:rPr>
              <w:t>二、推进重点领域诚信建设</w:t>
            </w:r>
          </w:p>
          <w:p>
            <w:pPr>
              <w:pStyle w:val="9"/>
              <w:spacing w:line="268" w:lineRule="exact"/>
              <w:ind w:left="528"/>
              <w:rPr>
                <w:sz w:val="21"/>
              </w:rPr>
            </w:pPr>
            <w:r>
              <w:rPr>
                <w:sz w:val="21"/>
              </w:rPr>
              <w:t>（一）加快推进政务诚信建设。</w:t>
            </w:r>
          </w:p>
          <w:p>
            <w:pPr>
              <w:pStyle w:val="9"/>
              <w:spacing w:before="4" w:line="242" w:lineRule="auto"/>
              <w:ind w:right="74" w:firstLine="420"/>
              <w:jc w:val="both"/>
              <w:rPr>
                <w:sz w:val="21"/>
              </w:rPr>
            </w:pPr>
            <w:r>
              <w:rPr>
                <w:spacing w:val="-3"/>
                <w:sz w:val="21"/>
              </w:rPr>
              <w:t>发挥政府诚信建设示范作用。各级人民政府首先要加强自身诚信建设，以政府的诚信施政，带动全社会</w:t>
            </w:r>
            <w:r>
              <w:rPr>
                <w:spacing w:val="-3"/>
                <w:w w:val="95"/>
                <w:sz w:val="21"/>
              </w:rPr>
              <w:t>诚信意识的树立和诚信水平的提高。在行政许可、政府采购、招标投标、劳动就业、社会保障、科研管理、</w:t>
            </w:r>
            <w:r>
              <w:rPr>
                <w:spacing w:val="-6"/>
                <w:sz w:val="21"/>
              </w:rPr>
              <w:t>干部选拔任用和管理监督、申请政府资金支持等领域，率先使用信用信息和信用产品，培育信用服务市场发展。</w:t>
            </w:r>
          </w:p>
          <w:p>
            <w:pPr>
              <w:pStyle w:val="9"/>
              <w:spacing w:before="3"/>
              <w:ind w:left="528"/>
              <w:rPr>
                <w:sz w:val="21"/>
              </w:rPr>
            </w:pPr>
            <w:r>
              <w:rPr>
                <w:sz w:val="21"/>
              </w:rPr>
              <w:t>五、完善以奖惩制度为重点的社会信用体系运行机制</w:t>
            </w:r>
          </w:p>
          <w:p>
            <w:pPr>
              <w:pStyle w:val="9"/>
              <w:spacing w:before="2"/>
              <w:ind w:left="528"/>
              <w:rPr>
                <w:sz w:val="21"/>
              </w:rPr>
            </w:pPr>
            <w:r>
              <w:rPr>
                <w:sz w:val="21"/>
              </w:rPr>
              <w:t>运行机制是保障社会信用体系各系统协调运行的制度基础。其中，守信激励和失信惩戒机制直接作用于</w:t>
            </w:r>
          </w:p>
          <w:p>
            <w:pPr>
              <w:pStyle w:val="9"/>
              <w:spacing w:before="4" w:line="250" w:lineRule="exact"/>
              <w:rPr>
                <w:sz w:val="21"/>
              </w:rPr>
            </w:pPr>
            <w:r>
              <w:rPr>
                <w:sz w:val="21"/>
              </w:rPr>
              <w:t>各个社会主体信用行为，是</w:t>
            </w:r>
            <w:r>
              <w:fldChar w:fldCharType="begin"/>
            </w:r>
            <w:r>
              <w:instrText xml:space="preserve"> HYPERLINK "http://baike.baidu.com/subview/1478540/1478540.htm" \h </w:instrText>
            </w:r>
            <w:r>
              <w:fldChar w:fldCharType="separate"/>
            </w:r>
            <w:r>
              <w:rPr>
                <w:sz w:val="21"/>
              </w:rPr>
              <w:t>社会信用体系</w:t>
            </w:r>
            <w:r>
              <w:rPr>
                <w:sz w:val="21"/>
              </w:rPr>
              <w:fldChar w:fldCharType="end"/>
            </w:r>
            <w:r>
              <w:rPr>
                <w:sz w:val="21"/>
              </w:rPr>
              <w:t>运行的核心机制。</w:t>
            </w:r>
          </w:p>
        </w:tc>
        <w:tc>
          <w:tcPr>
            <w:tcW w:w="2500" w:type="dxa"/>
          </w:tcPr>
          <w:p>
            <w:pPr>
              <w:pStyle w:val="9"/>
              <w:spacing w:before="20" w:line="278" w:lineRule="auto"/>
              <w:ind w:left="410" w:right="400"/>
              <w:jc w:val="center"/>
              <w:rPr>
                <w:sz w:val="21"/>
              </w:rPr>
            </w:pPr>
            <w:r>
              <w:rPr>
                <w:sz w:val="21"/>
              </w:rPr>
              <w:t>国家发展改革委、商务部、</w:t>
            </w:r>
          </w:p>
          <w:p>
            <w:pPr>
              <w:pStyle w:val="9"/>
              <w:spacing w:line="278" w:lineRule="auto"/>
              <w:ind w:left="198" w:right="191"/>
              <w:jc w:val="center"/>
              <w:rPr>
                <w:sz w:val="21"/>
              </w:rPr>
            </w:pPr>
            <w:r>
              <w:rPr>
                <w:w w:val="95"/>
                <w:sz w:val="21"/>
              </w:rPr>
              <w:t>文化和旅游部等有关部</w:t>
            </w:r>
            <w:r>
              <w:rPr>
                <w:sz w:val="21"/>
              </w:rPr>
              <w:t>门</w:t>
            </w:r>
          </w:p>
        </w:tc>
      </w:tr>
    </w:tbl>
    <w:p>
      <w:pPr>
        <w:spacing w:after="0" w:line="278" w:lineRule="auto"/>
        <w:jc w:val="center"/>
        <w:rPr>
          <w:sz w:val="21"/>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1384" w:type="dxa"/>
            <w:tcBorders>
              <w:bottom w:val="nil"/>
            </w:tcBorders>
          </w:tcPr>
          <w:p>
            <w:pPr>
              <w:pStyle w:val="9"/>
              <w:spacing w:before="1" w:line="270" w:lineRule="atLeast"/>
              <w:ind w:left="107" w:right="97"/>
              <w:rPr>
                <w:sz w:val="21"/>
              </w:rPr>
            </w:pPr>
            <w:r>
              <w:rPr>
                <w:rFonts w:ascii="Times New Roman" w:eastAsia="Times New Roman"/>
                <w:sz w:val="21"/>
              </w:rPr>
              <w:t>32.</w:t>
            </w:r>
            <w:r>
              <w:rPr>
                <w:sz w:val="21"/>
              </w:rPr>
              <w:t>供纳税信用管理时的</w:t>
            </w:r>
          </w:p>
        </w:tc>
        <w:tc>
          <w:tcPr>
            <w:tcW w:w="10064" w:type="dxa"/>
            <w:tcBorders>
              <w:bottom w:val="nil"/>
            </w:tcBorders>
          </w:tcPr>
          <w:p>
            <w:pPr>
              <w:pStyle w:val="9"/>
              <w:spacing w:before="2"/>
              <w:rPr>
                <w:b/>
                <w:sz w:val="21"/>
              </w:rPr>
            </w:pPr>
            <w:r>
              <w:rPr>
                <w:b/>
                <w:sz w:val="21"/>
              </w:rPr>
              <w:t>《纳税信用管理办法（试行</w:t>
            </w:r>
            <w:r>
              <w:rPr>
                <w:b/>
                <w:spacing w:val="-101"/>
                <w:sz w:val="21"/>
              </w:rPr>
              <w:t>）</w:t>
            </w:r>
            <w:r>
              <w:rPr>
                <w:b/>
                <w:sz w:val="21"/>
              </w:rPr>
              <w:t>》</w:t>
            </w:r>
          </w:p>
          <w:p>
            <w:pPr>
              <w:pStyle w:val="9"/>
              <w:spacing w:before="2" w:line="250" w:lineRule="exact"/>
              <w:ind w:left="528"/>
              <w:rPr>
                <w:sz w:val="21"/>
              </w:rPr>
            </w:pPr>
            <w:r>
              <w:rPr>
                <w:sz w:val="21"/>
              </w:rPr>
              <w:t>第十条 纳税信用信息包括纳税人信用历史信息、税务内部信息、外部信息。</w:t>
            </w:r>
          </w:p>
        </w:tc>
        <w:tc>
          <w:tcPr>
            <w:tcW w:w="2500" w:type="dxa"/>
            <w:tcBorders>
              <w:bottom w:val="nil"/>
            </w:tcBorders>
          </w:tcPr>
          <w:p>
            <w:pPr>
              <w:pStyle w:val="9"/>
              <w:spacing w:before="21"/>
              <w:ind w:left="830"/>
              <w:rPr>
                <w:sz w:val="21"/>
              </w:rPr>
            </w:pPr>
            <w:r>
              <w:rPr>
                <w:sz w:val="21"/>
              </w:rPr>
              <w:t>税务总局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spacing w:line="252" w:lineRule="exact"/>
              <w:ind w:left="107"/>
              <w:rPr>
                <w:sz w:val="21"/>
              </w:rPr>
            </w:pPr>
            <w:r>
              <w:rPr>
                <w:sz w:val="21"/>
              </w:rPr>
              <w:t>审慎性参考。</w:t>
            </w:r>
          </w:p>
        </w:tc>
        <w:tc>
          <w:tcPr>
            <w:tcW w:w="10064" w:type="dxa"/>
            <w:tcBorders>
              <w:top w:val="nil"/>
              <w:bottom w:val="nil"/>
            </w:tcBorders>
          </w:tcPr>
          <w:p>
            <w:pPr>
              <w:pStyle w:val="9"/>
              <w:spacing w:line="252" w:lineRule="exact"/>
              <w:ind w:left="0" w:right="98" w:firstLine="398" w:firstLineChars="200"/>
              <w:jc w:val="right"/>
              <w:rPr>
                <w:sz w:val="21"/>
              </w:rPr>
            </w:pPr>
            <w:r>
              <w:rPr>
                <w:w w:val="95"/>
                <w:sz w:val="21"/>
              </w:rPr>
              <w:t>纳税人信用历史信息包括基本信息和评价年度之前的纳税信用记录，以及相关部门评定的优良信用记录</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rPr>
                <w:sz w:val="21"/>
              </w:rPr>
            </w:pPr>
            <w:r>
              <w:rPr>
                <w:sz w:val="21"/>
              </w:rPr>
              <w:t>和不良信用记录。</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ind w:left="0" w:right="74"/>
              <w:jc w:val="right"/>
              <w:rPr>
                <w:sz w:val="21"/>
              </w:rPr>
            </w:pPr>
            <w:r>
              <w:rPr>
                <w:w w:val="95"/>
                <w:sz w:val="21"/>
              </w:rPr>
              <w:t>税务内部信息包括经常性指标信息和非经常性指标信息。经常性指标信息是指涉税申报信息、税（费）</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rPr>
                <w:sz w:val="21"/>
              </w:rPr>
            </w:pPr>
            <w:r>
              <w:rPr>
                <w:sz w:val="21"/>
              </w:rPr>
              <w:t>款缴纳信息、发票与税控器具信息、登记与账簿信息等纳税人在评价年度内经常产生的指标信息；非经常性</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52" w:lineRule="exact"/>
              <w:rPr>
                <w:sz w:val="21"/>
              </w:rPr>
            </w:pPr>
            <w:r>
              <w:rPr>
                <w:sz w:val="21"/>
              </w:rPr>
              <w:t>指标信息是指税务检查信息等纳税人在评价年度内不经常产生的指标信息。</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2" w:line="250" w:lineRule="exact"/>
              <w:ind w:left="0" w:right="98"/>
              <w:jc w:val="right"/>
              <w:rPr>
                <w:sz w:val="21"/>
              </w:rPr>
            </w:pPr>
            <w:r>
              <w:rPr>
                <w:w w:val="95"/>
                <w:sz w:val="21"/>
              </w:rPr>
              <w:t>外部信息包括外部参考信息和外部评价信息。外部参考信息包括评价年度相关部门评定的优良信用记录</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line="261" w:lineRule="exact"/>
              <w:rPr>
                <w:sz w:val="21"/>
              </w:rPr>
            </w:pPr>
            <w:r>
              <w:rPr>
                <w:sz w:val="21"/>
              </w:rPr>
              <w:t>和不良信用记录；外部评价信息是指从相关部门取得的影响纳税人纳税信用评价的指标信息。</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384" w:type="dxa"/>
            <w:tcBorders>
              <w:top w:val="nil"/>
              <w:bottom w:val="nil"/>
            </w:tcBorders>
          </w:tcPr>
          <w:p>
            <w:pPr>
              <w:pStyle w:val="9"/>
              <w:ind w:left="0"/>
              <w:rPr>
                <w:rFonts w:ascii="Times New Roman"/>
                <w:sz w:val="20"/>
              </w:rPr>
            </w:pPr>
          </w:p>
        </w:tc>
        <w:tc>
          <w:tcPr>
            <w:tcW w:w="10064" w:type="dxa"/>
            <w:tcBorders>
              <w:top w:val="nil"/>
              <w:bottom w:val="nil"/>
            </w:tcBorders>
          </w:tcPr>
          <w:p>
            <w:pPr>
              <w:pStyle w:val="9"/>
              <w:spacing w:before="11"/>
              <w:ind w:left="0" w:right="98"/>
              <w:jc w:val="right"/>
              <w:rPr>
                <w:sz w:val="21"/>
              </w:rPr>
            </w:pPr>
            <w:r>
              <w:rPr>
                <w:sz w:val="21"/>
              </w:rPr>
              <w:t>第十四条 本办法第十条第四款外部信息主要通过税务管理系统、国家统一信用信息平台、相关部门官</w:t>
            </w:r>
          </w:p>
        </w:tc>
        <w:tc>
          <w:tcPr>
            <w:tcW w:w="2500" w:type="dxa"/>
            <w:tcBorders>
              <w:top w:val="nil"/>
              <w:bottom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84" w:type="dxa"/>
            <w:tcBorders>
              <w:top w:val="nil"/>
            </w:tcBorders>
          </w:tcPr>
          <w:p>
            <w:pPr>
              <w:pStyle w:val="9"/>
              <w:ind w:left="0"/>
              <w:rPr>
                <w:rFonts w:ascii="Times New Roman"/>
                <w:sz w:val="20"/>
              </w:rPr>
            </w:pPr>
          </w:p>
        </w:tc>
        <w:tc>
          <w:tcPr>
            <w:tcW w:w="10064" w:type="dxa"/>
            <w:tcBorders>
              <w:top w:val="nil"/>
            </w:tcBorders>
          </w:tcPr>
          <w:p>
            <w:pPr>
              <w:pStyle w:val="9"/>
              <w:spacing w:before="21"/>
              <w:rPr>
                <w:sz w:val="21"/>
              </w:rPr>
            </w:pPr>
            <w:r>
              <w:rPr>
                <w:sz w:val="21"/>
              </w:rPr>
              <w:t>方网站、新闻媒体或者媒介等渠道采集。通过新闻媒体或者媒介采集的信息应核实后使用。</w:t>
            </w:r>
          </w:p>
        </w:tc>
        <w:tc>
          <w:tcPr>
            <w:tcW w:w="2500" w:type="dxa"/>
            <w:tcBorders>
              <w:top w:val="nil"/>
            </w:tcBorders>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384" w:type="dxa"/>
            <w:tcBorders>
              <w:bottom w:val="nil"/>
            </w:tcBorders>
          </w:tcPr>
          <w:p>
            <w:pPr>
              <w:pStyle w:val="9"/>
              <w:spacing w:before="1"/>
              <w:ind w:left="107"/>
              <w:rPr>
                <w:sz w:val="21"/>
              </w:rPr>
            </w:pPr>
            <w:r>
              <w:rPr>
                <w:rFonts w:ascii="Times New Roman" w:eastAsia="Times New Roman"/>
                <w:spacing w:val="5"/>
                <w:w w:val="95"/>
                <w:sz w:val="21"/>
              </w:rPr>
              <w:t>33.</w:t>
            </w:r>
            <w:r>
              <w:rPr>
                <w:spacing w:val="12"/>
                <w:w w:val="95"/>
                <w:sz w:val="21"/>
              </w:rPr>
              <w:t>按程序及</w:t>
            </w:r>
          </w:p>
          <w:p>
            <w:pPr>
              <w:pStyle w:val="9"/>
              <w:spacing w:before="2" w:line="247" w:lineRule="exact"/>
              <w:ind w:left="107"/>
              <w:rPr>
                <w:sz w:val="21"/>
              </w:rPr>
            </w:pPr>
            <w:r>
              <w:rPr>
                <w:spacing w:val="24"/>
                <w:w w:val="95"/>
                <w:sz w:val="21"/>
              </w:rPr>
              <w:t>时撤销相关</w:t>
            </w:r>
          </w:p>
        </w:tc>
        <w:tc>
          <w:tcPr>
            <w:tcW w:w="10064" w:type="dxa"/>
            <w:vMerge w:val="restart"/>
          </w:tcPr>
          <w:p>
            <w:pPr>
              <w:pStyle w:val="9"/>
              <w:spacing w:before="20"/>
              <w:rPr>
                <w:b/>
                <w:sz w:val="21"/>
              </w:rPr>
            </w:pPr>
            <w:r>
              <w:rPr>
                <w:b/>
                <w:sz w:val="21"/>
              </w:rPr>
              <w:t>《关于印发</w:t>
            </w:r>
            <w:r>
              <w:rPr>
                <w:rFonts w:ascii="Times New Roman" w:eastAsia="Times New Roman"/>
                <w:b/>
                <w:sz w:val="21"/>
              </w:rPr>
              <w:t>&lt;</w:t>
            </w:r>
            <w:r>
              <w:rPr>
                <w:b/>
                <w:sz w:val="21"/>
              </w:rPr>
              <w:t>全国道德模范荣誉称号管理暂行办法</w:t>
            </w:r>
            <w:r>
              <w:rPr>
                <w:rFonts w:ascii="Times New Roman" w:eastAsia="Times New Roman"/>
                <w:b/>
                <w:sz w:val="21"/>
              </w:rPr>
              <w:t>&gt;</w:t>
            </w:r>
            <w:r>
              <w:rPr>
                <w:b/>
                <w:sz w:val="21"/>
              </w:rPr>
              <w:t>的通知》（文明委〔</w:t>
            </w:r>
            <w:r>
              <w:rPr>
                <w:rFonts w:ascii="Times New Roman" w:eastAsia="Times New Roman"/>
                <w:b/>
                <w:sz w:val="21"/>
              </w:rPr>
              <w:t>2015</w:t>
            </w:r>
            <w:r>
              <w:rPr>
                <w:b/>
                <w:sz w:val="21"/>
              </w:rPr>
              <w:t>〕</w:t>
            </w:r>
            <w:r>
              <w:rPr>
                <w:rFonts w:ascii="Times New Roman" w:eastAsia="Times New Roman"/>
                <w:b/>
                <w:sz w:val="21"/>
              </w:rPr>
              <w:t xml:space="preserve">6 </w:t>
            </w:r>
            <w:r>
              <w:rPr>
                <w:b/>
                <w:sz w:val="21"/>
              </w:rPr>
              <w:t>号）</w:t>
            </w:r>
          </w:p>
          <w:p>
            <w:pPr>
              <w:pStyle w:val="9"/>
              <w:spacing w:before="43" w:line="278" w:lineRule="auto"/>
              <w:ind w:right="98" w:firstLine="420"/>
              <w:rPr>
                <w:sz w:val="21"/>
              </w:rPr>
            </w:pPr>
            <w:r>
              <w:rPr>
                <w:sz w:val="21"/>
              </w:rPr>
              <w:t>第七条 全国道德模范及提名奖获得者产生道德滑坡，有下列情形之一的，所在属地管理责任部门向中央文明办提交调查报告，经中央文明办批准后撤销荣誉称号，收回奖章和证书。</w:t>
            </w:r>
          </w:p>
          <w:p>
            <w:pPr>
              <w:pStyle w:val="9"/>
              <w:spacing w:line="269" w:lineRule="exact"/>
              <w:ind w:left="528"/>
              <w:rPr>
                <w:sz w:val="21"/>
              </w:rPr>
            </w:pPr>
            <w:r>
              <w:rPr>
                <w:sz w:val="21"/>
              </w:rPr>
              <w:t>（三）生产经营活动严重失信的；</w:t>
            </w:r>
          </w:p>
          <w:p>
            <w:pPr>
              <w:pStyle w:val="9"/>
              <w:spacing w:before="43"/>
              <w:ind w:left="528"/>
              <w:rPr>
                <w:sz w:val="21"/>
              </w:rPr>
            </w:pPr>
            <w:r>
              <w:rPr>
                <w:sz w:val="21"/>
              </w:rPr>
              <w:t>（四）违反环境保护、计划生育、民族团结和税务、工商、安全生产政策法规的；</w:t>
            </w:r>
          </w:p>
          <w:p>
            <w:pPr>
              <w:pStyle w:val="9"/>
              <w:spacing w:before="43" w:line="278" w:lineRule="auto"/>
              <w:ind w:left="528" w:right="98" w:hanging="420"/>
              <w:rPr>
                <w:sz w:val="21"/>
              </w:rPr>
            </w:pPr>
            <w:r>
              <w:rPr>
                <w:b/>
                <w:spacing w:val="-3"/>
                <w:sz w:val="21"/>
              </w:rPr>
              <w:t>《全国五一劳动奖状全国五一劳动奖章全国工人先锋号评选管理工作暂行办法》</w:t>
            </w:r>
            <w:r>
              <w:rPr>
                <w:b/>
                <w:sz w:val="21"/>
              </w:rPr>
              <w:t>（总工发〔</w:t>
            </w:r>
            <w:r>
              <w:rPr>
                <w:rFonts w:ascii="Times New Roman" w:eastAsia="Times New Roman"/>
                <w:b/>
                <w:spacing w:val="-3"/>
                <w:sz w:val="21"/>
              </w:rPr>
              <w:t>2011</w:t>
            </w:r>
            <w:r>
              <w:rPr>
                <w:b/>
                <w:sz w:val="21"/>
              </w:rPr>
              <w:t>〕</w:t>
            </w:r>
            <w:r>
              <w:rPr>
                <w:rFonts w:ascii="Times New Roman" w:eastAsia="Times New Roman"/>
                <w:b/>
                <w:sz w:val="21"/>
              </w:rPr>
              <w:t>77</w:t>
            </w:r>
            <w:r>
              <w:rPr>
                <w:rFonts w:ascii="Times New Roman" w:eastAsia="Times New Roman"/>
                <w:b/>
                <w:spacing w:val="7"/>
                <w:sz w:val="21"/>
              </w:rPr>
              <w:t xml:space="preserve"> </w:t>
            </w:r>
            <w:r>
              <w:rPr>
                <w:b/>
                <w:sz w:val="21"/>
              </w:rPr>
              <w:t xml:space="preserve">号） </w:t>
            </w:r>
            <w:r>
              <w:rPr>
                <w:sz w:val="21"/>
              </w:rPr>
              <w:t>第七条 评选全国五一劳动奖状、全国五一劳动奖章、全国工人先锋号要面向基层、面向一线职工，坚</w:t>
            </w:r>
          </w:p>
          <w:p>
            <w:pPr>
              <w:pStyle w:val="9"/>
              <w:spacing w:line="269" w:lineRule="exact"/>
              <w:rPr>
                <w:sz w:val="21"/>
              </w:rPr>
            </w:pPr>
            <w:r>
              <w:rPr>
                <w:sz w:val="21"/>
              </w:rPr>
              <w:t>持公开、公平、公正的原则，严格推荐评选审批程序，接受群众监督。</w:t>
            </w:r>
          </w:p>
          <w:p>
            <w:pPr>
              <w:pStyle w:val="9"/>
              <w:spacing w:before="43" w:line="278" w:lineRule="auto"/>
              <w:ind w:right="96" w:firstLine="420"/>
              <w:jc w:val="both"/>
              <w:rPr>
                <w:sz w:val="21"/>
              </w:rPr>
            </w:pPr>
            <w:r>
              <w:rPr>
                <w:w w:val="95"/>
                <w:sz w:val="21"/>
              </w:rPr>
              <w:t>（四</w:t>
            </w:r>
            <w:r>
              <w:rPr>
                <w:spacing w:val="-3"/>
                <w:w w:val="95"/>
                <w:sz w:val="21"/>
              </w:rPr>
              <w:t>）有拖欠职工工资，欠缴职工养老、工伤、医疗、失业、生育保险，违反国家计划生育政策，未组</w:t>
            </w:r>
            <w:r>
              <w:rPr>
                <w:spacing w:val="-5"/>
                <w:w w:val="95"/>
                <w:sz w:val="21"/>
              </w:rPr>
              <w:t>建工会，未建立职代会和集体合同制度，劳动关系不和谐，能源消耗超标，环境污染严重等情形之一的企业</w:t>
            </w:r>
            <w:r>
              <w:rPr>
                <w:spacing w:val="-7"/>
                <w:w w:val="95"/>
                <w:sz w:val="21"/>
              </w:rPr>
              <w:t>和企业负责人当年不得申报全国五一劳动奖状、全国五一劳动奖章。发生安全生产事故、严重职业危害或群</w:t>
            </w:r>
            <w:r>
              <w:rPr>
                <w:spacing w:val="-7"/>
                <w:sz w:val="21"/>
              </w:rPr>
              <w:t>体性事件的企业和企业负责人自事发起三年内不得申报全国五一劳动奖状、全国五一劳动奖章。</w:t>
            </w:r>
          </w:p>
          <w:p>
            <w:pPr>
              <w:pStyle w:val="9"/>
              <w:spacing w:line="269" w:lineRule="exact"/>
              <w:jc w:val="both"/>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2" w:line="310" w:lineRule="atLeast"/>
              <w:ind w:right="96" w:firstLine="420"/>
              <w:jc w:val="both"/>
              <w:rPr>
                <w:sz w:val="21"/>
              </w:rPr>
            </w:pPr>
            <w:r>
              <w:rPr>
                <w:spacing w:val="-2"/>
                <w:w w:val="95"/>
                <w:sz w:val="21"/>
              </w:rPr>
              <w:t>建立健全守信激励和失信惩戒机制。将市场主体的信用信息作为实施行政管理的重要参考。根据市场主</w:t>
            </w:r>
            <w:r>
              <w:rPr>
                <w:spacing w:val="-5"/>
                <w:w w:val="95"/>
                <w:sz w:val="21"/>
              </w:rPr>
              <w:t>体信用状况实行分类分级、动态监管，建立健全经营异常名录制度，对违背市场竞争原则和侵犯消费者、劳动者合法权益的市场主体建立</w:t>
            </w:r>
            <w:r>
              <w:rPr>
                <w:rFonts w:ascii="Times New Roman" w:hAnsi="Times New Roman" w:eastAsia="Times New Roman"/>
                <w:spacing w:val="-5"/>
                <w:w w:val="95"/>
                <w:sz w:val="21"/>
              </w:rPr>
              <w:t>“</w:t>
            </w:r>
            <w:r>
              <w:rPr>
                <w:spacing w:val="-5"/>
                <w:w w:val="95"/>
                <w:sz w:val="21"/>
              </w:rPr>
              <w:t>黑名单</w:t>
            </w:r>
            <w:r>
              <w:rPr>
                <w:rFonts w:ascii="Times New Roman" w:hAnsi="Times New Roman" w:eastAsia="Times New Roman"/>
                <w:spacing w:val="3"/>
                <w:w w:val="95"/>
                <w:sz w:val="21"/>
              </w:rPr>
              <w:t>”</w:t>
            </w:r>
            <w:r>
              <w:rPr>
                <w:w w:val="95"/>
                <w:sz w:val="21"/>
              </w:rPr>
              <w:t>制度。对守信主体予以支持和激励，对失信主体在经营、投融资、取</w:t>
            </w:r>
          </w:p>
        </w:tc>
        <w:tc>
          <w:tcPr>
            <w:tcW w:w="2500" w:type="dxa"/>
            <w:vMerge w:val="restart"/>
          </w:tcPr>
          <w:p>
            <w:pPr>
              <w:pStyle w:val="9"/>
              <w:spacing w:before="20" w:line="278" w:lineRule="auto"/>
              <w:ind w:left="618" w:right="611"/>
              <w:jc w:val="both"/>
              <w:rPr>
                <w:sz w:val="21"/>
              </w:rPr>
            </w:pPr>
            <w:r>
              <w:rPr>
                <w:sz w:val="21"/>
              </w:rPr>
              <w:t>中央文明办、全国总工会、共青团中央、</w:t>
            </w:r>
          </w:p>
          <w:p>
            <w:pPr>
              <w:pStyle w:val="9"/>
              <w:spacing w:line="269" w:lineRule="exact"/>
              <w:ind w:left="304"/>
              <w:rPr>
                <w:sz w:val="21"/>
              </w:rPr>
            </w:pPr>
            <w:r>
              <w:rPr>
                <w:sz w:val="21"/>
              </w:rPr>
              <w:t>全国妇联等有关部门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荣誉，取消惩</w:t>
            </w:r>
          </w:p>
        </w:tc>
        <w:tc>
          <w:tcPr>
            <w:tcW w:w="10064" w:type="dxa"/>
            <w:vMerge w:val="continue"/>
            <w:tcBorders>
              <w:top w:val="nil"/>
            </w:tcBorders>
          </w:tcPr>
          <w:p>
            <w:pPr>
              <w:rPr>
                <w:sz w:val="2"/>
                <w:szCs w:val="2"/>
              </w:rPr>
            </w:pP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戒对象参加</w:t>
            </w:r>
          </w:p>
        </w:tc>
        <w:tc>
          <w:tcPr>
            <w:tcW w:w="10064" w:type="dxa"/>
            <w:vMerge w:val="continue"/>
            <w:tcBorders>
              <w:top w:val="nil"/>
            </w:tcBorders>
          </w:tcPr>
          <w:p>
            <w:pPr>
              <w:rPr>
                <w:sz w:val="2"/>
                <w:szCs w:val="2"/>
              </w:rPr>
            </w:pP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评先评优资</w:t>
            </w:r>
          </w:p>
        </w:tc>
        <w:tc>
          <w:tcPr>
            <w:tcW w:w="10064" w:type="dxa"/>
            <w:vMerge w:val="continue"/>
            <w:tcBorders>
              <w:top w:val="nil"/>
            </w:tcBorders>
          </w:tcPr>
          <w:p>
            <w:pPr>
              <w:rPr>
                <w:sz w:val="2"/>
                <w:szCs w:val="2"/>
              </w:rPr>
            </w:pP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格，不得向惩</w:t>
            </w:r>
          </w:p>
        </w:tc>
        <w:tc>
          <w:tcPr>
            <w:tcW w:w="10064" w:type="dxa"/>
            <w:vMerge w:val="continue"/>
            <w:tcBorders>
              <w:top w:val="nil"/>
            </w:tcBorders>
          </w:tcPr>
          <w:p>
            <w:pPr>
              <w:rPr>
                <w:sz w:val="2"/>
                <w:szCs w:val="2"/>
              </w:rPr>
            </w:pPr>
          </w:p>
        </w:tc>
        <w:tc>
          <w:tcPr>
            <w:tcW w:w="2500"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1" w:hRule="atLeast"/>
        </w:trPr>
        <w:tc>
          <w:tcPr>
            <w:tcW w:w="1384" w:type="dxa"/>
            <w:tcBorders>
              <w:top w:val="nil"/>
            </w:tcBorders>
          </w:tcPr>
          <w:p>
            <w:pPr>
              <w:pStyle w:val="9"/>
              <w:spacing w:line="242" w:lineRule="auto"/>
              <w:ind w:left="107" w:right="95"/>
              <w:jc w:val="both"/>
              <w:rPr>
                <w:sz w:val="21"/>
              </w:rPr>
            </w:pPr>
            <w:r>
              <w:rPr>
                <w:spacing w:val="21"/>
                <w:sz w:val="21"/>
              </w:rPr>
              <w:t>戒对象授予</w:t>
            </w:r>
            <w:r>
              <w:rPr>
                <w:rFonts w:ascii="Times New Roman" w:hAnsi="Times New Roman" w:eastAsia="Times New Roman"/>
                <w:sz w:val="21"/>
              </w:rPr>
              <w:t xml:space="preserve">“ </w:t>
            </w:r>
            <w:r>
              <w:rPr>
                <w:spacing w:val="-10"/>
                <w:sz w:val="21"/>
              </w:rPr>
              <w:t>文 明 单</w:t>
            </w:r>
            <w:r>
              <w:rPr>
                <w:spacing w:val="35"/>
                <w:sz w:val="21"/>
              </w:rPr>
              <w:t>位</w:t>
            </w:r>
            <w:r>
              <w:rPr>
                <w:rFonts w:ascii="Times New Roman" w:hAnsi="Times New Roman" w:eastAsia="Times New Roman"/>
                <w:spacing w:val="-7"/>
                <w:sz w:val="21"/>
              </w:rPr>
              <w:t xml:space="preserve">”“ </w:t>
            </w:r>
            <w:r>
              <w:rPr>
                <w:spacing w:val="19"/>
                <w:sz w:val="21"/>
              </w:rPr>
              <w:t>道德模</w:t>
            </w:r>
          </w:p>
          <w:p>
            <w:pPr>
              <w:pStyle w:val="9"/>
              <w:ind w:left="107"/>
              <w:jc w:val="both"/>
              <w:rPr>
                <w:sz w:val="21"/>
              </w:rPr>
            </w:pPr>
            <w:r>
              <w:rPr>
                <w:spacing w:val="35"/>
                <w:sz w:val="21"/>
              </w:rPr>
              <w:t>范</w:t>
            </w:r>
            <w:r>
              <w:rPr>
                <w:rFonts w:ascii="Times New Roman" w:hAnsi="Times New Roman" w:eastAsia="Times New Roman"/>
                <w:spacing w:val="-8"/>
                <w:sz w:val="21"/>
              </w:rPr>
              <w:t xml:space="preserve">”“ </w:t>
            </w:r>
            <w:r>
              <w:rPr>
                <w:spacing w:val="24"/>
                <w:sz w:val="21"/>
              </w:rPr>
              <w:t>劳动模</w:t>
            </w:r>
          </w:p>
          <w:p>
            <w:pPr>
              <w:pStyle w:val="9"/>
              <w:spacing w:before="2"/>
              <w:ind w:left="107"/>
              <w:jc w:val="both"/>
              <w:rPr>
                <w:sz w:val="21"/>
              </w:rPr>
            </w:pPr>
            <w:r>
              <w:rPr>
                <w:spacing w:val="35"/>
                <w:sz w:val="21"/>
              </w:rPr>
              <w:t>范</w:t>
            </w:r>
            <w:r>
              <w:rPr>
                <w:rFonts w:ascii="Times New Roman" w:hAnsi="Times New Roman" w:eastAsia="Times New Roman"/>
                <w:spacing w:val="-8"/>
                <w:sz w:val="21"/>
              </w:rPr>
              <w:t xml:space="preserve">”“ </w:t>
            </w:r>
            <w:r>
              <w:rPr>
                <w:spacing w:val="24"/>
                <w:sz w:val="21"/>
              </w:rPr>
              <w:t>五一劳</w:t>
            </w:r>
          </w:p>
          <w:p>
            <w:pPr>
              <w:pStyle w:val="9"/>
              <w:spacing w:before="2" w:line="242" w:lineRule="auto"/>
              <w:ind w:left="107" w:right="95"/>
              <w:jc w:val="both"/>
              <w:rPr>
                <w:sz w:val="21"/>
              </w:rPr>
            </w:pPr>
            <w:r>
              <w:rPr>
                <w:sz w:val="21"/>
              </w:rPr>
              <w:t>动奖</w:t>
            </w:r>
            <w:r>
              <w:rPr>
                <w:rFonts w:ascii="Times New Roman" w:hAnsi="Times New Roman" w:eastAsia="Times New Roman"/>
                <w:sz w:val="21"/>
              </w:rPr>
              <w:t xml:space="preserve">”“ </w:t>
            </w:r>
            <w:r>
              <w:rPr>
                <w:sz w:val="21"/>
              </w:rPr>
              <w:t>工人先锋号</w:t>
            </w:r>
            <w:r>
              <w:rPr>
                <w:rFonts w:ascii="Times New Roman" w:hAnsi="Times New Roman" w:eastAsia="Times New Roman"/>
                <w:sz w:val="21"/>
              </w:rPr>
              <w:t>”</w:t>
            </w:r>
            <w:r>
              <w:rPr>
                <w:sz w:val="21"/>
              </w:rPr>
              <w:t>等荣誉。</w:t>
            </w:r>
          </w:p>
        </w:tc>
        <w:tc>
          <w:tcPr>
            <w:tcW w:w="10064" w:type="dxa"/>
            <w:vMerge w:val="continue"/>
            <w:tcBorders>
              <w:top w:val="nil"/>
            </w:tcBorders>
          </w:tcPr>
          <w:p>
            <w:pPr>
              <w:rPr>
                <w:sz w:val="2"/>
                <w:szCs w:val="2"/>
              </w:rPr>
            </w:pPr>
          </w:p>
        </w:tc>
        <w:tc>
          <w:tcPr>
            <w:tcW w:w="2500" w:type="dxa"/>
            <w:vMerge w:val="continue"/>
            <w:tcBorders>
              <w:top w:val="nil"/>
            </w:tcBorders>
          </w:tcPr>
          <w:p>
            <w:pPr>
              <w:rPr>
                <w:sz w:val="2"/>
                <w:szCs w:val="2"/>
              </w:rPr>
            </w:pPr>
          </w:p>
        </w:tc>
      </w:tr>
    </w:tbl>
    <w:p>
      <w:pPr>
        <w:spacing w:after="0"/>
        <w:rPr>
          <w:sz w:val="2"/>
          <w:szCs w:val="2"/>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84" w:type="dxa"/>
          </w:tcPr>
          <w:p>
            <w:pPr>
              <w:pStyle w:val="9"/>
              <w:ind w:left="0"/>
              <w:rPr>
                <w:rFonts w:ascii="Times New Roman"/>
                <w:sz w:val="20"/>
              </w:rPr>
            </w:pPr>
          </w:p>
        </w:tc>
        <w:tc>
          <w:tcPr>
            <w:tcW w:w="10064" w:type="dxa"/>
          </w:tcPr>
          <w:p>
            <w:pPr>
              <w:pStyle w:val="9"/>
              <w:spacing w:before="21"/>
              <w:ind w:right="-15"/>
              <w:rPr>
                <w:sz w:val="21"/>
              </w:rPr>
            </w:pPr>
            <w:r>
              <w:rPr>
                <w:spacing w:val="-10"/>
                <w:w w:val="95"/>
                <w:sz w:val="21"/>
              </w:rPr>
              <w:t>得政府供应土地、进出口、出入境、注册新公司、工程招投标、政府采购、获得荣誉、安全许可、生产许可、</w:t>
            </w:r>
            <w:r>
              <w:rPr>
                <w:sz w:val="21"/>
              </w:rPr>
              <w:t>从业任职资格、资质审核等方面依法予以限制或禁止，对严重违法失信主体实行市场禁入制度。</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384" w:type="dxa"/>
            <w:tcBorders>
              <w:bottom w:val="nil"/>
            </w:tcBorders>
          </w:tcPr>
          <w:p>
            <w:pPr>
              <w:pStyle w:val="9"/>
              <w:spacing w:before="1"/>
              <w:ind w:left="107"/>
              <w:rPr>
                <w:sz w:val="21"/>
              </w:rPr>
            </w:pPr>
            <w:r>
              <w:rPr>
                <w:rFonts w:ascii="Times New Roman" w:eastAsia="Times New Roman"/>
                <w:spacing w:val="5"/>
                <w:w w:val="95"/>
                <w:sz w:val="21"/>
              </w:rPr>
              <w:t>34.</w:t>
            </w:r>
            <w:r>
              <w:rPr>
                <w:spacing w:val="12"/>
                <w:w w:val="95"/>
                <w:sz w:val="21"/>
              </w:rPr>
              <w:t>限制招录</w:t>
            </w:r>
          </w:p>
          <w:p>
            <w:pPr>
              <w:pStyle w:val="9"/>
              <w:spacing w:before="2"/>
              <w:ind w:left="107"/>
              <w:rPr>
                <w:sz w:val="21"/>
              </w:rPr>
            </w:pPr>
            <w:r>
              <w:rPr>
                <w:w w:val="95"/>
                <w:sz w:val="21"/>
              </w:rPr>
              <w:t>（聘</w:t>
            </w:r>
            <w:r>
              <w:rPr>
                <w:spacing w:val="-92"/>
                <w:w w:val="95"/>
                <w:sz w:val="21"/>
              </w:rPr>
              <w:t>）</w:t>
            </w:r>
            <w:r>
              <w:rPr>
                <w:w w:val="95"/>
                <w:sz w:val="21"/>
              </w:rPr>
              <w:t>为公务</w:t>
            </w:r>
          </w:p>
        </w:tc>
        <w:tc>
          <w:tcPr>
            <w:tcW w:w="10064" w:type="dxa"/>
            <w:vMerge w:val="restart"/>
          </w:tcPr>
          <w:p>
            <w:pPr>
              <w:pStyle w:val="9"/>
              <w:spacing w:before="20"/>
              <w:rPr>
                <w:b/>
                <w:sz w:val="21"/>
              </w:rPr>
            </w:pPr>
            <w:r>
              <w:rPr>
                <w:b/>
                <w:sz w:val="21"/>
              </w:rPr>
              <w:t>《中华人民共和国公务员法》</w:t>
            </w:r>
          </w:p>
          <w:p>
            <w:pPr>
              <w:pStyle w:val="9"/>
              <w:spacing w:before="43"/>
              <w:ind w:left="528"/>
              <w:rPr>
                <w:sz w:val="21"/>
              </w:rPr>
            </w:pPr>
            <w:r>
              <w:rPr>
                <w:sz w:val="21"/>
              </w:rPr>
              <w:t>第十一条 公务员应当具备下列条件：</w:t>
            </w:r>
          </w:p>
          <w:p>
            <w:pPr>
              <w:pStyle w:val="9"/>
              <w:spacing w:before="43"/>
              <w:ind w:left="528"/>
              <w:rPr>
                <w:sz w:val="21"/>
              </w:rPr>
            </w:pPr>
            <w:r>
              <w:rPr>
                <w:sz w:val="21"/>
              </w:rPr>
              <w:t>（一）具有中华人民共和国国籍；</w:t>
            </w:r>
          </w:p>
          <w:p>
            <w:pPr>
              <w:pStyle w:val="9"/>
              <w:spacing w:before="43"/>
              <w:ind w:left="528"/>
              <w:rPr>
                <w:sz w:val="21"/>
              </w:rPr>
            </w:pPr>
            <w:r>
              <w:rPr>
                <w:sz w:val="21"/>
              </w:rPr>
              <w:t>（二）年满十八周岁；</w:t>
            </w:r>
          </w:p>
          <w:p>
            <w:pPr>
              <w:pStyle w:val="9"/>
              <w:spacing w:before="43"/>
              <w:ind w:left="528"/>
              <w:rPr>
                <w:sz w:val="21"/>
              </w:rPr>
            </w:pPr>
            <w:r>
              <w:rPr>
                <w:sz w:val="21"/>
              </w:rPr>
              <w:t>（三）拥护中华人民共和国宪法；</w:t>
            </w:r>
          </w:p>
          <w:p>
            <w:pPr>
              <w:pStyle w:val="9"/>
              <w:spacing w:before="43"/>
              <w:ind w:left="528"/>
              <w:rPr>
                <w:sz w:val="21"/>
              </w:rPr>
            </w:pPr>
            <w:r>
              <w:rPr>
                <w:sz w:val="21"/>
              </w:rPr>
              <w:t>（四）具有良好的品行；</w:t>
            </w:r>
          </w:p>
          <w:p>
            <w:pPr>
              <w:pStyle w:val="9"/>
              <w:spacing w:before="43"/>
              <w:ind w:left="528"/>
              <w:rPr>
                <w:sz w:val="21"/>
              </w:rPr>
            </w:pPr>
            <w:r>
              <w:rPr>
                <w:sz w:val="21"/>
              </w:rPr>
              <w:t>（五）具有正常履行职责的身体条件；</w:t>
            </w:r>
          </w:p>
          <w:p>
            <w:pPr>
              <w:pStyle w:val="9"/>
              <w:spacing w:before="43"/>
              <w:ind w:left="528"/>
              <w:rPr>
                <w:sz w:val="21"/>
              </w:rPr>
            </w:pPr>
            <w:r>
              <w:rPr>
                <w:sz w:val="21"/>
              </w:rPr>
              <w:t>（六）具有符合职位要求的文化程度和工作能力；</w:t>
            </w:r>
          </w:p>
          <w:p>
            <w:pPr>
              <w:pStyle w:val="9"/>
              <w:spacing w:before="43"/>
              <w:ind w:left="528"/>
              <w:rPr>
                <w:sz w:val="21"/>
              </w:rPr>
            </w:pPr>
            <w:r>
              <w:rPr>
                <w:w w:val="95"/>
                <w:sz w:val="21"/>
              </w:rPr>
              <w:t>（七）法律规定的其他条件。</w:t>
            </w:r>
          </w:p>
          <w:p>
            <w:pPr>
              <w:pStyle w:val="9"/>
              <w:spacing w:before="43" w:line="278" w:lineRule="auto"/>
              <w:ind w:right="98" w:firstLine="420"/>
              <w:rPr>
                <w:sz w:val="21"/>
              </w:rPr>
            </w:pPr>
            <w:r>
              <w:rPr>
                <w:sz w:val="21"/>
              </w:rPr>
              <w:t>第二十一条 录用担任主任科员以下及其他相当职务层次的非领导职务公务员，采取公开考试、严格考察、平等竞争、择优录取的办法。</w:t>
            </w:r>
          </w:p>
          <w:p>
            <w:pPr>
              <w:pStyle w:val="9"/>
              <w:spacing w:line="269" w:lineRule="exact"/>
              <w:rPr>
                <w:b/>
                <w:sz w:val="21"/>
              </w:rPr>
            </w:pPr>
            <w:r>
              <w:rPr>
                <w:b/>
                <w:sz w:val="21"/>
              </w:rPr>
              <w:t>《事业单位公开招聘人员暂行规定》</w:t>
            </w:r>
          </w:p>
          <w:p>
            <w:pPr>
              <w:pStyle w:val="9"/>
              <w:spacing w:before="43"/>
              <w:ind w:left="528"/>
              <w:rPr>
                <w:sz w:val="21"/>
              </w:rPr>
            </w:pPr>
            <w:r>
              <w:rPr>
                <w:sz w:val="21"/>
              </w:rPr>
              <w:t>第九条 应聘人员必须具备下列条件：</w:t>
            </w:r>
          </w:p>
          <w:p>
            <w:pPr>
              <w:pStyle w:val="9"/>
              <w:spacing w:before="43"/>
              <w:ind w:left="528"/>
              <w:rPr>
                <w:sz w:val="21"/>
              </w:rPr>
            </w:pPr>
            <w:r>
              <w:rPr>
                <w:sz w:val="21"/>
              </w:rPr>
              <w:t>（一）具有中华人民共和国国籍；</w:t>
            </w:r>
          </w:p>
          <w:p>
            <w:pPr>
              <w:pStyle w:val="9"/>
              <w:spacing w:before="43"/>
              <w:ind w:left="528"/>
              <w:rPr>
                <w:sz w:val="21"/>
              </w:rPr>
            </w:pPr>
            <w:r>
              <w:rPr>
                <w:w w:val="95"/>
                <w:sz w:val="21"/>
              </w:rPr>
              <w:t>（二）遵守宪法和法律；</w:t>
            </w:r>
          </w:p>
          <w:p>
            <w:pPr>
              <w:pStyle w:val="9"/>
              <w:spacing w:before="43"/>
              <w:ind w:left="528"/>
              <w:rPr>
                <w:sz w:val="21"/>
              </w:rPr>
            </w:pPr>
            <w:r>
              <w:rPr>
                <w:w w:val="95"/>
                <w:sz w:val="21"/>
              </w:rPr>
              <w:t>（三）具有良好的品行；</w:t>
            </w:r>
          </w:p>
          <w:p>
            <w:pPr>
              <w:pStyle w:val="9"/>
              <w:spacing w:before="43"/>
              <w:ind w:left="528"/>
              <w:rPr>
                <w:sz w:val="21"/>
              </w:rPr>
            </w:pPr>
            <w:r>
              <w:rPr>
                <w:sz w:val="21"/>
              </w:rPr>
              <w:t>（四）岗位所需的专业或技能条件；</w:t>
            </w:r>
          </w:p>
          <w:p>
            <w:pPr>
              <w:pStyle w:val="9"/>
              <w:spacing w:before="43"/>
              <w:ind w:left="528"/>
              <w:rPr>
                <w:sz w:val="21"/>
              </w:rPr>
            </w:pPr>
            <w:r>
              <w:rPr>
                <w:sz w:val="21"/>
              </w:rPr>
              <w:t>（五）适应岗位要求的身体条件；</w:t>
            </w:r>
          </w:p>
          <w:p>
            <w:pPr>
              <w:pStyle w:val="9"/>
              <w:spacing w:before="42"/>
              <w:ind w:left="528"/>
              <w:rPr>
                <w:sz w:val="21"/>
              </w:rPr>
            </w:pPr>
            <w:r>
              <w:rPr>
                <w:sz w:val="21"/>
              </w:rPr>
              <w:t>（六）岗位所需要的其他条件。</w:t>
            </w:r>
          </w:p>
        </w:tc>
        <w:tc>
          <w:tcPr>
            <w:tcW w:w="2500" w:type="dxa"/>
            <w:tcBorders>
              <w:bottom w:val="nil"/>
            </w:tcBorders>
          </w:tcPr>
          <w:p>
            <w:pPr>
              <w:pStyle w:val="9"/>
              <w:spacing w:before="20"/>
              <w:ind w:left="76" w:right="71"/>
              <w:jc w:val="center"/>
              <w:rPr>
                <w:sz w:val="21"/>
              </w:rPr>
            </w:pPr>
            <w:r>
              <w:rPr>
                <w:sz w:val="21"/>
              </w:rPr>
              <w:t>中央组织部、</w:t>
            </w:r>
          </w:p>
          <w:p>
            <w:pPr>
              <w:pStyle w:val="9"/>
              <w:spacing w:before="43" w:line="215" w:lineRule="exact"/>
              <w:ind w:left="76" w:right="71"/>
              <w:jc w:val="center"/>
              <w:rPr>
                <w:sz w:val="21"/>
              </w:rPr>
            </w:pPr>
            <w:r>
              <w:rPr>
                <w:sz w:val="21"/>
              </w:rPr>
              <w:t>人力资源社会保障部等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9" w:hRule="atLeast"/>
        </w:trPr>
        <w:tc>
          <w:tcPr>
            <w:tcW w:w="1384" w:type="dxa"/>
            <w:tcBorders>
              <w:top w:val="nil"/>
            </w:tcBorders>
          </w:tcPr>
          <w:p>
            <w:pPr>
              <w:pStyle w:val="9"/>
              <w:spacing w:line="235" w:lineRule="exact"/>
              <w:ind w:left="107"/>
              <w:rPr>
                <w:sz w:val="21"/>
              </w:rPr>
            </w:pPr>
            <w:r>
              <w:rPr>
                <w:sz w:val="21"/>
              </w:rPr>
              <w:t>员或事业单</w:t>
            </w:r>
          </w:p>
          <w:p>
            <w:pPr>
              <w:pStyle w:val="9"/>
              <w:spacing w:before="4"/>
              <w:ind w:left="107"/>
              <w:rPr>
                <w:sz w:val="21"/>
              </w:rPr>
            </w:pPr>
            <w:r>
              <w:rPr>
                <w:sz w:val="21"/>
              </w:rPr>
              <w:t>位工作人员。</w:t>
            </w:r>
          </w:p>
        </w:tc>
        <w:tc>
          <w:tcPr>
            <w:tcW w:w="10064" w:type="dxa"/>
            <w:vMerge w:val="continue"/>
            <w:tcBorders>
              <w:top w:val="nil"/>
            </w:tcBorders>
          </w:tcPr>
          <w:p>
            <w:pPr>
              <w:rPr>
                <w:sz w:val="2"/>
                <w:szCs w:val="2"/>
              </w:rPr>
            </w:pPr>
          </w:p>
        </w:tc>
        <w:tc>
          <w:tcPr>
            <w:tcW w:w="2500" w:type="dxa"/>
            <w:tcBorders>
              <w:top w:val="nil"/>
            </w:tcBorders>
          </w:tcPr>
          <w:p>
            <w:pPr>
              <w:pStyle w:val="9"/>
              <w:spacing w:before="66"/>
              <w:ind w:left="830"/>
              <w:rPr>
                <w:sz w:val="21"/>
              </w:rPr>
            </w:pPr>
            <w:r>
              <w:rPr>
                <w:sz w:val="21"/>
              </w:rPr>
              <w:t>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384" w:type="dxa"/>
            <w:tcBorders>
              <w:bottom w:val="nil"/>
            </w:tcBorders>
          </w:tcPr>
          <w:p>
            <w:pPr>
              <w:pStyle w:val="9"/>
              <w:spacing w:before="1" w:line="242" w:lineRule="auto"/>
              <w:ind w:left="107" w:right="97"/>
              <w:rPr>
                <w:sz w:val="21"/>
              </w:rPr>
            </w:pPr>
            <w:r>
              <w:rPr>
                <w:rFonts w:ascii="Times New Roman" w:eastAsia="Times New Roman"/>
                <w:sz w:val="21"/>
              </w:rPr>
              <w:t>35.</w:t>
            </w:r>
            <w:r>
              <w:rPr>
                <w:sz w:val="21"/>
              </w:rPr>
              <w:t>限制失信当事人担任</w:t>
            </w:r>
          </w:p>
        </w:tc>
        <w:tc>
          <w:tcPr>
            <w:tcW w:w="10064" w:type="dxa"/>
            <w:vMerge w:val="restart"/>
          </w:tcPr>
          <w:p>
            <w:pPr>
              <w:pStyle w:val="9"/>
              <w:spacing w:before="20"/>
              <w:rPr>
                <w:b/>
                <w:sz w:val="21"/>
              </w:rPr>
            </w:pPr>
            <w:r>
              <w:rPr>
                <w:b/>
                <w:sz w:val="21"/>
              </w:rPr>
              <w:t>《中华人民共和国安全生产法》</w:t>
            </w:r>
          </w:p>
          <w:p>
            <w:pPr>
              <w:pStyle w:val="9"/>
              <w:spacing w:before="2" w:line="310" w:lineRule="atLeast"/>
              <w:ind w:right="96" w:firstLine="420"/>
              <w:jc w:val="both"/>
              <w:rPr>
                <w:sz w:val="21"/>
              </w:rPr>
            </w:pPr>
            <w:r>
              <w:rPr>
                <w:sz w:val="21"/>
              </w:rPr>
              <w:t>第八十九条 承担安全评价、认证、检测、检验工作的机构，出具虚假证明的，没收违法所得；违法所</w:t>
            </w:r>
            <w:r>
              <w:rPr>
                <w:spacing w:val="-3"/>
                <w:w w:val="95"/>
                <w:sz w:val="21"/>
              </w:rPr>
              <w:t>得在十万元以上的，并处违法所得二倍以上五倍以下的罚款；没有违法所得或者违法所得不足十万元的，单</w:t>
            </w:r>
            <w:r>
              <w:rPr>
                <w:spacing w:val="-4"/>
                <w:w w:val="95"/>
                <w:sz w:val="21"/>
              </w:rPr>
              <w:t>处或者并处十万元以上二十万元以下的罚款；对其直接负责的主管人员和其他直接责任人员处二万元以上五</w:t>
            </w:r>
            <w:r>
              <w:rPr>
                <w:spacing w:val="-5"/>
                <w:w w:val="95"/>
                <w:sz w:val="21"/>
              </w:rPr>
              <w:t>万元以下的罚款；给他人造成损害的，与生产经营单位承担连带赔偿责任；构成犯罪的，依照刑法有关规定</w:t>
            </w:r>
          </w:p>
        </w:tc>
        <w:tc>
          <w:tcPr>
            <w:tcW w:w="2500" w:type="dxa"/>
            <w:tcBorders>
              <w:bottom w:val="nil"/>
            </w:tcBorders>
          </w:tcPr>
          <w:p>
            <w:pPr>
              <w:pStyle w:val="9"/>
              <w:spacing w:before="20"/>
              <w:ind w:left="107"/>
              <w:rPr>
                <w:sz w:val="21"/>
              </w:rPr>
            </w:pPr>
            <w:r>
              <w:rPr>
                <w:sz w:val="21"/>
              </w:rPr>
              <w:t>国家市场监督管理总局、</w:t>
            </w:r>
          </w:p>
          <w:p>
            <w:pPr>
              <w:pStyle w:val="9"/>
              <w:spacing w:before="43" w:line="217" w:lineRule="exact"/>
              <w:ind w:left="198"/>
              <w:rPr>
                <w:sz w:val="21"/>
              </w:rPr>
            </w:pPr>
            <w:r>
              <w:rPr>
                <w:sz w:val="21"/>
              </w:rPr>
              <w:t>应急管理部等有关部门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 w:hRule="atLeast"/>
        </w:trPr>
        <w:tc>
          <w:tcPr>
            <w:tcW w:w="1384" w:type="dxa"/>
            <w:tcBorders>
              <w:top w:val="nil"/>
              <w:bottom w:val="nil"/>
            </w:tcBorders>
          </w:tcPr>
          <w:p>
            <w:pPr>
              <w:pStyle w:val="9"/>
              <w:spacing w:line="212" w:lineRule="exact"/>
              <w:ind w:left="107"/>
              <w:rPr>
                <w:sz w:val="21"/>
              </w:rPr>
            </w:pPr>
            <w:r>
              <w:rPr>
                <w:sz w:val="21"/>
              </w:rPr>
              <w:t>生产经营单</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1384" w:type="dxa"/>
            <w:tcBorders>
              <w:top w:val="nil"/>
              <w:bottom w:val="nil"/>
            </w:tcBorders>
          </w:tcPr>
          <w:p>
            <w:pPr>
              <w:pStyle w:val="9"/>
              <w:spacing w:line="242" w:lineRule="exact"/>
              <w:ind w:left="107"/>
              <w:rPr>
                <w:sz w:val="21"/>
              </w:rPr>
            </w:pPr>
            <w:r>
              <w:rPr>
                <w:sz w:val="21"/>
              </w:rPr>
              <w:t>位的相关任</w:t>
            </w:r>
          </w:p>
        </w:tc>
        <w:tc>
          <w:tcPr>
            <w:tcW w:w="10064" w:type="dxa"/>
            <w:vMerge w:val="continue"/>
            <w:tcBorders>
              <w:top w:val="nil"/>
            </w:tcBorders>
          </w:tcPr>
          <w:p>
            <w:pPr>
              <w:rPr>
                <w:sz w:val="2"/>
                <w:szCs w:val="2"/>
              </w:rPr>
            </w:pPr>
          </w:p>
        </w:tc>
        <w:tc>
          <w:tcPr>
            <w:tcW w:w="2500" w:type="dxa"/>
            <w:tcBorders>
              <w:top w:val="nil"/>
              <w:bottom w:val="nil"/>
            </w:tcBorders>
          </w:tcPr>
          <w:p>
            <w:pPr>
              <w:pStyle w:val="9"/>
              <w:ind w:left="0"/>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384" w:type="dxa"/>
            <w:tcBorders>
              <w:top w:val="nil"/>
            </w:tcBorders>
          </w:tcPr>
          <w:p>
            <w:pPr>
              <w:pStyle w:val="9"/>
              <w:spacing w:line="266" w:lineRule="exact"/>
              <w:ind w:left="107"/>
              <w:rPr>
                <w:sz w:val="21"/>
              </w:rPr>
            </w:pPr>
            <w:r>
              <w:rPr>
                <w:sz w:val="21"/>
              </w:rPr>
              <w:t>职。</w:t>
            </w:r>
          </w:p>
        </w:tc>
        <w:tc>
          <w:tcPr>
            <w:tcW w:w="10064" w:type="dxa"/>
            <w:vMerge w:val="continue"/>
            <w:tcBorders>
              <w:top w:val="nil"/>
            </w:tcBorders>
          </w:tcPr>
          <w:p>
            <w:pPr>
              <w:rPr>
                <w:sz w:val="2"/>
                <w:szCs w:val="2"/>
              </w:rPr>
            </w:pPr>
          </w:p>
        </w:tc>
        <w:tc>
          <w:tcPr>
            <w:tcW w:w="2500" w:type="dxa"/>
            <w:tcBorders>
              <w:top w:val="nil"/>
            </w:tcBorders>
          </w:tcPr>
          <w:p>
            <w:pPr>
              <w:pStyle w:val="9"/>
              <w:ind w:left="0"/>
              <w:rPr>
                <w:rFonts w:ascii="Times New Roman"/>
                <w:sz w:val="20"/>
              </w:rPr>
            </w:pPr>
          </w:p>
        </w:tc>
      </w:tr>
    </w:tbl>
    <w:p>
      <w:pPr>
        <w:spacing w:after="0"/>
        <w:rPr>
          <w:rFonts w:ascii="Times New Roman"/>
          <w:sz w:val="20"/>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9" w:hRule="atLeast"/>
        </w:trPr>
        <w:tc>
          <w:tcPr>
            <w:tcW w:w="1384" w:type="dxa"/>
          </w:tcPr>
          <w:p>
            <w:pPr>
              <w:pStyle w:val="9"/>
              <w:ind w:left="0"/>
              <w:rPr>
                <w:rFonts w:ascii="Times New Roman"/>
                <w:sz w:val="20"/>
              </w:rPr>
            </w:pPr>
          </w:p>
        </w:tc>
        <w:tc>
          <w:tcPr>
            <w:tcW w:w="10064" w:type="dxa"/>
          </w:tcPr>
          <w:p>
            <w:pPr>
              <w:pStyle w:val="9"/>
              <w:spacing w:before="21"/>
              <w:rPr>
                <w:sz w:val="21"/>
              </w:rPr>
            </w:pPr>
            <w:r>
              <w:rPr>
                <w:sz w:val="21"/>
              </w:rPr>
              <w:t>追究刑事责任。</w:t>
            </w:r>
          </w:p>
          <w:p>
            <w:pPr>
              <w:pStyle w:val="9"/>
              <w:spacing w:before="43"/>
              <w:ind w:left="528"/>
              <w:rPr>
                <w:sz w:val="21"/>
              </w:rPr>
            </w:pPr>
            <w:r>
              <w:rPr>
                <w:sz w:val="21"/>
              </w:rPr>
              <w:t>对有前款违法行为的机构，吊销其相应资质。</w:t>
            </w:r>
          </w:p>
          <w:p>
            <w:pPr>
              <w:pStyle w:val="9"/>
              <w:spacing w:before="43" w:line="278" w:lineRule="auto"/>
              <w:ind w:right="96" w:firstLine="420"/>
              <w:jc w:val="both"/>
              <w:rPr>
                <w:sz w:val="21"/>
              </w:rPr>
            </w:pPr>
            <w:r>
              <w:rPr>
                <w:sz w:val="21"/>
              </w:rPr>
              <w:t>第九十条 生产经营单位的决策机构、主要负责人或者个人经营的投资人不依照本法规定保证安全生产</w:t>
            </w:r>
            <w:r>
              <w:rPr>
                <w:spacing w:val="-4"/>
                <w:w w:val="95"/>
                <w:sz w:val="21"/>
              </w:rPr>
              <w:t>所必需的资金投入，致使生产经营单位不具备安全生产条件的，责令限期改正，提供必需的资金；逾期未改</w:t>
            </w:r>
            <w:r>
              <w:rPr>
                <w:spacing w:val="-4"/>
                <w:sz w:val="21"/>
              </w:rPr>
              <w:t>正的，责令生产经营单位停产停业整顿。</w:t>
            </w:r>
          </w:p>
          <w:p>
            <w:pPr>
              <w:pStyle w:val="9"/>
              <w:spacing w:line="278" w:lineRule="auto"/>
              <w:ind w:right="27" w:firstLine="420"/>
              <w:rPr>
                <w:sz w:val="21"/>
              </w:rPr>
            </w:pPr>
            <w:r>
              <w:rPr>
                <w:w w:val="95"/>
                <w:sz w:val="21"/>
              </w:rPr>
              <w:t>有前款违法行为，导致发生生产安全事故的，对生产经营单位的主要负责人给予撤职处分，对个人经营</w:t>
            </w:r>
            <w:r>
              <w:rPr>
                <w:sz w:val="21"/>
              </w:rPr>
              <w:t>的投资人处二万元以上二十万元以下的罚款；构成犯罪的，依照刑法有关规定追究刑事责任。</w:t>
            </w:r>
          </w:p>
          <w:p>
            <w:pPr>
              <w:pStyle w:val="9"/>
              <w:spacing w:line="278" w:lineRule="auto"/>
              <w:ind w:right="39"/>
              <w:rPr>
                <w:sz w:val="21"/>
              </w:rPr>
            </w:pPr>
            <w:r>
              <w:rPr>
                <w:w w:val="95"/>
                <w:sz w:val="21"/>
              </w:rPr>
              <w:t>第九十一条生产经营单位的主要负责人未履行本法规定的安全生产管理职责的，责令限期改正；逾期未改正</w:t>
            </w:r>
            <w:r>
              <w:rPr>
                <w:sz w:val="21"/>
              </w:rPr>
              <w:t>的，处二万元以上五万元以下的罚款，责令生产经营单位停产停业整顿。</w:t>
            </w:r>
          </w:p>
          <w:p>
            <w:pPr>
              <w:pStyle w:val="9"/>
              <w:spacing w:line="278" w:lineRule="auto"/>
              <w:ind w:right="74" w:firstLine="420"/>
              <w:rPr>
                <w:sz w:val="21"/>
              </w:rPr>
            </w:pPr>
            <w:r>
              <w:rPr>
                <w:w w:val="95"/>
                <w:sz w:val="21"/>
              </w:rPr>
              <w:t>生产经营单位的主要负责人有前款违法行为，导致发生生产安全事故的，给予撤职处分；构成犯罪的</w:t>
            </w:r>
            <w:r>
              <w:rPr>
                <w:rFonts w:hint="eastAsia"/>
                <w:w w:val="95"/>
                <w:sz w:val="21"/>
                <w:lang w:eastAsia="zh-CN"/>
              </w:rPr>
              <w:t>，</w:t>
            </w:r>
            <w:r>
              <w:rPr>
                <w:sz w:val="21"/>
              </w:rPr>
              <w:t>依照刑法有关规定追究刑事责任。</w:t>
            </w:r>
          </w:p>
          <w:p>
            <w:pPr>
              <w:pStyle w:val="9"/>
              <w:spacing w:line="278" w:lineRule="auto"/>
              <w:ind w:right="96" w:firstLine="420"/>
              <w:jc w:val="both"/>
              <w:rPr>
                <w:sz w:val="21"/>
              </w:rPr>
            </w:pPr>
            <w:r>
              <w:rPr>
                <w:spacing w:val="-1"/>
                <w:w w:val="95"/>
                <w:sz w:val="21"/>
              </w:rPr>
              <w:t xml:space="preserve">生产经营单位的主要负责人依照前款规定受刑事处罚或者撤职处分的，自刑罚执行完毕或者受处分之日   </w:t>
            </w:r>
            <w:r>
              <w:rPr>
                <w:spacing w:val="-5"/>
                <w:w w:val="95"/>
                <w:sz w:val="21"/>
              </w:rPr>
              <w:t>起，五年内不得担任任何生产经营单位的主要负责人；对重大、特别重大生产安全事故负有责任的，终身不</w:t>
            </w:r>
            <w:r>
              <w:rPr>
                <w:spacing w:val="-5"/>
                <w:sz w:val="21"/>
              </w:rPr>
              <w:t>得担任本行业生产经营单位的主要负责人。</w:t>
            </w:r>
          </w:p>
          <w:p>
            <w:pPr>
              <w:pStyle w:val="9"/>
              <w:spacing w:line="250" w:lineRule="exact"/>
              <w:rPr>
                <w:b/>
                <w:sz w:val="21"/>
              </w:rPr>
            </w:pPr>
            <w:r>
              <w:rPr>
                <w:b/>
                <w:sz w:val="21"/>
              </w:rPr>
              <w:t>《中华人民共和国公司法》</w:t>
            </w:r>
          </w:p>
          <w:p>
            <w:pPr>
              <w:pStyle w:val="9"/>
              <w:spacing w:before="1"/>
              <w:ind w:left="528"/>
              <w:rPr>
                <w:sz w:val="21"/>
              </w:rPr>
            </w:pPr>
            <w:r>
              <w:rPr>
                <w:sz w:val="21"/>
              </w:rPr>
              <w:t>第一百四十六条 有下列情形之一的，不得担任公司的董事、监事、高级管理人员：</w:t>
            </w:r>
          </w:p>
          <w:p>
            <w:pPr>
              <w:pStyle w:val="9"/>
              <w:spacing w:before="2"/>
              <w:ind w:left="528"/>
              <w:rPr>
                <w:sz w:val="21"/>
              </w:rPr>
            </w:pPr>
            <w:r>
              <w:rPr>
                <w:sz w:val="21"/>
              </w:rPr>
              <w:t>（一）无民事行为能力或者限制民事行为能力；</w:t>
            </w:r>
          </w:p>
          <w:p>
            <w:pPr>
              <w:pStyle w:val="9"/>
              <w:spacing w:before="5" w:line="242" w:lineRule="auto"/>
              <w:ind w:right="28" w:firstLine="420"/>
              <w:rPr>
                <w:sz w:val="21"/>
              </w:rPr>
            </w:pPr>
            <w:r>
              <w:rPr>
                <w:w w:val="95"/>
                <w:sz w:val="21"/>
              </w:rPr>
              <w:t>（二）因贪污、贿赂、侵占财产、挪用财产或者破坏社会主义市场经济秩序，被判处刑罚，执行期满未</w:t>
            </w:r>
            <w:r>
              <w:rPr>
                <w:sz w:val="21"/>
              </w:rPr>
              <w:t>逾五年，或者因犯罪被剥夺政治权利，执行期满未逾五年；</w:t>
            </w:r>
          </w:p>
          <w:p>
            <w:pPr>
              <w:pStyle w:val="9"/>
              <w:spacing w:before="1" w:line="242" w:lineRule="auto"/>
              <w:ind w:right="28" w:firstLine="420"/>
              <w:rPr>
                <w:sz w:val="21"/>
              </w:rPr>
            </w:pPr>
            <w:r>
              <w:rPr>
                <w:w w:val="95"/>
                <w:sz w:val="21"/>
              </w:rPr>
              <w:t>（三）担任破产清算的公司、企业的董事或者厂长、经理，对该公司、企业的破产负有个人责任的，自</w:t>
            </w:r>
            <w:r>
              <w:rPr>
                <w:sz w:val="21"/>
              </w:rPr>
              <w:t>该公司、企业破产清算完结之日起未逾三年；</w:t>
            </w:r>
          </w:p>
          <w:p>
            <w:pPr>
              <w:pStyle w:val="9"/>
              <w:spacing w:before="1" w:line="242" w:lineRule="auto"/>
              <w:ind w:right="30" w:firstLine="420"/>
              <w:rPr>
                <w:sz w:val="21"/>
              </w:rPr>
            </w:pPr>
            <w:r>
              <w:rPr>
                <w:w w:val="95"/>
                <w:sz w:val="21"/>
              </w:rPr>
              <w:t>（四）担任因违法被吊销营业执照、责令关闭的公司、企业的法定代表人，并负有个人责任的，自该公</w:t>
            </w:r>
            <w:r>
              <w:rPr>
                <w:sz w:val="21"/>
              </w:rPr>
              <w:t>司、企业被吊销营业执照之日起未逾三年；</w:t>
            </w:r>
          </w:p>
          <w:p>
            <w:pPr>
              <w:pStyle w:val="9"/>
              <w:spacing w:before="1"/>
              <w:ind w:left="528"/>
              <w:rPr>
                <w:sz w:val="21"/>
              </w:rPr>
            </w:pPr>
            <w:r>
              <w:rPr>
                <w:sz w:val="21"/>
              </w:rPr>
              <w:t>（五）个人所负数额较大的债务到期未清偿。</w:t>
            </w:r>
          </w:p>
          <w:p>
            <w:pPr>
              <w:pStyle w:val="9"/>
              <w:spacing w:before="3" w:line="244" w:lineRule="auto"/>
              <w:ind w:right="-15" w:firstLine="420"/>
              <w:rPr>
                <w:sz w:val="21"/>
              </w:rPr>
            </w:pPr>
            <w:r>
              <w:rPr>
                <w:spacing w:val="-8"/>
                <w:w w:val="95"/>
                <w:sz w:val="21"/>
              </w:rPr>
              <w:t>公司违反前款规定选举、委派董事、监事或者聘任高级管理人员的，该选举、委派或者聘任无效。董事、</w:t>
            </w:r>
            <w:r>
              <w:rPr>
                <w:spacing w:val="-8"/>
                <w:sz w:val="21"/>
              </w:rPr>
              <w:t>监事、高级管理人员在任职期间出现本条第一款所列情形的，公司应当解除其职务。</w:t>
            </w:r>
          </w:p>
          <w:p>
            <w:pPr>
              <w:pStyle w:val="9"/>
              <w:spacing w:line="265" w:lineRule="exact"/>
              <w:rPr>
                <w:b/>
                <w:sz w:val="21"/>
              </w:rPr>
            </w:pPr>
            <w:r>
              <w:rPr>
                <w:b/>
                <w:sz w:val="21"/>
              </w:rPr>
              <w:t>《企业法人法定代表人登记管理规定》</w:t>
            </w:r>
          </w:p>
          <w:p>
            <w:pPr>
              <w:pStyle w:val="9"/>
              <w:spacing w:before="4" w:line="249" w:lineRule="exact"/>
              <w:ind w:left="528"/>
              <w:rPr>
                <w:sz w:val="21"/>
              </w:rPr>
            </w:pPr>
            <w:r>
              <w:rPr>
                <w:sz w:val="21"/>
              </w:rPr>
              <w:t>第四条 有下列情形之一的，不得担任企业法定代表人，企业登记机关不予核准登记：</w:t>
            </w:r>
          </w:p>
        </w:tc>
        <w:tc>
          <w:tcPr>
            <w:tcW w:w="2500" w:type="dxa"/>
          </w:tcPr>
          <w:p>
            <w:pPr>
              <w:pStyle w:val="9"/>
              <w:ind w:left="0"/>
              <w:rPr>
                <w:rFonts w:ascii="Times New Roman"/>
                <w:sz w:val="20"/>
              </w:rPr>
            </w:pPr>
          </w:p>
        </w:tc>
      </w:tr>
    </w:tbl>
    <w:p>
      <w:pPr>
        <w:spacing w:after="0"/>
        <w:rPr>
          <w:rFonts w:ascii="Times New Roman"/>
          <w:sz w:val="20"/>
        </w:rPr>
        <w:sectPr>
          <w:pgSz w:w="16840" w:h="11910" w:orient="landscape"/>
          <w:pgMar w:top="1100" w:right="1440" w:bottom="1620" w:left="1220" w:header="0" w:footer="1433" w:gutter="0"/>
        </w:sectPr>
      </w:pPr>
    </w:p>
    <w:p>
      <w:pPr>
        <w:pStyle w:val="3"/>
        <w:rPr>
          <w:rFonts w:ascii="Times New Roman"/>
          <w:sz w:val="20"/>
        </w:rPr>
      </w:pPr>
    </w:p>
    <w:p>
      <w:pPr>
        <w:pStyle w:val="3"/>
        <w:rPr>
          <w:rFonts w:ascii="Times New Roman"/>
          <w:sz w:val="20"/>
        </w:rPr>
      </w:pPr>
    </w:p>
    <w:p>
      <w:pPr>
        <w:pStyle w:val="3"/>
        <w:spacing w:before="4"/>
        <w:rPr>
          <w:rFonts w:ascii="Times New Roman"/>
          <w:sz w:val="20"/>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84"/>
        <w:gridCol w:w="10064"/>
        <w:gridCol w:w="2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7" w:hRule="atLeast"/>
        </w:trPr>
        <w:tc>
          <w:tcPr>
            <w:tcW w:w="1384" w:type="dxa"/>
          </w:tcPr>
          <w:p>
            <w:pPr>
              <w:pStyle w:val="9"/>
              <w:ind w:left="0"/>
              <w:rPr>
                <w:rFonts w:ascii="Times New Roman"/>
                <w:sz w:val="20"/>
              </w:rPr>
            </w:pPr>
          </w:p>
        </w:tc>
        <w:tc>
          <w:tcPr>
            <w:tcW w:w="10064" w:type="dxa"/>
          </w:tcPr>
          <w:p>
            <w:pPr>
              <w:pStyle w:val="9"/>
              <w:spacing w:before="2"/>
              <w:ind w:left="528"/>
              <w:rPr>
                <w:sz w:val="21"/>
              </w:rPr>
            </w:pPr>
            <w:r>
              <w:rPr>
                <w:sz w:val="21"/>
              </w:rPr>
              <w:t>（一）无民事行为能力或者限制民事行为能力的。</w:t>
            </w:r>
          </w:p>
          <w:p>
            <w:pPr>
              <w:pStyle w:val="9"/>
              <w:spacing w:before="2"/>
              <w:ind w:left="528"/>
              <w:rPr>
                <w:sz w:val="21"/>
              </w:rPr>
            </w:pPr>
            <w:r>
              <w:rPr>
                <w:sz w:val="21"/>
              </w:rPr>
              <w:t>（二）正在被执行刑罚或者正在被执行刑事强制措施的。</w:t>
            </w:r>
          </w:p>
          <w:p>
            <w:pPr>
              <w:pStyle w:val="9"/>
              <w:spacing w:before="2"/>
              <w:ind w:left="528"/>
              <w:rPr>
                <w:sz w:val="21"/>
              </w:rPr>
            </w:pPr>
            <w:r>
              <w:rPr>
                <w:sz w:val="21"/>
              </w:rPr>
              <w:t>（三）正在被公安机关或者国家安全机关通缉的。</w:t>
            </w:r>
          </w:p>
          <w:p>
            <w:pPr>
              <w:pStyle w:val="9"/>
              <w:spacing w:before="5" w:line="242" w:lineRule="auto"/>
              <w:ind w:right="98" w:firstLine="420"/>
              <w:jc w:val="both"/>
              <w:rPr>
                <w:sz w:val="21"/>
              </w:rPr>
            </w:pPr>
            <w:r>
              <w:rPr>
                <w:w w:val="95"/>
                <w:sz w:val="21"/>
              </w:rPr>
              <w:t>（四</w:t>
            </w:r>
            <w:r>
              <w:rPr>
                <w:spacing w:val="-5"/>
                <w:w w:val="95"/>
                <w:sz w:val="21"/>
              </w:rPr>
              <w:t>）</w:t>
            </w:r>
            <w:r>
              <w:rPr>
                <w:spacing w:val="-3"/>
                <w:w w:val="95"/>
                <w:sz w:val="21"/>
              </w:rPr>
              <w:t>因犯有贪污贿赂罪、侵犯财产罪或者破坏社会主义市场经济秩序罪，被判处刑罚，执行期满未逾</w:t>
            </w:r>
            <w:r>
              <w:rPr>
                <w:spacing w:val="-5"/>
                <w:w w:val="95"/>
                <w:sz w:val="21"/>
              </w:rPr>
              <w:t>五年的；因犯有其他罪，被判处刑罚，执行期满未逾三年的；或者因犯罪被判处剥夺政治权利，执行期满未</w:t>
            </w:r>
            <w:r>
              <w:rPr>
                <w:spacing w:val="-5"/>
                <w:sz w:val="21"/>
              </w:rPr>
              <w:t>逾五年的。</w:t>
            </w:r>
          </w:p>
          <w:p>
            <w:pPr>
              <w:pStyle w:val="9"/>
              <w:spacing w:line="244" w:lineRule="auto"/>
              <w:ind w:right="-15" w:firstLine="420"/>
              <w:rPr>
                <w:sz w:val="21"/>
              </w:rPr>
            </w:pPr>
            <w:r>
              <w:rPr>
                <w:w w:val="95"/>
                <w:sz w:val="21"/>
              </w:rPr>
              <w:t>（五</w:t>
            </w:r>
            <w:r>
              <w:rPr>
                <w:spacing w:val="-44"/>
                <w:w w:val="95"/>
                <w:sz w:val="21"/>
              </w:rPr>
              <w:t>）</w:t>
            </w:r>
            <w:r>
              <w:rPr>
                <w:spacing w:val="-4"/>
                <w:w w:val="95"/>
                <w:sz w:val="21"/>
              </w:rPr>
              <w:t>担任因经营不善破产清算的企业的法定代表人或者董事、经理，并对该企业的破产负有个人责任，</w:t>
            </w:r>
            <w:r>
              <w:rPr>
                <w:spacing w:val="-4"/>
                <w:sz w:val="21"/>
              </w:rPr>
              <w:t>自该企业破产清算完结之日起未逾三年的。</w:t>
            </w:r>
          </w:p>
          <w:p>
            <w:pPr>
              <w:pStyle w:val="9"/>
              <w:spacing w:line="244" w:lineRule="auto"/>
              <w:ind w:right="28" w:firstLine="420"/>
              <w:rPr>
                <w:sz w:val="21"/>
              </w:rPr>
            </w:pPr>
            <w:r>
              <w:rPr>
                <w:w w:val="95"/>
                <w:sz w:val="21"/>
              </w:rPr>
              <w:t>（六）担任因违法被吊销营业执照的企业的法定代表人，并对该企业违法行为负有个人责任，自该企业</w:t>
            </w:r>
            <w:r>
              <w:rPr>
                <w:sz w:val="21"/>
              </w:rPr>
              <w:t>被吊销营业执照之日起未逾三年的。</w:t>
            </w:r>
          </w:p>
          <w:p>
            <w:pPr>
              <w:pStyle w:val="9"/>
              <w:spacing w:line="265" w:lineRule="exact"/>
              <w:ind w:left="528"/>
              <w:rPr>
                <w:sz w:val="21"/>
              </w:rPr>
            </w:pPr>
            <w:r>
              <w:rPr>
                <w:sz w:val="21"/>
              </w:rPr>
              <w:t>（七）个人负债数额较大，到期未清偿的。</w:t>
            </w:r>
          </w:p>
          <w:p>
            <w:pPr>
              <w:pStyle w:val="9"/>
              <w:spacing w:before="20"/>
              <w:ind w:left="528"/>
              <w:rPr>
                <w:sz w:val="21"/>
              </w:rPr>
            </w:pPr>
            <w:r>
              <w:rPr>
                <w:sz w:val="21"/>
              </w:rPr>
              <w:t>（八）法律和国务院规定的其他不能担任企业法定代表人的。</w:t>
            </w:r>
          </w:p>
        </w:tc>
        <w:tc>
          <w:tcPr>
            <w:tcW w:w="2500" w:type="dxa"/>
          </w:tcPr>
          <w:p>
            <w:pPr>
              <w:pStyle w:val="9"/>
              <w:ind w:left="0"/>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384" w:type="dxa"/>
          </w:tcPr>
          <w:p>
            <w:pPr>
              <w:pStyle w:val="9"/>
              <w:spacing w:before="1" w:line="242" w:lineRule="auto"/>
              <w:ind w:left="107" w:right="97"/>
              <w:rPr>
                <w:sz w:val="21"/>
              </w:rPr>
            </w:pPr>
            <w:r>
              <w:rPr>
                <w:rFonts w:ascii="Times New Roman" w:eastAsia="Times New Roman"/>
                <w:sz w:val="21"/>
              </w:rPr>
              <w:t>36.</w:t>
            </w:r>
            <w:r>
              <w:rPr>
                <w:sz w:val="21"/>
              </w:rPr>
              <w:t>其他惩戒措施。</w:t>
            </w:r>
          </w:p>
        </w:tc>
        <w:tc>
          <w:tcPr>
            <w:tcW w:w="10064" w:type="dxa"/>
          </w:tcPr>
          <w:p>
            <w:pPr>
              <w:pStyle w:val="9"/>
              <w:spacing w:before="1"/>
              <w:rPr>
                <w:b/>
                <w:sz w:val="21"/>
              </w:rPr>
            </w:pPr>
            <w:r>
              <w:rPr>
                <w:b/>
                <w:sz w:val="21"/>
              </w:rPr>
              <w:t>《国务院关于促进市场公平竞争维护市场正常秩序的若干意见》（国发〔</w:t>
            </w:r>
            <w:r>
              <w:rPr>
                <w:rFonts w:ascii="Times New Roman" w:eastAsia="Times New Roman"/>
                <w:b/>
                <w:sz w:val="21"/>
              </w:rPr>
              <w:t>2014</w:t>
            </w:r>
            <w:r>
              <w:rPr>
                <w:b/>
                <w:sz w:val="21"/>
              </w:rPr>
              <w:t>〕</w:t>
            </w:r>
            <w:r>
              <w:rPr>
                <w:rFonts w:ascii="Times New Roman" w:eastAsia="Times New Roman"/>
                <w:b/>
                <w:sz w:val="21"/>
              </w:rPr>
              <w:t xml:space="preserve">20 </w:t>
            </w:r>
            <w:r>
              <w:rPr>
                <w:b/>
                <w:sz w:val="21"/>
              </w:rPr>
              <w:t>号）</w:t>
            </w:r>
          </w:p>
          <w:p>
            <w:pPr>
              <w:pStyle w:val="9"/>
              <w:spacing w:before="2"/>
              <w:ind w:left="528"/>
              <w:rPr>
                <w:sz w:val="21"/>
              </w:rPr>
            </w:pPr>
            <w:r>
              <w:rPr>
                <w:sz w:val="21"/>
              </w:rPr>
              <w:t>（十五）建立健全守信激励和失信惩戒机制。</w:t>
            </w:r>
          </w:p>
          <w:p>
            <w:pPr>
              <w:pStyle w:val="9"/>
              <w:spacing w:before="23" w:line="278" w:lineRule="auto"/>
              <w:ind w:right="-15" w:firstLine="420"/>
              <w:rPr>
                <w:sz w:val="21"/>
              </w:rPr>
            </w:pPr>
            <w:r>
              <w:rPr>
                <w:spacing w:val="-5"/>
                <w:w w:val="95"/>
                <w:sz w:val="21"/>
              </w:rPr>
              <w:t>将市场主体的信用信息作为实施行政管理的重要参考。根据市场主体信用状况实行分类分级、动态监管，</w:t>
            </w:r>
            <w:r>
              <w:rPr>
                <w:spacing w:val="-5"/>
                <w:sz w:val="21"/>
              </w:rPr>
              <w:t>建立健全经营异常名录制度，对违背市场竞争原则和侵犯消费者、劳动者合法权益的市场主体建立</w:t>
            </w:r>
            <w:r>
              <w:rPr>
                <w:rFonts w:ascii="Times New Roman" w:hAnsi="Times New Roman" w:eastAsia="Times New Roman"/>
                <w:spacing w:val="-5"/>
                <w:sz w:val="21"/>
              </w:rPr>
              <w:t>“</w:t>
            </w:r>
            <w:r>
              <w:rPr>
                <w:spacing w:val="-5"/>
                <w:sz w:val="21"/>
              </w:rPr>
              <w:t>黑名单</w:t>
            </w:r>
            <w:r>
              <w:rPr>
                <w:rFonts w:ascii="Times New Roman" w:hAnsi="Times New Roman" w:eastAsia="Times New Roman"/>
                <w:spacing w:val="-5"/>
                <w:sz w:val="21"/>
              </w:rPr>
              <w:t xml:space="preserve">” </w:t>
            </w:r>
            <w:r>
              <w:rPr>
                <w:spacing w:val="-39"/>
                <w:sz w:val="21"/>
              </w:rPr>
              <w:t>制度。</w:t>
            </w:r>
            <w:r>
              <w:rPr>
                <w:sz w:val="21"/>
              </w:rPr>
              <w:t>（国家市场监督管理总局牵头负责）对守信主体予以支持和激励，对失信主体在经营、投融资、取得政府供应土地、进出口、出入境、注册新公司、工程招投标、政府采购、获得荣誉、安全许可、生产许可、</w:t>
            </w:r>
            <w:r>
              <w:rPr>
                <w:spacing w:val="-3"/>
                <w:sz w:val="21"/>
              </w:rPr>
              <w:t>从业任职资格、资质审核等方面依法予以限制或禁止，对严重违法失信主体实行市场禁入制度。</w:t>
            </w:r>
            <w:r>
              <w:rPr>
                <w:sz w:val="21"/>
              </w:rPr>
              <w:t>（各相关市场监管部门按职责分工分别负责）</w:t>
            </w:r>
          </w:p>
        </w:tc>
        <w:tc>
          <w:tcPr>
            <w:tcW w:w="2500" w:type="dxa"/>
          </w:tcPr>
          <w:p>
            <w:pPr>
              <w:pStyle w:val="9"/>
              <w:spacing w:before="20"/>
              <w:ind w:left="724"/>
              <w:rPr>
                <w:sz w:val="21"/>
              </w:rPr>
            </w:pPr>
            <w:r>
              <w:rPr>
                <w:sz w:val="21"/>
              </w:rPr>
              <w:t>各有关部门</w:t>
            </w:r>
          </w:p>
        </w:tc>
      </w:tr>
    </w:tbl>
    <w:p/>
    <w:sectPr>
      <w:pgSz w:w="16840" w:h="11910" w:orient="landscape"/>
      <w:pgMar w:top="1100" w:right="1440" w:bottom="1620" w:left="1220" w:header="0" w:footer="143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042944" behindDoc="1" locked="0" layoutInCell="1" allowOverlap="1">
              <wp:simplePos x="0" y="0"/>
              <wp:positionH relativeFrom="page">
                <wp:posOffset>3665220</wp:posOffset>
              </wp:positionH>
              <wp:positionV relativeFrom="page">
                <wp:posOffset>9284970</wp:posOffset>
              </wp:positionV>
              <wp:extent cx="230505" cy="223520"/>
              <wp:effectExtent l="0" t="0" r="0" b="0"/>
              <wp:wrapNone/>
              <wp:docPr id="3" name="文本框 2"/>
              <wp:cNvGraphicFramePr/>
              <a:graphic xmlns:a="http://schemas.openxmlformats.org/drawingml/2006/main">
                <a:graphicData uri="http://schemas.microsoft.com/office/word/2010/wordprocessingShape">
                  <wps:wsp>
                    <wps:cNvSpPr txBox="1"/>
                    <wps:spPr>
                      <a:xfrm>
                        <a:off x="0" y="0"/>
                        <a:ext cx="230505" cy="223520"/>
                      </a:xfrm>
                      <a:prstGeom prst="rect">
                        <a:avLst/>
                      </a:prstGeom>
                      <a:noFill/>
                      <a:ln>
                        <a:noFill/>
                      </a:ln>
                    </wps:spPr>
                    <wps:txbx>
                      <w:txbxContent>
                        <w:p>
                          <w:pPr>
                            <w:spacing w:before="9"/>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2" o:spid="_x0000_s1026" o:spt="202" type="#_x0000_t202" style="position:absolute;left:0pt;margin-left:288.6pt;margin-top:731.1pt;height:17.6pt;width:18.15pt;mso-position-horizontal-relative:page;mso-position-vertical-relative:page;z-index:-254273536;mso-width-relative:page;mso-height-relative:page;" filled="f" stroked="f" coordsize="21600,21600" o:gfxdata="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TYPcx9sAAAANAQAADwAAAAAA&#10;AAABACAAAAAiAAAAZHJzL2Rvd25yZXYueG1sUEsBAhQAFAAAAAgAh07iQBidjyKeAQAAIwMAAA4A&#10;AAAAAAAAAQAgAAAAKgEAAGRycy9lMm9Eb2MueG1sUEsFBgAAAAAGAAYAWQEAADoFAAAAAA==&#10;">
              <v:fill on="f" focussize="0,0"/>
              <v:stroke on="f"/>
              <v:imagedata o:title=""/>
              <o:lock v:ext="edit" aspectratio="f"/>
              <v:textbox inset="0mm,0mm,0mm,0mm">
                <w:txbxContent>
                  <w:p>
                    <w:pPr>
                      <w:spacing w:before="9"/>
                      <w:ind w:left="40" w:right="0" w:firstLine="0"/>
                      <w:jc w:val="left"/>
                      <w:rPr>
                        <w:rFonts w:ascii="Times New Roman"/>
                        <w:sz w:val="28"/>
                      </w:rPr>
                    </w:pPr>
                    <w:r>
                      <w:fldChar w:fldCharType="begin"/>
                    </w:r>
                    <w:r>
                      <w:rPr>
                        <w:rFonts w:ascii="Times New Roman"/>
                        <w:sz w:val="2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043968" behindDoc="1" locked="0" layoutInCell="1" allowOverlap="1">
              <wp:simplePos x="0" y="0"/>
              <wp:positionH relativeFrom="page">
                <wp:posOffset>5232400</wp:posOffset>
              </wp:positionH>
              <wp:positionV relativeFrom="page">
                <wp:posOffset>6459220</wp:posOffset>
              </wp:positionV>
              <wp:extent cx="228600" cy="223520"/>
              <wp:effectExtent l="0" t="0" r="0" b="0"/>
              <wp:wrapNone/>
              <wp:docPr id="4" name="文本框 3"/>
              <wp:cNvGraphicFramePr/>
              <a:graphic xmlns:a="http://schemas.openxmlformats.org/drawingml/2006/main">
                <a:graphicData uri="http://schemas.microsoft.com/office/word/2010/wordprocessingShape">
                  <wps:wsp>
                    <wps:cNvSpPr txBox="1"/>
                    <wps:spPr>
                      <a:xfrm>
                        <a:off x="0" y="0"/>
                        <a:ext cx="228600" cy="223520"/>
                      </a:xfrm>
                      <a:prstGeom prst="rect">
                        <a:avLst/>
                      </a:prstGeom>
                      <a:noFill/>
                      <a:ln>
                        <a:noFill/>
                      </a:ln>
                    </wps:spPr>
                    <wps:txbx>
                      <w:txbxContent>
                        <w:p>
                          <w:pPr>
                            <w:spacing w:before="9"/>
                            <w:ind w:left="40" w:right="0" w:firstLine="0"/>
                            <w:jc w:val="left"/>
                            <w:rPr>
                              <w:rFonts w:ascii="Times New Roman"/>
                              <w:sz w:val="28"/>
                            </w:rPr>
                          </w:pPr>
                          <w:r>
                            <w:fldChar w:fldCharType="begin"/>
                          </w:r>
                          <w:r>
                            <w:rPr>
                              <w:rFonts w:ascii="Times New Roman"/>
                              <w:sz w:val="28"/>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文本框 3" o:spid="_x0000_s1026" o:spt="202" type="#_x0000_t202" style="position:absolute;left:0pt;margin-left:412pt;margin-top:508.6pt;height:17.6pt;width:18pt;mso-position-horizontal-relative:page;mso-position-vertical-relative:page;z-index:-254272512;mso-width-relative:page;mso-height-relative:page;" filled="f" stroked="f" coordsize="21600,21600" o:gfxdata="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JHHxN2gAAAA0BAAAPAAAAAAAA&#10;AAEAIAAAACIAAABkcnMvZG93bnJldi54bWxQSwECFAAUAAAACACHTuJAMFu0uZ4BAAAjAwAADgAA&#10;AAAAAAABACAAAAApAQAAZHJzL2Uyb0RvYy54bWxQSwUGAAAAAAYABgBZAQAAOQUAAAAA&#10;">
              <v:fill on="f" focussize="0,0"/>
              <v:stroke on="f"/>
              <v:imagedata o:title=""/>
              <o:lock v:ext="edit" aspectratio="f"/>
              <v:textbox inset="0mm,0mm,0mm,0mm">
                <w:txbxContent>
                  <w:p>
                    <w:pPr>
                      <w:spacing w:before="9"/>
                      <w:ind w:left="40" w:right="0" w:firstLine="0"/>
                      <w:jc w:val="left"/>
                      <w:rPr>
                        <w:rFonts w:ascii="Times New Roman"/>
                        <w:sz w:val="28"/>
                      </w:rPr>
                    </w:pPr>
                    <w:r>
                      <w:fldChar w:fldCharType="begin"/>
                    </w:r>
                    <w:r>
                      <w:rPr>
                        <w:rFonts w:ascii="Times New Roman"/>
                        <w:sz w:val="28"/>
                      </w:rPr>
                      <w:instrText xml:space="preserve"> PAGE </w:instrText>
                    </w:r>
                    <w:r>
                      <w:fldChar w:fldCharType="separate"/>
                    </w:r>
                    <w:r>
                      <w:t>12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044992" behindDoc="1" locked="0" layoutInCell="1" allowOverlap="1">
              <wp:simplePos x="0" y="0"/>
              <wp:positionH relativeFrom="page">
                <wp:posOffset>5232400</wp:posOffset>
              </wp:positionH>
              <wp:positionV relativeFrom="page">
                <wp:posOffset>6459220</wp:posOffset>
              </wp:positionV>
              <wp:extent cx="228600" cy="223520"/>
              <wp:effectExtent l="0" t="0" r="0" b="0"/>
              <wp:wrapNone/>
              <wp:docPr id="5" name="文本框 4"/>
              <wp:cNvGraphicFramePr/>
              <a:graphic xmlns:a="http://schemas.openxmlformats.org/drawingml/2006/main">
                <a:graphicData uri="http://schemas.microsoft.com/office/word/2010/wordprocessingShape">
                  <wps:wsp>
                    <wps:cNvSpPr txBox="1"/>
                    <wps:spPr>
                      <a:xfrm>
                        <a:off x="0" y="0"/>
                        <a:ext cx="228600" cy="223520"/>
                      </a:xfrm>
                      <a:prstGeom prst="rect">
                        <a:avLst/>
                      </a:prstGeom>
                      <a:noFill/>
                      <a:ln>
                        <a:noFill/>
                      </a:ln>
                    </wps:spPr>
                    <wps:txbx>
                      <w:txbxContent>
                        <w:p>
                          <w:pPr>
                            <w:spacing w:before="9"/>
                            <w:ind w:left="40" w:right="0" w:firstLine="0"/>
                            <w:jc w:val="left"/>
                            <w:rPr>
                              <w:rFonts w:ascii="Times New Roman"/>
                              <w:sz w:val="28"/>
                            </w:rPr>
                          </w:pPr>
                          <w:r>
                            <w:fldChar w:fldCharType="begin"/>
                          </w:r>
                          <w:r>
                            <w:rPr>
                              <w:rFonts w:ascii="Times New Roman"/>
                              <w:sz w:val="2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4" o:spid="_x0000_s1026" o:spt="202" type="#_x0000_t202" style="position:absolute;left:0pt;margin-left:412pt;margin-top:508.6pt;height:17.6pt;width:18pt;mso-position-horizontal-relative:page;mso-position-vertical-relative:page;z-index:-254271488;mso-width-relative:page;mso-height-relative:page;" filled="f" stroked="f" coordsize="21600,21600" o:gfxdata="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JHHxN2gAAAA0BAAAPAAAAAAAA&#10;AAEAIAAAACIAAABkcnMvZG93bnJldi54bWxQSwECFAAUAAAACACHTuJA4BoQLp4BAAAjAwAADgAA&#10;AAAAAAABACAAAAApAQAAZHJzL2Uyb0RvYy54bWxQSwUGAAAAAAYABgBZAQAAOQUAAAAA&#10;">
              <v:fill on="f" focussize="0,0"/>
              <v:stroke on="f"/>
              <v:imagedata o:title=""/>
              <o:lock v:ext="edit" aspectratio="f"/>
              <v:textbox inset="0mm,0mm,0mm,0mm">
                <w:txbxContent>
                  <w:p>
                    <w:pPr>
                      <w:spacing w:before="9"/>
                      <w:ind w:left="40" w:right="0" w:firstLine="0"/>
                      <w:jc w:val="left"/>
                      <w:rPr>
                        <w:rFonts w:ascii="Times New Roman"/>
                        <w:sz w:val="28"/>
                      </w:rPr>
                    </w:pPr>
                    <w:r>
                      <w:fldChar w:fldCharType="begin"/>
                    </w:r>
                    <w:r>
                      <w:rPr>
                        <w:rFonts w:ascii="Times New Roman"/>
                        <w:sz w:val="2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49046016" behindDoc="1" locked="0" layoutInCell="1" allowOverlap="1">
              <wp:simplePos x="0" y="0"/>
              <wp:positionH relativeFrom="page">
                <wp:posOffset>5232400</wp:posOffset>
              </wp:positionH>
              <wp:positionV relativeFrom="page">
                <wp:posOffset>6459220</wp:posOffset>
              </wp:positionV>
              <wp:extent cx="228600" cy="223520"/>
              <wp:effectExtent l="0" t="0" r="0" b="0"/>
              <wp:wrapNone/>
              <wp:docPr id="6" name="文本框 5"/>
              <wp:cNvGraphicFramePr/>
              <a:graphic xmlns:a="http://schemas.openxmlformats.org/drawingml/2006/main">
                <a:graphicData uri="http://schemas.microsoft.com/office/word/2010/wordprocessingShape">
                  <wps:wsp>
                    <wps:cNvSpPr txBox="1"/>
                    <wps:spPr>
                      <a:xfrm>
                        <a:off x="0" y="0"/>
                        <a:ext cx="228600" cy="223520"/>
                      </a:xfrm>
                      <a:prstGeom prst="rect">
                        <a:avLst/>
                      </a:prstGeom>
                      <a:noFill/>
                      <a:ln>
                        <a:noFill/>
                      </a:ln>
                    </wps:spPr>
                    <wps:txbx>
                      <w:txbxContent>
                        <w:p>
                          <w:pPr>
                            <w:spacing w:before="9"/>
                            <w:ind w:left="40" w:right="0" w:firstLine="0"/>
                            <w:jc w:val="left"/>
                            <w:rPr>
                              <w:rFonts w:ascii="Times New Roman"/>
                              <w:sz w:val="28"/>
                            </w:rPr>
                          </w:pPr>
                          <w:r>
                            <w:fldChar w:fldCharType="begin"/>
                          </w:r>
                          <w:r>
                            <w:rPr>
                              <w:rFonts w:ascii="Times New Roman"/>
                              <w:sz w:val="2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5" o:spid="_x0000_s1026" o:spt="202" type="#_x0000_t202" style="position:absolute;left:0pt;margin-left:412pt;margin-top:508.6pt;height:17.6pt;width:18pt;mso-position-horizontal-relative:page;mso-position-vertical-relative:page;z-index:-254270464;mso-width-relative:page;mso-height-relative:page;" filled="f" stroked="f" coordsize="21600,21600" o:gfxdata="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JHHxN2gAAAA0BAAAPAAAAAAAA&#10;AAEAIAAAACIAAABkcnMvZG93bnJldi54bWxQSwECFAAUAAAACACHTuJAYmNPtZ4BAAAjAwAADgAA&#10;AAAAAAABACAAAAApAQAAZHJzL2Uyb0RvYy54bWxQSwUGAAAAAAYABgBZAQAAOQUAAAAA&#10;">
              <v:fill on="f" focussize="0,0"/>
              <v:stroke on="f"/>
              <v:imagedata o:title=""/>
              <o:lock v:ext="edit" aspectratio="f"/>
              <v:textbox inset="0mm,0mm,0mm,0mm">
                <w:txbxContent>
                  <w:p>
                    <w:pPr>
                      <w:spacing w:before="9"/>
                      <w:ind w:left="40" w:right="0" w:firstLine="0"/>
                      <w:jc w:val="left"/>
                      <w:rPr>
                        <w:rFonts w:ascii="Times New Roman"/>
                        <w:sz w:val="28"/>
                      </w:rPr>
                    </w:pPr>
                    <w:r>
                      <w:fldChar w:fldCharType="begin"/>
                    </w:r>
                    <w:r>
                      <w:rPr>
                        <w:rFonts w:ascii="Times New Roman"/>
                        <w:sz w:val="28"/>
                      </w:rPr>
                      <w:instrText xml:space="preserve"> PAGE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3"/>
      <w:numFmt w:val="decimal"/>
      <w:lvlText w:val="%1."/>
      <w:lvlJc w:val="left"/>
      <w:pPr>
        <w:ind w:left="108" w:hanging="314"/>
        <w:jc w:val="left"/>
      </w:pPr>
      <w:rPr>
        <w:rFonts w:hint="default" w:ascii="Times New Roman" w:hAnsi="Times New Roman" w:eastAsia="Times New Roman" w:cs="Times New Roman"/>
        <w:spacing w:val="-2"/>
        <w:w w:val="99"/>
        <w:sz w:val="19"/>
        <w:szCs w:val="19"/>
        <w:lang w:val="zh-CN" w:eastAsia="zh-CN" w:bidi="zh-CN"/>
      </w:rPr>
    </w:lvl>
    <w:lvl w:ilvl="1" w:tentative="0">
      <w:start w:val="0"/>
      <w:numFmt w:val="bullet"/>
      <w:lvlText w:val="•"/>
      <w:lvlJc w:val="left"/>
      <w:pPr>
        <w:ind w:left="1095" w:hanging="314"/>
      </w:pPr>
      <w:rPr>
        <w:rFonts w:hint="default"/>
        <w:lang w:val="zh-CN" w:eastAsia="zh-CN" w:bidi="zh-CN"/>
      </w:rPr>
    </w:lvl>
    <w:lvl w:ilvl="2" w:tentative="0">
      <w:start w:val="0"/>
      <w:numFmt w:val="bullet"/>
      <w:lvlText w:val="•"/>
      <w:lvlJc w:val="left"/>
      <w:pPr>
        <w:ind w:left="2090" w:hanging="314"/>
      </w:pPr>
      <w:rPr>
        <w:rFonts w:hint="default"/>
        <w:lang w:val="zh-CN" w:eastAsia="zh-CN" w:bidi="zh-CN"/>
      </w:rPr>
    </w:lvl>
    <w:lvl w:ilvl="3" w:tentative="0">
      <w:start w:val="0"/>
      <w:numFmt w:val="bullet"/>
      <w:lvlText w:val="•"/>
      <w:lvlJc w:val="left"/>
      <w:pPr>
        <w:ind w:left="3086" w:hanging="314"/>
      </w:pPr>
      <w:rPr>
        <w:rFonts w:hint="default"/>
        <w:lang w:val="zh-CN" w:eastAsia="zh-CN" w:bidi="zh-CN"/>
      </w:rPr>
    </w:lvl>
    <w:lvl w:ilvl="4" w:tentative="0">
      <w:start w:val="0"/>
      <w:numFmt w:val="bullet"/>
      <w:lvlText w:val="•"/>
      <w:lvlJc w:val="left"/>
      <w:pPr>
        <w:ind w:left="4081" w:hanging="314"/>
      </w:pPr>
      <w:rPr>
        <w:rFonts w:hint="default"/>
        <w:lang w:val="zh-CN" w:eastAsia="zh-CN" w:bidi="zh-CN"/>
      </w:rPr>
    </w:lvl>
    <w:lvl w:ilvl="5" w:tentative="0">
      <w:start w:val="0"/>
      <w:numFmt w:val="bullet"/>
      <w:lvlText w:val="•"/>
      <w:lvlJc w:val="left"/>
      <w:pPr>
        <w:ind w:left="5077" w:hanging="314"/>
      </w:pPr>
      <w:rPr>
        <w:rFonts w:hint="default"/>
        <w:lang w:val="zh-CN" w:eastAsia="zh-CN" w:bidi="zh-CN"/>
      </w:rPr>
    </w:lvl>
    <w:lvl w:ilvl="6" w:tentative="0">
      <w:start w:val="0"/>
      <w:numFmt w:val="bullet"/>
      <w:lvlText w:val="•"/>
      <w:lvlJc w:val="left"/>
      <w:pPr>
        <w:ind w:left="6072" w:hanging="314"/>
      </w:pPr>
      <w:rPr>
        <w:rFonts w:hint="default"/>
        <w:lang w:val="zh-CN" w:eastAsia="zh-CN" w:bidi="zh-CN"/>
      </w:rPr>
    </w:lvl>
    <w:lvl w:ilvl="7" w:tentative="0">
      <w:start w:val="0"/>
      <w:numFmt w:val="bullet"/>
      <w:lvlText w:val="•"/>
      <w:lvlJc w:val="left"/>
      <w:pPr>
        <w:ind w:left="7067" w:hanging="314"/>
      </w:pPr>
      <w:rPr>
        <w:rFonts w:hint="default"/>
        <w:lang w:val="zh-CN" w:eastAsia="zh-CN" w:bidi="zh-CN"/>
      </w:rPr>
    </w:lvl>
    <w:lvl w:ilvl="8" w:tentative="0">
      <w:start w:val="0"/>
      <w:numFmt w:val="bullet"/>
      <w:lvlText w:val="•"/>
      <w:lvlJc w:val="left"/>
      <w:pPr>
        <w:ind w:left="8063" w:hanging="314"/>
      </w:pPr>
      <w:rPr>
        <w:rFonts w:hint="default"/>
        <w:lang w:val="zh-CN" w:eastAsia="zh-CN" w:bidi="zh-CN"/>
      </w:rPr>
    </w:lvl>
  </w:abstractNum>
  <w:abstractNum w:abstractNumId="1">
    <w:nsid w:val="BF205925"/>
    <w:multiLevelType w:val="multilevel"/>
    <w:tmpl w:val="BF205925"/>
    <w:lvl w:ilvl="0" w:tentative="0">
      <w:start w:val="1"/>
      <w:numFmt w:val="decimal"/>
      <w:lvlText w:val="%1."/>
      <w:lvlJc w:val="left"/>
      <w:pPr>
        <w:ind w:left="108" w:hanging="314"/>
        <w:jc w:val="left"/>
      </w:pPr>
      <w:rPr>
        <w:rFonts w:hint="default" w:ascii="Times New Roman" w:hAnsi="Times New Roman" w:eastAsia="Times New Roman" w:cs="Times New Roman"/>
        <w:spacing w:val="-3"/>
        <w:w w:val="99"/>
        <w:sz w:val="19"/>
        <w:szCs w:val="19"/>
        <w:lang w:val="zh-CN" w:eastAsia="zh-CN" w:bidi="zh-CN"/>
      </w:rPr>
    </w:lvl>
    <w:lvl w:ilvl="1" w:tentative="0">
      <w:start w:val="0"/>
      <w:numFmt w:val="bullet"/>
      <w:lvlText w:val="•"/>
      <w:lvlJc w:val="left"/>
      <w:pPr>
        <w:ind w:left="1095" w:hanging="314"/>
      </w:pPr>
      <w:rPr>
        <w:rFonts w:hint="default"/>
        <w:lang w:val="zh-CN" w:eastAsia="zh-CN" w:bidi="zh-CN"/>
      </w:rPr>
    </w:lvl>
    <w:lvl w:ilvl="2" w:tentative="0">
      <w:start w:val="0"/>
      <w:numFmt w:val="bullet"/>
      <w:lvlText w:val="•"/>
      <w:lvlJc w:val="left"/>
      <w:pPr>
        <w:ind w:left="2090" w:hanging="314"/>
      </w:pPr>
      <w:rPr>
        <w:rFonts w:hint="default"/>
        <w:lang w:val="zh-CN" w:eastAsia="zh-CN" w:bidi="zh-CN"/>
      </w:rPr>
    </w:lvl>
    <w:lvl w:ilvl="3" w:tentative="0">
      <w:start w:val="0"/>
      <w:numFmt w:val="bullet"/>
      <w:lvlText w:val="•"/>
      <w:lvlJc w:val="left"/>
      <w:pPr>
        <w:ind w:left="3086" w:hanging="314"/>
      </w:pPr>
      <w:rPr>
        <w:rFonts w:hint="default"/>
        <w:lang w:val="zh-CN" w:eastAsia="zh-CN" w:bidi="zh-CN"/>
      </w:rPr>
    </w:lvl>
    <w:lvl w:ilvl="4" w:tentative="0">
      <w:start w:val="0"/>
      <w:numFmt w:val="bullet"/>
      <w:lvlText w:val="•"/>
      <w:lvlJc w:val="left"/>
      <w:pPr>
        <w:ind w:left="4081" w:hanging="314"/>
      </w:pPr>
      <w:rPr>
        <w:rFonts w:hint="default"/>
        <w:lang w:val="zh-CN" w:eastAsia="zh-CN" w:bidi="zh-CN"/>
      </w:rPr>
    </w:lvl>
    <w:lvl w:ilvl="5" w:tentative="0">
      <w:start w:val="0"/>
      <w:numFmt w:val="bullet"/>
      <w:lvlText w:val="•"/>
      <w:lvlJc w:val="left"/>
      <w:pPr>
        <w:ind w:left="5077" w:hanging="314"/>
      </w:pPr>
      <w:rPr>
        <w:rFonts w:hint="default"/>
        <w:lang w:val="zh-CN" w:eastAsia="zh-CN" w:bidi="zh-CN"/>
      </w:rPr>
    </w:lvl>
    <w:lvl w:ilvl="6" w:tentative="0">
      <w:start w:val="0"/>
      <w:numFmt w:val="bullet"/>
      <w:lvlText w:val="•"/>
      <w:lvlJc w:val="left"/>
      <w:pPr>
        <w:ind w:left="6072" w:hanging="314"/>
      </w:pPr>
      <w:rPr>
        <w:rFonts w:hint="default"/>
        <w:lang w:val="zh-CN" w:eastAsia="zh-CN" w:bidi="zh-CN"/>
      </w:rPr>
    </w:lvl>
    <w:lvl w:ilvl="7" w:tentative="0">
      <w:start w:val="0"/>
      <w:numFmt w:val="bullet"/>
      <w:lvlText w:val="•"/>
      <w:lvlJc w:val="left"/>
      <w:pPr>
        <w:ind w:left="7067" w:hanging="314"/>
      </w:pPr>
      <w:rPr>
        <w:rFonts w:hint="default"/>
        <w:lang w:val="zh-CN" w:eastAsia="zh-CN" w:bidi="zh-CN"/>
      </w:rPr>
    </w:lvl>
    <w:lvl w:ilvl="8" w:tentative="0">
      <w:start w:val="0"/>
      <w:numFmt w:val="bullet"/>
      <w:lvlText w:val="•"/>
      <w:lvlJc w:val="left"/>
      <w:pPr>
        <w:ind w:left="8063" w:hanging="314"/>
      </w:pPr>
      <w:rPr>
        <w:rFonts w:hint="default"/>
        <w:lang w:val="zh-CN" w:eastAsia="zh-CN" w:bidi="zh-CN"/>
      </w:rPr>
    </w:lvl>
  </w:abstractNum>
  <w:abstractNum w:abstractNumId="2">
    <w:nsid w:val="0053208E"/>
    <w:multiLevelType w:val="multilevel"/>
    <w:tmpl w:val="0053208E"/>
    <w:lvl w:ilvl="0" w:tentative="0">
      <w:start w:val="1"/>
      <w:numFmt w:val="decimal"/>
      <w:lvlText w:val="%1."/>
      <w:lvlJc w:val="left"/>
      <w:pPr>
        <w:ind w:left="115" w:hanging="228"/>
        <w:jc w:val="left"/>
      </w:pPr>
      <w:rPr>
        <w:rFonts w:hint="default" w:ascii="Times New Roman" w:hAnsi="Times New Roman" w:eastAsia="Times New Roman" w:cs="Times New Roman"/>
        <w:spacing w:val="-1"/>
        <w:w w:val="100"/>
        <w:sz w:val="28"/>
        <w:szCs w:val="28"/>
        <w:lang w:val="zh-CN" w:eastAsia="zh-CN" w:bidi="zh-CN"/>
      </w:rPr>
    </w:lvl>
    <w:lvl w:ilvl="1" w:tentative="0">
      <w:start w:val="0"/>
      <w:numFmt w:val="bullet"/>
      <w:lvlText w:val="•"/>
      <w:lvlJc w:val="left"/>
      <w:pPr>
        <w:ind w:left="1028" w:hanging="228"/>
      </w:pPr>
      <w:rPr>
        <w:rFonts w:hint="default"/>
        <w:lang w:val="zh-CN" w:eastAsia="zh-CN" w:bidi="zh-CN"/>
      </w:rPr>
    </w:lvl>
    <w:lvl w:ilvl="2" w:tentative="0">
      <w:start w:val="0"/>
      <w:numFmt w:val="bullet"/>
      <w:lvlText w:val="•"/>
      <w:lvlJc w:val="left"/>
      <w:pPr>
        <w:ind w:left="1937" w:hanging="228"/>
      </w:pPr>
      <w:rPr>
        <w:rFonts w:hint="default"/>
        <w:lang w:val="zh-CN" w:eastAsia="zh-CN" w:bidi="zh-CN"/>
      </w:rPr>
    </w:lvl>
    <w:lvl w:ilvl="3" w:tentative="0">
      <w:start w:val="0"/>
      <w:numFmt w:val="bullet"/>
      <w:lvlText w:val="•"/>
      <w:lvlJc w:val="left"/>
      <w:pPr>
        <w:ind w:left="2845" w:hanging="228"/>
      </w:pPr>
      <w:rPr>
        <w:rFonts w:hint="default"/>
        <w:lang w:val="zh-CN" w:eastAsia="zh-CN" w:bidi="zh-CN"/>
      </w:rPr>
    </w:lvl>
    <w:lvl w:ilvl="4" w:tentative="0">
      <w:start w:val="0"/>
      <w:numFmt w:val="bullet"/>
      <w:lvlText w:val="•"/>
      <w:lvlJc w:val="left"/>
      <w:pPr>
        <w:ind w:left="3754" w:hanging="228"/>
      </w:pPr>
      <w:rPr>
        <w:rFonts w:hint="default"/>
        <w:lang w:val="zh-CN" w:eastAsia="zh-CN" w:bidi="zh-CN"/>
      </w:rPr>
    </w:lvl>
    <w:lvl w:ilvl="5" w:tentative="0">
      <w:start w:val="0"/>
      <w:numFmt w:val="bullet"/>
      <w:lvlText w:val="•"/>
      <w:lvlJc w:val="left"/>
      <w:pPr>
        <w:ind w:left="4663" w:hanging="228"/>
      </w:pPr>
      <w:rPr>
        <w:rFonts w:hint="default"/>
        <w:lang w:val="zh-CN" w:eastAsia="zh-CN" w:bidi="zh-CN"/>
      </w:rPr>
    </w:lvl>
    <w:lvl w:ilvl="6" w:tentative="0">
      <w:start w:val="0"/>
      <w:numFmt w:val="bullet"/>
      <w:lvlText w:val="•"/>
      <w:lvlJc w:val="left"/>
      <w:pPr>
        <w:ind w:left="5571" w:hanging="228"/>
      </w:pPr>
      <w:rPr>
        <w:rFonts w:hint="default"/>
        <w:lang w:val="zh-CN" w:eastAsia="zh-CN" w:bidi="zh-CN"/>
      </w:rPr>
    </w:lvl>
    <w:lvl w:ilvl="7" w:tentative="0">
      <w:start w:val="0"/>
      <w:numFmt w:val="bullet"/>
      <w:lvlText w:val="•"/>
      <w:lvlJc w:val="left"/>
      <w:pPr>
        <w:ind w:left="6480" w:hanging="228"/>
      </w:pPr>
      <w:rPr>
        <w:rFonts w:hint="default"/>
        <w:lang w:val="zh-CN" w:eastAsia="zh-CN" w:bidi="zh-CN"/>
      </w:rPr>
    </w:lvl>
    <w:lvl w:ilvl="8" w:tentative="0">
      <w:start w:val="0"/>
      <w:numFmt w:val="bullet"/>
      <w:lvlText w:val="•"/>
      <w:lvlJc w:val="left"/>
      <w:pPr>
        <w:ind w:left="7388" w:hanging="228"/>
      </w:pPr>
      <w:rPr>
        <w:rFonts w:hint="default"/>
        <w:lang w:val="zh-CN" w:eastAsia="zh-CN" w:bidi="zh-C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93BCF"/>
    <w:rsid w:val="0DF60EE2"/>
    <w:rsid w:val="119B3791"/>
    <w:rsid w:val="22D72E29"/>
    <w:rsid w:val="360453CA"/>
    <w:rsid w:val="3BDA7340"/>
    <w:rsid w:val="42AF79E7"/>
    <w:rsid w:val="4B35073C"/>
    <w:rsid w:val="4F2608C8"/>
    <w:rsid w:val="52E1258A"/>
    <w:rsid w:val="59970FEE"/>
    <w:rsid w:val="6A8E53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9"/>
      <w:ind w:left="2052" w:right="1348" w:hanging="999"/>
      <w:outlineLvl w:val="1"/>
    </w:pPr>
    <w:rPr>
      <w:rFonts w:ascii="Arial Unicode MS" w:hAnsi="Arial Unicode MS" w:eastAsia="Arial Unicode MS" w:cs="Arial Unicode MS"/>
      <w:sz w:val="40"/>
      <w:szCs w:val="40"/>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Arial Unicode MS" w:hAnsi="Arial Unicode MS" w:eastAsia="Arial Unicode MS" w:cs="Arial Unicode MS"/>
      <w:sz w:val="30"/>
      <w:szCs w:val="30"/>
      <w:lang w:val="zh-CN" w:eastAsia="zh-CN" w:bidi="zh-CN"/>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15" w:firstLine="600"/>
    </w:pPr>
    <w:rPr>
      <w:rFonts w:ascii="Arial Unicode MS" w:hAnsi="Arial Unicode MS" w:eastAsia="Arial Unicode MS" w:cs="Arial Unicode MS"/>
      <w:lang w:val="zh-CN" w:eastAsia="zh-CN" w:bidi="zh-CN"/>
    </w:rPr>
  </w:style>
  <w:style w:type="paragraph" w:customStyle="1" w:styleId="9">
    <w:name w:val="Table Paragraph"/>
    <w:basedOn w:val="1"/>
    <w:qFormat/>
    <w:uiPriority w:val="1"/>
    <w:pPr>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249</TotalTime>
  <ScaleCrop>false</ScaleCrop>
  <LinksUpToDate>false</LinksUpToDate>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2020-05-22T06:22:00Z</dcterms:created>
  <dc:creator>computer</dc:creator>
  <cp:lastModifiedBy> 丽  小木  </cp:lastModifiedBy>
  <dcterms:modified xsi:type="dcterms:W3CDTF">2020-08-19T01:10:29Z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2018-06-04T00:00:00Z</vt:filetime>
  </property>
  <property fmtid="{D5CDD505-2E9C-101B-9397-08002B2CF9AE}" pid="3" name="Creator">
    <vt:lpwstr>WPS Office</vt:lpwstr>
  </property>
  <property fmtid="{D5CDD505-2E9C-101B-9397-08002B2CF9AE}" pid="4" name="LastSaved">
    <vt:filetime>2020-05-22T00:00:00Z</vt:filetime>
  </property>
  <property fmtid="{D5CDD505-2E9C-101B-9397-08002B2CF9AE}" pid="5" name="KSOProductBuildVer">
    <vt:lpwstr>2052-11.1.0.9912</vt:lpwstr>
  </property>
</Properties>
</file>