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val="0"/>
        <w:kinsoku/>
        <w:wordWrap/>
        <w:overflowPunct/>
        <w:topLinePunct w:val="0"/>
        <w:autoSpaceDE w:val="0"/>
        <w:autoSpaceDN w:val="0"/>
        <w:bidi w:val="0"/>
        <w:adjustRightInd/>
        <w:snapToGrid/>
        <w:spacing w:before="0" w:line="600" w:lineRule="exact"/>
        <w:ind w:right="0"/>
        <w:jc w:val="both"/>
        <w:textAlignment w:val="auto"/>
        <w:rPr>
          <w:rFonts w:hint="eastAsia" w:ascii="仿宋" w:hAnsi="仿宋" w:eastAsia="仿宋" w:cs="仿宋"/>
          <w:sz w:val="32"/>
          <w:szCs w:val="32"/>
          <w:lang w:eastAsia="zh-CN"/>
        </w:rPr>
      </w:pPr>
      <w:r>
        <w:rPr>
          <w:rFonts w:hint="eastAsia" w:ascii="仿宋" w:hAnsi="仿宋" w:eastAsia="仿宋" w:cs="仿宋"/>
          <w:sz w:val="32"/>
          <w:szCs w:val="32"/>
        </w:rPr>
        <w:t>附件</w:t>
      </w:r>
      <w:r>
        <w:rPr>
          <w:rFonts w:hint="eastAsia" w:ascii="仿宋" w:hAnsi="仿宋" w:eastAsia="仿宋" w:cs="仿宋"/>
          <w:sz w:val="32"/>
          <w:szCs w:val="32"/>
          <w:lang w:eastAsia="zh-CN"/>
        </w:rPr>
        <w:t>：</w:t>
      </w:r>
    </w:p>
    <w:p>
      <w:pPr>
        <w:pStyle w:val="3"/>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jc w:val="both"/>
        <w:textAlignment w:val="auto"/>
        <w:rPr>
          <w:rFonts w:hint="eastAsia" w:ascii="仿宋" w:hAnsi="仿宋" w:eastAsia="仿宋" w:cs="仿宋"/>
          <w:sz w:val="32"/>
          <w:szCs w:val="32"/>
        </w:rPr>
      </w:pPr>
    </w:p>
    <w:p>
      <w:pPr>
        <w:pStyle w:val="2"/>
        <w:keepNext w:val="0"/>
        <w:keepLines w:val="0"/>
        <w:pageBreakBefore w:val="0"/>
        <w:widowControl w:val="0"/>
        <w:kinsoku/>
        <w:wordWrap/>
        <w:overflowPunct/>
        <w:topLinePunct w:val="0"/>
        <w:autoSpaceDE w:val="0"/>
        <w:autoSpaceDN w:val="0"/>
        <w:bidi w:val="0"/>
        <w:adjustRightInd/>
        <w:snapToGrid/>
        <w:spacing w:before="0" w:line="600" w:lineRule="exact"/>
        <w:ind w:left="0" w:leftChars="0" w:right="0" w:firstLine="0" w:firstLineChars="0"/>
        <w:jc w:val="center"/>
        <w:textAlignment w:val="auto"/>
        <w:rPr>
          <w:rFonts w:hint="eastAsia" w:ascii="方正小标宋简体" w:hAnsi="方正小标宋简体" w:eastAsia="方正小标宋简体" w:cs="方正小标宋简体"/>
          <w:color w:val="333333"/>
          <w:sz w:val="44"/>
          <w:szCs w:val="44"/>
        </w:rPr>
      </w:pPr>
      <w:r>
        <w:rPr>
          <w:rFonts w:hint="eastAsia" w:ascii="方正小标宋简体" w:hAnsi="方正小标宋简体" w:eastAsia="方正小标宋简体" w:cs="方正小标宋简体"/>
          <w:color w:val="333333"/>
          <w:sz w:val="44"/>
          <w:szCs w:val="44"/>
        </w:rPr>
        <w:t>关于对科研领域相关失信责任主体</w:t>
      </w:r>
    </w:p>
    <w:p>
      <w:pPr>
        <w:pStyle w:val="2"/>
        <w:keepNext w:val="0"/>
        <w:keepLines w:val="0"/>
        <w:pageBreakBefore w:val="0"/>
        <w:widowControl w:val="0"/>
        <w:kinsoku/>
        <w:wordWrap/>
        <w:overflowPunct/>
        <w:topLinePunct w:val="0"/>
        <w:autoSpaceDE w:val="0"/>
        <w:autoSpaceDN w:val="0"/>
        <w:bidi w:val="0"/>
        <w:adjustRightInd/>
        <w:snapToGrid/>
        <w:spacing w:before="0" w:line="600" w:lineRule="exact"/>
        <w:ind w:left="0" w:leftChars="0" w:right="0" w:firstLine="0" w:firstLineChars="0"/>
        <w:jc w:val="center"/>
        <w:textAlignment w:val="auto"/>
        <w:rPr>
          <w:rFonts w:hint="eastAsia" w:ascii="仿宋" w:hAnsi="仿宋" w:eastAsia="仿宋" w:cs="仿宋"/>
          <w:sz w:val="32"/>
          <w:szCs w:val="32"/>
        </w:rPr>
      </w:pPr>
      <w:r>
        <w:rPr>
          <w:rFonts w:hint="eastAsia" w:ascii="方正小标宋简体" w:hAnsi="方正小标宋简体" w:eastAsia="方正小标宋简体" w:cs="方正小标宋简体"/>
          <w:color w:val="333333"/>
          <w:sz w:val="44"/>
          <w:szCs w:val="44"/>
        </w:rPr>
        <w:t>实施联合惩戒的合作备忘录</w:t>
      </w:r>
    </w:p>
    <w:p>
      <w:pPr>
        <w:pStyle w:val="3"/>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jc w:val="both"/>
        <w:textAlignment w:val="auto"/>
        <w:rPr>
          <w:rFonts w:hint="eastAsia" w:ascii="仿宋" w:hAnsi="仿宋" w:eastAsia="仿宋" w:cs="仿宋"/>
          <w:sz w:val="32"/>
          <w:szCs w:val="32"/>
        </w:rPr>
      </w:pPr>
    </w:p>
    <w:p>
      <w:pPr>
        <w:pStyle w:val="3"/>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为深入学习贯彻习近平新时代中国特色社会主义思想和党的十九</w:t>
      </w:r>
      <w:r>
        <w:rPr>
          <w:rFonts w:hint="eastAsia" w:ascii="仿宋" w:hAnsi="仿宋" w:eastAsia="仿宋" w:cs="仿宋"/>
          <w:spacing w:val="-22"/>
          <w:sz w:val="32"/>
          <w:szCs w:val="32"/>
        </w:rPr>
        <w:t>大精神，落实《国务院关于印发社会信用体系建设规划纲要</w:t>
      </w:r>
      <w:r>
        <w:rPr>
          <w:rFonts w:hint="eastAsia" w:ascii="仿宋" w:hAnsi="仿宋" w:eastAsia="仿宋" w:cs="仿宋"/>
          <w:sz w:val="32"/>
          <w:szCs w:val="32"/>
        </w:rPr>
        <w:t>（2014-2020年</w:t>
      </w:r>
      <w:r>
        <w:rPr>
          <w:rFonts w:hint="eastAsia" w:ascii="仿宋" w:hAnsi="仿宋" w:eastAsia="仿宋" w:cs="仿宋"/>
          <w:spacing w:val="-8"/>
          <w:sz w:val="32"/>
          <w:szCs w:val="32"/>
        </w:rPr>
        <w:t>）</w:t>
      </w:r>
      <w:r>
        <w:rPr>
          <w:rFonts w:hint="eastAsia" w:ascii="仿宋" w:hAnsi="仿宋" w:eastAsia="仿宋" w:cs="仿宋"/>
          <w:spacing w:val="-3"/>
          <w:sz w:val="32"/>
          <w:szCs w:val="32"/>
        </w:rPr>
        <w:t>的通知》</w:t>
      </w:r>
      <w:r>
        <w:rPr>
          <w:rFonts w:hint="eastAsia" w:ascii="仿宋" w:hAnsi="仿宋" w:eastAsia="仿宋" w:cs="仿宋"/>
          <w:sz w:val="32"/>
          <w:szCs w:val="32"/>
        </w:rPr>
        <w:t>（</w:t>
      </w:r>
      <w:r>
        <w:rPr>
          <w:rFonts w:hint="eastAsia" w:ascii="仿宋" w:hAnsi="仿宋" w:eastAsia="仿宋" w:cs="仿宋"/>
          <w:spacing w:val="-3"/>
          <w:sz w:val="32"/>
          <w:szCs w:val="32"/>
        </w:rPr>
        <w:t>国发〔</w:t>
      </w:r>
      <w:r>
        <w:rPr>
          <w:rFonts w:hint="eastAsia" w:ascii="仿宋" w:hAnsi="仿宋" w:eastAsia="仿宋" w:cs="仿宋"/>
          <w:sz w:val="32"/>
          <w:szCs w:val="32"/>
        </w:rPr>
        <w:t>2014</w:t>
      </w:r>
      <w:r>
        <w:rPr>
          <w:rFonts w:hint="eastAsia" w:ascii="仿宋" w:hAnsi="仿宋" w:eastAsia="仿宋" w:cs="仿宋"/>
          <w:spacing w:val="-8"/>
          <w:sz w:val="32"/>
          <w:szCs w:val="32"/>
        </w:rPr>
        <w:t>〕</w:t>
      </w:r>
      <w:r>
        <w:rPr>
          <w:rFonts w:hint="eastAsia" w:ascii="仿宋" w:hAnsi="仿宋" w:eastAsia="仿宋" w:cs="仿宋"/>
          <w:sz w:val="32"/>
          <w:szCs w:val="32"/>
        </w:rPr>
        <w:t>21</w:t>
      </w:r>
      <w:r>
        <w:rPr>
          <w:rFonts w:hint="eastAsia" w:ascii="仿宋" w:hAnsi="仿宋" w:eastAsia="仿宋" w:cs="仿宋"/>
          <w:spacing w:val="3"/>
          <w:sz w:val="32"/>
          <w:szCs w:val="32"/>
        </w:rPr>
        <w:t xml:space="preserve"> </w:t>
      </w:r>
      <w:r>
        <w:rPr>
          <w:rFonts w:hint="eastAsia" w:ascii="仿宋" w:hAnsi="仿宋" w:eastAsia="仿宋" w:cs="仿宋"/>
          <w:sz w:val="32"/>
          <w:szCs w:val="32"/>
        </w:rPr>
        <w:t>号</w:t>
      </w:r>
      <w:r>
        <w:rPr>
          <w:rFonts w:hint="eastAsia" w:ascii="仿宋" w:hAnsi="仿宋" w:eastAsia="仿宋" w:cs="仿宋"/>
          <w:spacing w:val="-8"/>
          <w:sz w:val="32"/>
          <w:szCs w:val="32"/>
        </w:rPr>
        <w:t>）</w:t>
      </w:r>
      <w:r>
        <w:rPr>
          <w:rFonts w:hint="eastAsia" w:ascii="仿宋" w:hAnsi="仿宋" w:eastAsia="仿宋" w:cs="仿宋"/>
          <w:spacing w:val="-4"/>
          <w:sz w:val="32"/>
          <w:szCs w:val="32"/>
        </w:rPr>
        <w:t>、《国务院关于改进加强中央财</w:t>
      </w:r>
      <w:r>
        <w:rPr>
          <w:rFonts w:hint="eastAsia" w:ascii="仿宋" w:hAnsi="仿宋" w:eastAsia="仿宋" w:cs="仿宋"/>
          <w:spacing w:val="-3"/>
          <w:sz w:val="32"/>
          <w:szCs w:val="32"/>
        </w:rPr>
        <w:t>政科研项目和资金管理的若干意见》（</w:t>
      </w:r>
      <w:r>
        <w:rPr>
          <w:rFonts w:hint="eastAsia" w:ascii="仿宋" w:hAnsi="仿宋" w:eastAsia="仿宋" w:cs="仿宋"/>
          <w:spacing w:val="-8"/>
          <w:sz w:val="32"/>
          <w:szCs w:val="32"/>
        </w:rPr>
        <w:t>国发〔</w:t>
      </w:r>
      <w:r>
        <w:rPr>
          <w:rFonts w:hint="eastAsia" w:ascii="仿宋" w:hAnsi="仿宋" w:eastAsia="仿宋" w:cs="仿宋"/>
          <w:sz w:val="32"/>
          <w:szCs w:val="32"/>
        </w:rPr>
        <w:t>2014</w:t>
      </w:r>
      <w:r>
        <w:rPr>
          <w:rFonts w:hint="eastAsia" w:ascii="仿宋" w:hAnsi="仿宋" w:eastAsia="仿宋" w:cs="仿宋"/>
          <w:spacing w:val="-24"/>
          <w:sz w:val="32"/>
          <w:szCs w:val="32"/>
        </w:rPr>
        <w:t>〕</w:t>
      </w:r>
      <w:r>
        <w:rPr>
          <w:rFonts w:hint="eastAsia" w:ascii="仿宋" w:hAnsi="仿宋" w:eastAsia="仿宋" w:cs="仿宋"/>
          <w:spacing w:val="-5"/>
          <w:sz w:val="32"/>
          <w:szCs w:val="32"/>
        </w:rPr>
        <w:t xml:space="preserve">11 </w:t>
      </w:r>
      <w:r>
        <w:rPr>
          <w:rFonts w:hint="eastAsia" w:ascii="仿宋" w:hAnsi="仿宋" w:eastAsia="仿宋" w:cs="仿宋"/>
          <w:sz w:val="32"/>
          <w:szCs w:val="32"/>
        </w:rPr>
        <w:t>号)</w:t>
      </w:r>
      <w:r>
        <w:rPr>
          <w:rFonts w:hint="eastAsia" w:ascii="仿宋" w:hAnsi="仿宋" w:eastAsia="仿宋" w:cs="仿宋"/>
          <w:spacing w:val="-10"/>
          <w:sz w:val="32"/>
          <w:szCs w:val="32"/>
        </w:rPr>
        <w:t>、《国务院关于建立完善守信联合激励和失信联合惩戒制度加快推进社会诚信建</w:t>
      </w:r>
      <w:r>
        <w:rPr>
          <w:rFonts w:hint="eastAsia" w:ascii="仿宋" w:hAnsi="仿宋" w:eastAsia="仿宋" w:cs="仿宋"/>
          <w:spacing w:val="-11"/>
          <w:sz w:val="32"/>
          <w:szCs w:val="32"/>
        </w:rPr>
        <w:t>设的指导意见》</w:t>
      </w:r>
      <w:r>
        <w:rPr>
          <w:rFonts w:hint="eastAsia" w:ascii="仿宋" w:hAnsi="仿宋" w:eastAsia="仿宋" w:cs="仿宋"/>
          <w:sz w:val="32"/>
          <w:szCs w:val="32"/>
        </w:rPr>
        <w:t>（</w:t>
      </w:r>
      <w:r>
        <w:rPr>
          <w:rFonts w:hint="eastAsia" w:ascii="仿宋" w:hAnsi="仿宋" w:eastAsia="仿宋" w:cs="仿宋"/>
          <w:spacing w:val="-3"/>
          <w:sz w:val="32"/>
          <w:szCs w:val="32"/>
        </w:rPr>
        <w:t>国发〔</w:t>
      </w:r>
      <w:r>
        <w:rPr>
          <w:rFonts w:hint="eastAsia" w:ascii="仿宋" w:hAnsi="仿宋" w:eastAsia="仿宋" w:cs="仿宋"/>
          <w:sz w:val="32"/>
          <w:szCs w:val="32"/>
        </w:rPr>
        <w:t>2016</w:t>
      </w:r>
      <w:r>
        <w:rPr>
          <w:rFonts w:hint="eastAsia" w:ascii="仿宋" w:hAnsi="仿宋" w:eastAsia="仿宋" w:cs="仿宋"/>
          <w:spacing w:val="-8"/>
          <w:sz w:val="32"/>
          <w:szCs w:val="32"/>
        </w:rPr>
        <w:t>〕</w:t>
      </w:r>
      <w:r>
        <w:rPr>
          <w:rFonts w:hint="eastAsia" w:ascii="仿宋" w:hAnsi="仿宋" w:eastAsia="仿宋" w:cs="仿宋"/>
          <w:sz w:val="32"/>
          <w:szCs w:val="32"/>
        </w:rPr>
        <w:t>33</w:t>
      </w:r>
      <w:r>
        <w:rPr>
          <w:rFonts w:hint="eastAsia" w:ascii="仿宋" w:hAnsi="仿宋" w:eastAsia="仿宋" w:cs="仿宋"/>
          <w:spacing w:val="-1"/>
          <w:sz w:val="32"/>
          <w:szCs w:val="32"/>
        </w:rPr>
        <w:t xml:space="preserve"> </w:t>
      </w:r>
      <w:r>
        <w:rPr>
          <w:rFonts w:hint="eastAsia" w:ascii="仿宋" w:hAnsi="仿宋" w:eastAsia="仿宋" w:cs="仿宋"/>
          <w:sz w:val="32"/>
          <w:szCs w:val="32"/>
        </w:rPr>
        <w:t>号</w:t>
      </w:r>
      <w:r>
        <w:rPr>
          <w:rFonts w:hint="eastAsia" w:ascii="仿宋" w:hAnsi="仿宋" w:eastAsia="仿宋" w:cs="仿宋"/>
          <w:spacing w:val="-8"/>
          <w:sz w:val="32"/>
          <w:szCs w:val="32"/>
        </w:rPr>
        <w:t>）</w:t>
      </w:r>
      <w:r>
        <w:rPr>
          <w:rFonts w:hint="eastAsia" w:ascii="仿宋" w:hAnsi="仿宋" w:eastAsia="仿宋" w:cs="仿宋"/>
          <w:spacing w:val="-4"/>
          <w:sz w:val="32"/>
          <w:szCs w:val="32"/>
        </w:rPr>
        <w:t>、《中华人民共和国科学技术</w:t>
      </w:r>
      <w:r>
        <w:rPr>
          <w:rFonts w:hint="eastAsia" w:ascii="仿宋" w:hAnsi="仿宋" w:eastAsia="仿宋" w:cs="仿宋"/>
          <w:spacing w:val="-9"/>
          <w:sz w:val="32"/>
          <w:szCs w:val="32"/>
        </w:rPr>
        <w:t>进步法》《国家发展改革委 人民银行关于加强和规范守信联合激励和</w:t>
      </w:r>
      <w:r>
        <w:rPr>
          <w:rFonts w:hint="eastAsia" w:ascii="仿宋" w:hAnsi="仿宋" w:eastAsia="仿宋" w:cs="仿宋"/>
          <w:spacing w:val="-8"/>
          <w:sz w:val="32"/>
          <w:szCs w:val="32"/>
        </w:rPr>
        <w:t>失信联合惩戒对象名单管理工作的指导意见》</w:t>
      </w:r>
      <w:r>
        <w:rPr>
          <w:rFonts w:hint="eastAsia" w:ascii="仿宋" w:hAnsi="仿宋" w:eastAsia="仿宋" w:cs="仿宋"/>
          <w:sz w:val="32"/>
          <w:szCs w:val="32"/>
        </w:rPr>
        <w:t>（</w:t>
      </w:r>
      <w:r>
        <w:rPr>
          <w:rFonts w:hint="eastAsia" w:ascii="仿宋" w:hAnsi="仿宋" w:eastAsia="仿宋" w:cs="仿宋"/>
          <w:spacing w:val="-14"/>
          <w:sz w:val="32"/>
          <w:szCs w:val="32"/>
        </w:rPr>
        <w:t>发改财金〔</w:t>
      </w:r>
      <w:r>
        <w:rPr>
          <w:rFonts w:hint="eastAsia" w:ascii="仿宋" w:hAnsi="仿宋" w:eastAsia="仿宋" w:cs="仿宋"/>
          <w:sz w:val="32"/>
          <w:szCs w:val="32"/>
        </w:rPr>
        <w:t>2017</w:t>
      </w:r>
      <w:r>
        <w:rPr>
          <w:rFonts w:hint="eastAsia" w:ascii="仿宋" w:hAnsi="仿宋" w:eastAsia="仿宋" w:cs="仿宋"/>
          <w:spacing w:val="-70"/>
          <w:sz w:val="32"/>
          <w:szCs w:val="32"/>
        </w:rPr>
        <w:t>〕</w:t>
      </w:r>
      <w:r>
        <w:rPr>
          <w:rFonts w:hint="eastAsia" w:ascii="仿宋" w:hAnsi="仿宋" w:eastAsia="仿宋" w:cs="仿宋"/>
          <w:sz w:val="32"/>
          <w:szCs w:val="32"/>
        </w:rPr>
        <w:t>1798 号）等有关要求，加强科研诚信体系建设，建立健全科研领域失信联合惩戒机制，构筑诚实守信的科技创新环境，国家发展改革委、人民银行、科技部、中央组织部、中央宣传部、中央编办、中央文明办、中央网信办、最高法院、最高检察院、中央军委装备发展部、中央军委科学技术委员会、教育部、工业和信息化部、公安部、财政部、人力资源社会保障部、自然资源部、住房城乡建设部、交通运输部、水利部、农业农村部、商务部、卫生健康委、国资委、海关总署、税务总局、市场监管总局、广电总局、中科院、社科院、工程院、银保监会、证监会、自然科学基金会、民航局、全国总工会、共青团中央、全国妇联、中国科协、铁路总公司就科研领域实施失信联合惩戒达成如下一致意见。</w:t>
      </w:r>
    </w:p>
    <w:p>
      <w:pPr>
        <w:pStyle w:val="3"/>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jc w:val="both"/>
        <w:textAlignment w:val="auto"/>
        <w:rPr>
          <w:rFonts w:hint="eastAsia" w:ascii="黑体" w:hAnsi="黑体" w:eastAsia="黑体" w:cs="黑体"/>
          <w:sz w:val="32"/>
          <w:szCs w:val="32"/>
        </w:rPr>
      </w:pPr>
      <w:r>
        <w:rPr>
          <w:rFonts w:hint="eastAsia" w:ascii="黑体" w:hAnsi="黑体" w:eastAsia="黑体" w:cs="黑体"/>
          <w:color w:val="333333"/>
          <w:sz w:val="32"/>
          <w:szCs w:val="32"/>
        </w:rPr>
        <w:t>一、联合惩戒对象</w:t>
      </w:r>
    </w:p>
    <w:p>
      <w:pPr>
        <w:pStyle w:val="3"/>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联合惩戒对象为在科研领域存在严重失信行为，列入科研诚信严</w:t>
      </w:r>
      <w:r>
        <w:rPr>
          <w:rFonts w:hint="eastAsia" w:ascii="仿宋" w:hAnsi="仿宋" w:eastAsia="仿宋" w:cs="仿宋"/>
          <w:spacing w:val="-5"/>
          <w:sz w:val="32"/>
          <w:szCs w:val="32"/>
        </w:rPr>
        <w:t>重失信行为记录名单的相关责任主体，包括科技计划</w:t>
      </w:r>
      <w:r>
        <w:rPr>
          <w:rFonts w:hint="eastAsia" w:ascii="仿宋" w:hAnsi="仿宋" w:eastAsia="仿宋" w:cs="仿宋"/>
          <w:sz w:val="32"/>
          <w:szCs w:val="32"/>
        </w:rPr>
        <w:t>（</w:t>
      </w:r>
      <w:r>
        <w:rPr>
          <w:rFonts w:hint="eastAsia" w:ascii="仿宋" w:hAnsi="仿宋" w:eastAsia="仿宋" w:cs="仿宋"/>
          <w:spacing w:val="-8"/>
          <w:sz w:val="32"/>
          <w:szCs w:val="32"/>
        </w:rPr>
        <w:t>专项、基金等</w:t>
      </w:r>
      <w:r>
        <w:rPr>
          <w:rFonts w:hint="eastAsia" w:ascii="仿宋" w:hAnsi="仿宋" w:eastAsia="仿宋" w:cs="仿宋"/>
          <w:spacing w:val="-17"/>
          <w:sz w:val="32"/>
          <w:szCs w:val="32"/>
        </w:rPr>
        <w:t xml:space="preserve">） </w:t>
      </w:r>
      <w:r>
        <w:rPr>
          <w:rFonts w:hint="eastAsia" w:ascii="仿宋" w:hAnsi="仿宋" w:eastAsia="仿宋" w:cs="仿宋"/>
          <w:sz w:val="32"/>
          <w:szCs w:val="32"/>
        </w:rPr>
        <w:t>及项目的承担人员、评估人员、评审专家，科研服务人员和科学技术奖候选人、获奖人、提名人等自然人，项目承担单位、项目管理专业机构、中介服务机构、科学技术奖提名单位、全国学会等法人机构。</w:t>
      </w:r>
    </w:p>
    <w:p>
      <w:pPr>
        <w:pStyle w:val="3"/>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jc w:val="both"/>
        <w:textAlignment w:val="auto"/>
        <w:rPr>
          <w:rFonts w:hint="eastAsia" w:ascii="黑体" w:hAnsi="黑体" w:eastAsia="黑体" w:cs="黑体"/>
          <w:sz w:val="32"/>
          <w:szCs w:val="32"/>
        </w:rPr>
      </w:pPr>
      <w:r>
        <w:rPr>
          <w:rFonts w:hint="eastAsia" w:ascii="黑体" w:hAnsi="黑体" w:eastAsia="黑体" w:cs="黑体"/>
          <w:color w:val="333333"/>
          <w:sz w:val="32"/>
          <w:szCs w:val="32"/>
        </w:rPr>
        <w:t>二、联合惩戒措施</w:t>
      </w:r>
    </w:p>
    <w:p>
      <w:pPr>
        <w:pStyle w:val="3"/>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依据相关责任主体失信行为严重程度，对其采取以下一项或多项惩戒措施：</w:t>
      </w:r>
    </w:p>
    <w:p>
      <w:pPr>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jc w:val="both"/>
        <w:textAlignment w:val="auto"/>
        <w:rPr>
          <w:rFonts w:hint="eastAsia" w:ascii="楷体" w:hAnsi="楷体" w:eastAsia="楷体" w:cs="楷体"/>
          <w:b w:val="0"/>
          <w:bCs/>
          <w:sz w:val="32"/>
          <w:szCs w:val="32"/>
        </w:rPr>
      </w:pPr>
      <w:r>
        <w:rPr>
          <w:rFonts w:hint="eastAsia" w:ascii="楷体" w:hAnsi="楷体" w:eastAsia="楷体" w:cs="楷体"/>
          <w:b w:val="0"/>
          <w:bCs/>
          <w:color w:val="333333"/>
          <w:sz w:val="32"/>
          <w:szCs w:val="32"/>
        </w:rPr>
        <w:t>（一）科研诚信建设联席会议成员单位采取的惩戒措施</w:t>
      </w:r>
    </w:p>
    <w:p>
      <w:pPr>
        <w:pStyle w:val="7"/>
        <w:keepNext w:val="0"/>
        <w:keepLines w:val="0"/>
        <w:pageBreakBefore w:val="0"/>
        <w:widowControl w:val="0"/>
        <w:numPr>
          <w:ilvl w:val="0"/>
          <w:numId w:val="1"/>
        </w:numPr>
        <w:tabs>
          <w:tab w:val="left" w:pos="1150"/>
        </w:tabs>
        <w:kinsoku/>
        <w:wordWrap/>
        <w:overflowPunct/>
        <w:topLinePunct w:val="0"/>
        <w:autoSpaceDE w:val="0"/>
        <w:autoSpaceDN w:val="0"/>
        <w:bidi w:val="0"/>
        <w:adjustRightInd/>
        <w:snapToGrid/>
        <w:spacing w:before="0" w:after="0" w:line="600" w:lineRule="exact"/>
        <w:ind w:left="0" w:leftChars="0" w:right="0" w:rightChars="0" w:firstLine="620" w:firstLineChars="200"/>
        <w:jc w:val="both"/>
        <w:textAlignment w:val="auto"/>
        <w:rPr>
          <w:rFonts w:hint="eastAsia" w:ascii="仿宋" w:hAnsi="仿宋" w:eastAsia="仿宋" w:cs="仿宋"/>
          <w:sz w:val="32"/>
          <w:szCs w:val="32"/>
        </w:rPr>
      </w:pPr>
      <w:r>
        <w:rPr>
          <w:rFonts w:hint="eastAsia" w:ascii="仿宋" w:hAnsi="仿宋" w:eastAsia="仿宋" w:cs="仿宋"/>
          <w:spacing w:val="-5"/>
          <w:sz w:val="32"/>
          <w:szCs w:val="32"/>
        </w:rPr>
        <w:t>限制或取消一定期限申报或承担国家科技计划</w:t>
      </w:r>
      <w:r>
        <w:rPr>
          <w:rFonts w:hint="eastAsia" w:ascii="仿宋" w:hAnsi="仿宋" w:eastAsia="仿宋" w:cs="仿宋"/>
          <w:sz w:val="32"/>
          <w:szCs w:val="32"/>
        </w:rPr>
        <w:t>（</w:t>
      </w:r>
      <w:r>
        <w:rPr>
          <w:rFonts w:hint="eastAsia" w:ascii="仿宋" w:hAnsi="仿宋" w:eastAsia="仿宋" w:cs="仿宋"/>
          <w:spacing w:val="-17"/>
          <w:sz w:val="32"/>
          <w:szCs w:val="32"/>
        </w:rPr>
        <w:t>专项、基金等</w:t>
      </w:r>
      <w:r>
        <w:rPr>
          <w:rFonts w:hint="eastAsia" w:ascii="仿宋" w:hAnsi="仿宋" w:eastAsia="仿宋" w:cs="仿宋"/>
          <w:spacing w:val="-14"/>
          <w:sz w:val="32"/>
          <w:szCs w:val="32"/>
        </w:rPr>
        <w:t>）</w:t>
      </w:r>
      <w:r>
        <w:rPr>
          <w:rFonts w:hint="eastAsia" w:ascii="仿宋" w:hAnsi="仿宋" w:eastAsia="仿宋" w:cs="仿宋"/>
          <w:sz w:val="32"/>
          <w:szCs w:val="32"/>
        </w:rPr>
        <w:t>的资格。</w:t>
      </w:r>
    </w:p>
    <w:p>
      <w:pPr>
        <w:pStyle w:val="7"/>
        <w:keepNext w:val="0"/>
        <w:keepLines w:val="0"/>
        <w:pageBreakBefore w:val="0"/>
        <w:widowControl w:val="0"/>
        <w:numPr>
          <w:ilvl w:val="0"/>
          <w:numId w:val="1"/>
        </w:numPr>
        <w:tabs>
          <w:tab w:val="left" w:pos="1150"/>
        </w:tabs>
        <w:kinsoku/>
        <w:wordWrap/>
        <w:overflowPunct/>
        <w:topLinePunct w:val="0"/>
        <w:autoSpaceDE w:val="0"/>
        <w:autoSpaceDN w:val="0"/>
        <w:bidi w:val="0"/>
        <w:adjustRightInd/>
        <w:snapToGrid/>
        <w:spacing w:before="0" w:after="0" w:line="600" w:lineRule="exact"/>
        <w:ind w:left="0" w:leftChars="0" w:right="0" w:righ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依法撤销国家科学技术奖奖励，追回奖金、证书。</w:t>
      </w:r>
    </w:p>
    <w:p>
      <w:pPr>
        <w:pStyle w:val="7"/>
        <w:keepNext w:val="0"/>
        <w:keepLines w:val="0"/>
        <w:pageBreakBefore w:val="0"/>
        <w:widowControl w:val="0"/>
        <w:numPr>
          <w:ilvl w:val="0"/>
          <w:numId w:val="1"/>
        </w:numPr>
        <w:tabs>
          <w:tab w:val="left" w:pos="1150"/>
        </w:tabs>
        <w:kinsoku/>
        <w:wordWrap/>
        <w:overflowPunct/>
        <w:topLinePunct w:val="0"/>
        <w:autoSpaceDE w:val="0"/>
        <w:autoSpaceDN w:val="0"/>
        <w:bidi w:val="0"/>
        <w:adjustRightInd/>
        <w:snapToGrid/>
        <w:spacing w:before="0" w:after="0" w:line="600" w:lineRule="exact"/>
        <w:ind w:left="0" w:leftChars="0" w:right="0" w:righ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暂停或取消国家科学技术奖提名人资格。</w:t>
      </w:r>
    </w:p>
    <w:p>
      <w:pPr>
        <w:pStyle w:val="7"/>
        <w:keepNext w:val="0"/>
        <w:keepLines w:val="0"/>
        <w:pageBreakBefore w:val="0"/>
        <w:widowControl w:val="0"/>
        <w:numPr>
          <w:ilvl w:val="0"/>
          <w:numId w:val="1"/>
        </w:numPr>
        <w:tabs>
          <w:tab w:val="left" w:pos="1150"/>
        </w:tabs>
        <w:kinsoku/>
        <w:wordWrap/>
        <w:overflowPunct/>
        <w:topLinePunct w:val="0"/>
        <w:autoSpaceDE w:val="0"/>
        <w:autoSpaceDN w:val="0"/>
        <w:bidi w:val="0"/>
        <w:adjustRightInd/>
        <w:snapToGrid/>
        <w:spacing w:before="0" w:after="0" w:line="600" w:lineRule="exact"/>
        <w:ind w:left="0" w:leftChars="0" w:right="0" w:righ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一定期限内或终身取消国家科学技术奖被提名资格。</w:t>
      </w:r>
    </w:p>
    <w:p>
      <w:pPr>
        <w:pStyle w:val="7"/>
        <w:keepNext w:val="0"/>
        <w:keepLines w:val="0"/>
        <w:pageBreakBefore w:val="0"/>
        <w:widowControl w:val="0"/>
        <w:numPr>
          <w:ilvl w:val="0"/>
          <w:numId w:val="1"/>
        </w:numPr>
        <w:tabs>
          <w:tab w:val="left" w:pos="1150"/>
        </w:tabs>
        <w:kinsoku/>
        <w:wordWrap/>
        <w:overflowPunct/>
        <w:topLinePunct w:val="0"/>
        <w:autoSpaceDE w:val="0"/>
        <w:autoSpaceDN w:val="0"/>
        <w:bidi w:val="0"/>
        <w:adjustRightInd/>
        <w:snapToGrid/>
        <w:spacing w:before="0" w:after="0" w:line="600" w:lineRule="exact"/>
        <w:ind w:left="0" w:leftChars="0" w:right="0" w:righ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作为高新技术企业认定管理工作监督检查和备案等相关工作</w:t>
      </w:r>
      <w:r>
        <w:rPr>
          <w:rFonts w:hint="eastAsia" w:ascii="仿宋" w:hAnsi="仿宋" w:eastAsia="仿宋" w:cs="仿宋"/>
          <w:spacing w:val="-4"/>
          <w:sz w:val="32"/>
          <w:szCs w:val="32"/>
        </w:rPr>
        <w:t>的重点监管对象。</w:t>
      </w:r>
    </w:p>
    <w:p>
      <w:pPr>
        <w:pStyle w:val="7"/>
        <w:keepNext w:val="0"/>
        <w:keepLines w:val="0"/>
        <w:pageBreakBefore w:val="0"/>
        <w:widowControl w:val="0"/>
        <w:numPr>
          <w:ilvl w:val="0"/>
          <w:numId w:val="1"/>
        </w:numPr>
        <w:tabs>
          <w:tab w:val="left" w:pos="1150"/>
        </w:tabs>
        <w:kinsoku/>
        <w:wordWrap/>
        <w:overflowPunct/>
        <w:topLinePunct w:val="0"/>
        <w:autoSpaceDE w:val="0"/>
        <w:autoSpaceDN w:val="0"/>
        <w:bidi w:val="0"/>
        <w:adjustRightInd/>
        <w:snapToGrid/>
        <w:spacing w:before="0" w:after="0" w:line="600" w:lineRule="exact"/>
        <w:ind w:left="0" w:leftChars="0" w:right="0" w:rightChars="0" w:firstLine="628" w:firstLineChars="200"/>
        <w:jc w:val="both"/>
        <w:textAlignment w:val="auto"/>
        <w:rPr>
          <w:rFonts w:hint="eastAsia" w:ascii="仿宋" w:hAnsi="仿宋" w:eastAsia="仿宋" w:cs="仿宋"/>
          <w:sz w:val="32"/>
          <w:szCs w:val="32"/>
        </w:rPr>
      </w:pPr>
      <w:r>
        <w:rPr>
          <w:rFonts w:hint="eastAsia" w:ascii="仿宋" w:hAnsi="仿宋" w:eastAsia="仿宋" w:cs="仿宋"/>
          <w:spacing w:val="-3"/>
          <w:sz w:val="32"/>
          <w:szCs w:val="32"/>
        </w:rPr>
        <w:t>撤销其行为发生年科技型中小企业入库登记编号，并在服务</w:t>
      </w:r>
      <w:r>
        <w:rPr>
          <w:rFonts w:hint="eastAsia" w:ascii="仿宋" w:hAnsi="仿宋" w:eastAsia="仿宋" w:cs="仿宋"/>
          <w:spacing w:val="-4"/>
          <w:sz w:val="32"/>
          <w:szCs w:val="32"/>
        </w:rPr>
        <w:t>平台上公告。</w:t>
      </w:r>
    </w:p>
    <w:p>
      <w:pPr>
        <w:pStyle w:val="3"/>
        <w:keepNext w:val="0"/>
        <w:keepLines w:val="0"/>
        <w:pageBreakBefore w:val="0"/>
        <w:widowControl w:val="0"/>
        <w:numPr>
          <w:ilvl w:val="0"/>
          <w:numId w:val="1"/>
        </w:numPr>
        <w:kinsoku/>
        <w:wordWrap/>
        <w:overflowPunct/>
        <w:topLinePunct w:val="0"/>
        <w:autoSpaceDE w:val="0"/>
        <w:autoSpaceDN w:val="0"/>
        <w:bidi w:val="0"/>
        <w:adjustRightInd/>
        <w:snapToGrid/>
        <w:spacing w:before="0" w:line="600" w:lineRule="exact"/>
        <w:ind w:left="0" w:leftChars="0" w:right="0" w:firstLine="620" w:firstLineChars="200"/>
        <w:jc w:val="both"/>
        <w:textAlignment w:val="auto"/>
        <w:rPr>
          <w:rFonts w:hint="eastAsia" w:ascii="仿宋" w:hAnsi="仿宋" w:eastAsia="仿宋" w:cs="仿宋"/>
          <w:sz w:val="32"/>
          <w:szCs w:val="32"/>
        </w:rPr>
      </w:pPr>
      <w:r>
        <w:rPr>
          <w:rFonts w:hint="eastAsia" w:ascii="仿宋" w:hAnsi="仿宋" w:eastAsia="仿宋" w:cs="仿宋"/>
          <w:spacing w:val="-5"/>
          <w:sz w:val="32"/>
          <w:szCs w:val="32"/>
        </w:rPr>
        <w:t>在科技计划</w:t>
      </w:r>
      <w:r>
        <w:rPr>
          <w:rFonts w:hint="eastAsia" w:ascii="仿宋" w:hAnsi="仿宋" w:eastAsia="仿宋" w:cs="仿宋"/>
          <w:sz w:val="32"/>
          <w:szCs w:val="32"/>
        </w:rPr>
        <w:t>（</w:t>
      </w:r>
      <w:r>
        <w:rPr>
          <w:rFonts w:hint="eastAsia" w:ascii="仿宋" w:hAnsi="仿宋" w:eastAsia="仿宋" w:cs="仿宋"/>
          <w:spacing w:val="-5"/>
          <w:sz w:val="32"/>
          <w:szCs w:val="32"/>
        </w:rPr>
        <w:t>专项、基金等</w:t>
      </w:r>
      <w:r>
        <w:rPr>
          <w:rFonts w:hint="eastAsia" w:ascii="仿宋" w:hAnsi="仿宋" w:eastAsia="仿宋" w:cs="仿宋"/>
          <w:spacing w:val="-22"/>
          <w:sz w:val="32"/>
          <w:szCs w:val="32"/>
        </w:rPr>
        <w:t>）</w:t>
      </w:r>
      <w:r>
        <w:rPr>
          <w:rFonts w:hint="eastAsia" w:ascii="仿宋" w:hAnsi="仿宋" w:eastAsia="仿宋" w:cs="仿宋"/>
          <w:spacing w:val="-6"/>
          <w:sz w:val="32"/>
          <w:szCs w:val="32"/>
        </w:rPr>
        <w:t>项目立项、评审专家遴选、职称</w:t>
      </w:r>
      <w:r>
        <w:rPr>
          <w:rFonts w:hint="eastAsia" w:ascii="仿宋" w:hAnsi="仿宋" w:eastAsia="仿宋" w:cs="仿宋"/>
          <w:sz w:val="32"/>
          <w:szCs w:val="32"/>
        </w:rPr>
        <w:t>评定、职务晋升、项目管理专业机构选定、科技奖励评审、间接费用核定、结余资金留用及创新基地与人才遴选、考核评估等工作中，将失信信息作为重要参考依据。</w:t>
      </w:r>
    </w:p>
    <w:p>
      <w:pPr>
        <w:pStyle w:val="7"/>
        <w:keepNext w:val="0"/>
        <w:keepLines w:val="0"/>
        <w:pageBreakBefore w:val="0"/>
        <w:widowControl w:val="0"/>
        <w:numPr>
          <w:ilvl w:val="0"/>
          <w:numId w:val="1"/>
        </w:numPr>
        <w:tabs>
          <w:tab w:val="left" w:pos="1150"/>
        </w:tabs>
        <w:kinsoku/>
        <w:wordWrap/>
        <w:overflowPunct/>
        <w:topLinePunct w:val="0"/>
        <w:autoSpaceDE w:val="0"/>
        <w:autoSpaceDN w:val="0"/>
        <w:bidi w:val="0"/>
        <w:adjustRightInd/>
        <w:snapToGrid/>
        <w:spacing w:before="0" w:after="0" w:line="600" w:lineRule="exact"/>
        <w:ind w:left="0" w:leftChars="0" w:right="0" w:rightChars="0" w:firstLine="620" w:firstLineChars="200"/>
        <w:jc w:val="both"/>
        <w:textAlignment w:val="auto"/>
        <w:rPr>
          <w:rFonts w:hint="eastAsia" w:ascii="仿宋" w:hAnsi="仿宋" w:eastAsia="仿宋" w:cs="仿宋"/>
          <w:sz w:val="32"/>
          <w:szCs w:val="32"/>
        </w:rPr>
      </w:pPr>
      <w:r>
        <w:rPr>
          <w:rFonts w:hint="eastAsia" w:ascii="仿宋" w:hAnsi="仿宋" w:eastAsia="仿宋" w:cs="仿宋"/>
          <w:spacing w:val="-5"/>
          <w:sz w:val="32"/>
          <w:szCs w:val="32"/>
        </w:rPr>
        <w:t>列为重点监管对象，增加在国家科技计划</w:t>
      </w:r>
      <w:r>
        <w:rPr>
          <w:rFonts w:hint="eastAsia" w:ascii="仿宋" w:hAnsi="仿宋" w:eastAsia="仿宋" w:cs="仿宋"/>
          <w:sz w:val="32"/>
          <w:szCs w:val="32"/>
        </w:rPr>
        <w:t>（</w:t>
      </w:r>
      <w:r>
        <w:rPr>
          <w:rFonts w:hint="eastAsia" w:ascii="仿宋" w:hAnsi="仿宋" w:eastAsia="仿宋" w:cs="仿宋"/>
          <w:spacing w:val="-5"/>
          <w:sz w:val="32"/>
          <w:szCs w:val="32"/>
        </w:rPr>
        <w:t>专项、基金等</w:t>
      </w:r>
      <w:r>
        <w:rPr>
          <w:rFonts w:hint="eastAsia" w:ascii="仿宋" w:hAnsi="仿宋" w:eastAsia="仿宋" w:cs="仿宋"/>
          <w:spacing w:val="-25"/>
          <w:sz w:val="32"/>
          <w:szCs w:val="32"/>
        </w:rPr>
        <w:t xml:space="preserve">） </w:t>
      </w:r>
      <w:r>
        <w:rPr>
          <w:rFonts w:hint="eastAsia" w:ascii="仿宋" w:hAnsi="仿宋" w:eastAsia="仿宋" w:cs="仿宋"/>
          <w:spacing w:val="-4"/>
          <w:sz w:val="32"/>
          <w:szCs w:val="32"/>
        </w:rPr>
        <w:t>实施中的监督检查频次。</w:t>
      </w:r>
    </w:p>
    <w:p>
      <w:pPr>
        <w:pStyle w:val="7"/>
        <w:keepNext w:val="0"/>
        <w:keepLines w:val="0"/>
        <w:pageBreakBefore w:val="0"/>
        <w:widowControl w:val="0"/>
        <w:numPr>
          <w:ilvl w:val="0"/>
          <w:numId w:val="1"/>
        </w:numPr>
        <w:tabs>
          <w:tab w:val="left" w:pos="1075"/>
        </w:tabs>
        <w:kinsoku/>
        <w:wordWrap/>
        <w:overflowPunct/>
        <w:topLinePunct w:val="0"/>
        <w:autoSpaceDE w:val="0"/>
        <w:autoSpaceDN w:val="0"/>
        <w:bidi w:val="0"/>
        <w:adjustRightInd/>
        <w:snapToGrid/>
        <w:spacing w:before="0" w:after="0" w:line="600" w:lineRule="exact"/>
        <w:ind w:left="0" w:leftChars="0" w:right="0" w:righ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撤销学会领导职务，取消会员资格。</w:t>
      </w:r>
    </w:p>
    <w:p>
      <w:pPr>
        <w:pStyle w:val="3"/>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实施单位：科技部、最高法院、最高检察院、中央军委装备发展部、中央军委科学技术委员会、国家发展改革委、教育部、工业和信息化部、公安部、财政部、人力资源社会保障部、农业农村部、卫生健康委、市场监管总局、广电总局、中科院、社科院、工程院、自然科学基金会、中国科协）</w:t>
      </w:r>
    </w:p>
    <w:p>
      <w:pPr>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jc w:val="both"/>
        <w:textAlignment w:val="auto"/>
        <w:rPr>
          <w:rFonts w:hint="eastAsia" w:ascii="楷体" w:hAnsi="楷体" w:eastAsia="楷体" w:cs="楷体"/>
          <w:b w:val="0"/>
          <w:bCs/>
          <w:sz w:val="32"/>
          <w:szCs w:val="32"/>
        </w:rPr>
      </w:pPr>
      <w:r>
        <w:rPr>
          <w:rFonts w:hint="eastAsia" w:ascii="楷体" w:hAnsi="楷体" w:eastAsia="楷体" w:cs="楷体"/>
          <w:b w:val="0"/>
          <w:bCs/>
          <w:color w:val="333333"/>
          <w:sz w:val="32"/>
          <w:szCs w:val="32"/>
        </w:rPr>
        <w:t>（二）跨部门联合惩戒措施</w:t>
      </w:r>
    </w:p>
    <w:p>
      <w:pPr>
        <w:pStyle w:val="7"/>
        <w:keepNext w:val="0"/>
        <w:keepLines w:val="0"/>
        <w:pageBreakBefore w:val="0"/>
        <w:widowControl w:val="0"/>
        <w:numPr>
          <w:ilvl w:val="0"/>
          <w:numId w:val="1"/>
        </w:numPr>
        <w:tabs>
          <w:tab w:val="left" w:pos="1226"/>
        </w:tabs>
        <w:kinsoku/>
        <w:wordWrap/>
        <w:overflowPunct/>
        <w:topLinePunct w:val="0"/>
        <w:autoSpaceDE w:val="0"/>
        <w:autoSpaceDN w:val="0"/>
        <w:bidi w:val="0"/>
        <w:adjustRightInd/>
        <w:snapToGrid/>
        <w:spacing w:before="0" w:after="0" w:line="600" w:lineRule="exact"/>
        <w:ind w:left="0" w:leftChars="0" w:right="0" w:rightChars="0" w:firstLine="596" w:firstLineChars="200"/>
        <w:jc w:val="both"/>
        <w:textAlignment w:val="auto"/>
        <w:rPr>
          <w:rFonts w:hint="eastAsia" w:ascii="仿宋" w:hAnsi="仿宋" w:eastAsia="仿宋" w:cs="仿宋"/>
          <w:sz w:val="32"/>
          <w:szCs w:val="32"/>
        </w:rPr>
      </w:pPr>
      <w:r>
        <w:rPr>
          <w:rFonts w:hint="eastAsia" w:ascii="仿宋" w:hAnsi="仿宋" w:eastAsia="仿宋" w:cs="仿宋"/>
          <w:spacing w:val="-11"/>
          <w:sz w:val="32"/>
          <w:szCs w:val="32"/>
        </w:rPr>
        <w:t>一定期限内或终身取消中国科学院、中国工程院院士提名</w:t>
      </w:r>
      <w:r>
        <w:rPr>
          <w:rFonts w:hint="eastAsia" w:ascii="仿宋" w:hAnsi="仿宋" w:eastAsia="仿宋" w:cs="仿宋"/>
          <w:sz w:val="32"/>
          <w:szCs w:val="32"/>
        </w:rPr>
        <w:t>（推荐</w:t>
      </w:r>
      <w:r>
        <w:rPr>
          <w:rFonts w:hint="eastAsia" w:ascii="仿宋" w:hAnsi="仿宋" w:eastAsia="仿宋" w:cs="仿宋"/>
          <w:spacing w:val="-17"/>
          <w:sz w:val="32"/>
          <w:szCs w:val="32"/>
        </w:rPr>
        <w:t>）</w:t>
      </w:r>
      <w:r>
        <w:rPr>
          <w:rFonts w:hint="eastAsia" w:ascii="仿宋" w:hAnsi="仿宋" w:eastAsia="仿宋" w:cs="仿宋"/>
          <w:spacing w:val="-6"/>
          <w:sz w:val="32"/>
          <w:szCs w:val="32"/>
        </w:rPr>
        <w:t>资格、院士被提名</w:t>
      </w:r>
      <w:r>
        <w:rPr>
          <w:rFonts w:hint="eastAsia" w:ascii="仿宋" w:hAnsi="仿宋" w:eastAsia="仿宋" w:cs="仿宋"/>
          <w:sz w:val="32"/>
          <w:szCs w:val="32"/>
        </w:rPr>
        <w:t>（推荐</w:t>
      </w:r>
      <w:r>
        <w:rPr>
          <w:rFonts w:hint="eastAsia" w:ascii="仿宋" w:hAnsi="仿宋" w:eastAsia="仿宋" w:cs="仿宋"/>
          <w:spacing w:val="-15"/>
          <w:sz w:val="32"/>
          <w:szCs w:val="32"/>
        </w:rPr>
        <w:t>）</w:t>
      </w:r>
      <w:r>
        <w:rPr>
          <w:rFonts w:hint="eastAsia" w:ascii="仿宋" w:hAnsi="仿宋" w:eastAsia="仿宋" w:cs="仿宋"/>
          <w:spacing w:val="-11"/>
          <w:sz w:val="32"/>
          <w:szCs w:val="32"/>
        </w:rPr>
        <w:t>资格。</w:t>
      </w:r>
      <w:r>
        <w:rPr>
          <w:rFonts w:hint="eastAsia" w:ascii="仿宋" w:hAnsi="仿宋" w:eastAsia="仿宋" w:cs="仿宋"/>
          <w:sz w:val="32"/>
          <w:szCs w:val="32"/>
        </w:rPr>
        <w:t>（</w:t>
      </w:r>
      <w:r>
        <w:rPr>
          <w:rFonts w:hint="eastAsia" w:ascii="仿宋" w:hAnsi="仿宋" w:eastAsia="仿宋" w:cs="仿宋"/>
          <w:spacing w:val="-6"/>
          <w:sz w:val="32"/>
          <w:szCs w:val="32"/>
        </w:rPr>
        <w:t>实施单位：中科院、工程院、</w:t>
      </w:r>
      <w:r>
        <w:rPr>
          <w:rFonts w:hint="eastAsia" w:ascii="仿宋" w:hAnsi="仿宋" w:eastAsia="仿宋" w:cs="仿宋"/>
          <w:sz w:val="32"/>
          <w:szCs w:val="32"/>
        </w:rPr>
        <w:t>中国科协）</w:t>
      </w:r>
    </w:p>
    <w:p>
      <w:pPr>
        <w:pStyle w:val="7"/>
        <w:keepNext w:val="0"/>
        <w:keepLines w:val="0"/>
        <w:pageBreakBefore w:val="0"/>
        <w:widowControl w:val="0"/>
        <w:numPr>
          <w:ilvl w:val="0"/>
          <w:numId w:val="1"/>
        </w:numPr>
        <w:tabs>
          <w:tab w:val="left" w:pos="1301"/>
        </w:tabs>
        <w:kinsoku/>
        <w:wordWrap/>
        <w:overflowPunct/>
        <w:topLinePunct w:val="0"/>
        <w:autoSpaceDE w:val="0"/>
        <w:autoSpaceDN w:val="0"/>
        <w:bidi w:val="0"/>
        <w:adjustRightInd/>
        <w:snapToGrid/>
        <w:spacing w:before="0" w:after="0" w:line="600" w:lineRule="exact"/>
        <w:ind w:left="0" w:leftChars="0" w:right="0" w:rightChars="0" w:firstLine="596" w:firstLineChars="200"/>
        <w:jc w:val="both"/>
        <w:textAlignment w:val="auto"/>
        <w:rPr>
          <w:rFonts w:hint="eastAsia" w:ascii="仿宋" w:hAnsi="仿宋" w:eastAsia="仿宋" w:cs="仿宋"/>
          <w:sz w:val="32"/>
          <w:szCs w:val="32"/>
        </w:rPr>
      </w:pPr>
      <w:r>
        <w:rPr>
          <w:rFonts w:hint="eastAsia" w:ascii="仿宋" w:hAnsi="仿宋" w:eastAsia="仿宋" w:cs="仿宋"/>
          <w:spacing w:val="-11"/>
          <w:sz w:val="32"/>
          <w:szCs w:val="32"/>
        </w:rPr>
        <w:t>按程序及时撤销相关荣誉称号，取消参加评优评先资格。</w:t>
      </w:r>
      <w:r>
        <w:rPr>
          <w:rFonts w:hint="eastAsia" w:ascii="仿宋" w:hAnsi="仿宋" w:eastAsia="仿宋" w:cs="仿宋"/>
          <w:spacing w:val="-3"/>
          <w:sz w:val="32"/>
          <w:szCs w:val="32"/>
        </w:rPr>
        <w:t>（</w:t>
      </w:r>
      <w:r>
        <w:rPr>
          <w:rFonts w:hint="eastAsia" w:ascii="仿宋" w:hAnsi="仿宋" w:eastAsia="仿宋" w:cs="仿宋"/>
          <w:spacing w:val="-4"/>
          <w:sz w:val="32"/>
          <w:szCs w:val="32"/>
        </w:rPr>
        <w:t>实施单位：中央宣传部、中央文明办、人力资源社会保障部、全国总工会、共青团中央、全国妇联、中国科协</w:t>
      </w:r>
      <w:r>
        <w:rPr>
          <w:rFonts w:hint="eastAsia" w:ascii="仿宋" w:hAnsi="仿宋" w:eastAsia="仿宋" w:cs="仿宋"/>
          <w:sz w:val="32"/>
          <w:szCs w:val="32"/>
        </w:rPr>
        <w:t>）</w:t>
      </w:r>
    </w:p>
    <w:p>
      <w:pPr>
        <w:pStyle w:val="7"/>
        <w:keepNext w:val="0"/>
        <w:keepLines w:val="0"/>
        <w:pageBreakBefore w:val="0"/>
        <w:widowControl w:val="0"/>
        <w:numPr>
          <w:ilvl w:val="0"/>
          <w:numId w:val="1"/>
        </w:numPr>
        <w:tabs>
          <w:tab w:val="left" w:pos="1301"/>
        </w:tabs>
        <w:kinsoku/>
        <w:wordWrap/>
        <w:overflowPunct/>
        <w:topLinePunct w:val="0"/>
        <w:autoSpaceDE w:val="0"/>
        <w:autoSpaceDN w:val="0"/>
        <w:bidi w:val="0"/>
        <w:adjustRightInd/>
        <w:snapToGrid/>
        <w:spacing w:before="0" w:after="0" w:line="600" w:lineRule="exact"/>
        <w:ind w:left="0" w:leftChars="0" w:right="0" w:righ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依法限制招录（聘）为公务员或事业单位工作人员。（</w:t>
      </w:r>
      <w:r>
        <w:rPr>
          <w:rFonts w:hint="eastAsia" w:ascii="仿宋" w:hAnsi="仿宋" w:eastAsia="仿宋" w:cs="仿宋"/>
          <w:spacing w:val="-6"/>
          <w:sz w:val="32"/>
          <w:szCs w:val="32"/>
        </w:rPr>
        <w:t>实施</w:t>
      </w:r>
      <w:r>
        <w:rPr>
          <w:rFonts w:hint="eastAsia" w:ascii="仿宋" w:hAnsi="仿宋" w:eastAsia="仿宋" w:cs="仿宋"/>
          <w:sz w:val="32"/>
          <w:szCs w:val="32"/>
        </w:rPr>
        <w:t>单位：中央组织部、人力资源社会保障部等有关部门）</w:t>
      </w:r>
    </w:p>
    <w:p>
      <w:pPr>
        <w:pStyle w:val="3"/>
        <w:keepNext w:val="0"/>
        <w:keepLines w:val="0"/>
        <w:pageBreakBefore w:val="0"/>
        <w:widowControl w:val="0"/>
        <w:numPr>
          <w:ilvl w:val="0"/>
          <w:numId w:val="1"/>
        </w:numPr>
        <w:kinsoku/>
        <w:wordWrap/>
        <w:overflowPunct/>
        <w:topLinePunct w:val="0"/>
        <w:autoSpaceDE w:val="0"/>
        <w:autoSpaceDN w:val="0"/>
        <w:bidi w:val="0"/>
        <w:adjustRightInd/>
        <w:snapToGrid/>
        <w:spacing w:before="0" w:line="600" w:lineRule="exact"/>
        <w:ind w:left="0" w:leftChars="0" w:right="0" w:firstLine="636" w:firstLineChars="200"/>
        <w:jc w:val="both"/>
        <w:textAlignment w:val="auto"/>
        <w:rPr>
          <w:rFonts w:hint="eastAsia" w:ascii="仿宋" w:hAnsi="仿宋" w:eastAsia="仿宋" w:cs="仿宋"/>
          <w:sz w:val="32"/>
          <w:szCs w:val="32"/>
        </w:rPr>
      </w:pPr>
      <w:r>
        <w:rPr>
          <w:rFonts w:hint="eastAsia" w:ascii="仿宋" w:hAnsi="仿宋" w:eastAsia="仿宋" w:cs="仿宋"/>
          <w:spacing w:val="-1"/>
          <w:sz w:val="32"/>
          <w:szCs w:val="32"/>
        </w:rPr>
        <w:t>失信责任主体是个人的，依法限制登记为事业单位法定代表人。失信责任主体是机构的，该机构法定代表人依法限制登记为事业</w:t>
      </w:r>
      <w:r>
        <w:rPr>
          <w:rFonts w:hint="eastAsia" w:ascii="仿宋" w:hAnsi="仿宋" w:eastAsia="仿宋" w:cs="仿宋"/>
          <w:sz w:val="32"/>
          <w:szCs w:val="32"/>
        </w:rPr>
        <w:t>单位法定代表人。（实施单位：中央编办）</w:t>
      </w:r>
    </w:p>
    <w:p>
      <w:pPr>
        <w:pStyle w:val="7"/>
        <w:keepNext w:val="0"/>
        <w:keepLines w:val="0"/>
        <w:pageBreakBefore w:val="0"/>
        <w:widowControl w:val="0"/>
        <w:numPr>
          <w:ilvl w:val="0"/>
          <w:numId w:val="1"/>
        </w:numPr>
        <w:tabs>
          <w:tab w:val="left" w:pos="1301"/>
        </w:tabs>
        <w:kinsoku/>
        <w:wordWrap/>
        <w:overflowPunct/>
        <w:topLinePunct w:val="0"/>
        <w:autoSpaceDE w:val="0"/>
        <w:autoSpaceDN w:val="0"/>
        <w:bidi w:val="0"/>
        <w:adjustRightInd/>
        <w:snapToGrid/>
        <w:spacing w:before="0" w:after="0" w:line="600" w:lineRule="exact"/>
        <w:ind w:left="0" w:leftChars="0" w:right="0" w:firstLine="636" w:firstLineChars="200"/>
        <w:jc w:val="both"/>
        <w:textAlignment w:val="auto"/>
        <w:rPr>
          <w:rFonts w:hint="eastAsia" w:ascii="仿宋" w:hAnsi="仿宋" w:eastAsia="仿宋" w:cs="仿宋"/>
          <w:sz w:val="32"/>
          <w:szCs w:val="32"/>
        </w:rPr>
      </w:pPr>
      <w:r>
        <w:rPr>
          <w:rFonts w:hint="eastAsia" w:ascii="仿宋" w:hAnsi="仿宋" w:eastAsia="仿宋" w:cs="仿宋"/>
          <w:spacing w:val="-1"/>
          <w:sz w:val="32"/>
          <w:szCs w:val="32"/>
        </w:rPr>
        <w:t>暂停审批其新的重大项目申报，核减、停止拨付或收回政府</w:t>
      </w:r>
      <w:r>
        <w:rPr>
          <w:rFonts w:hint="eastAsia" w:ascii="仿宋" w:hAnsi="仿宋" w:eastAsia="仿宋" w:cs="仿宋"/>
          <w:sz w:val="32"/>
          <w:szCs w:val="32"/>
        </w:rPr>
        <w:t>补贴资金。（</w:t>
      </w:r>
      <w:r>
        <w:rPr>
          <w:rFonts w:hint="eastAsia" w:ascii="仿宋" w:hAnsi="仿宋" w:eastAsia="仿宋" w:cs="仿宋"/>
          <w:spacing w:val="-1"/>
          <w:sz w:val="32"/>
          <w:szCs w:val="32"/>
        </w:rPr>
        <w:t>实施单位：国家发展改革委、财政部、人力资源社会保</w:t>
      </w:r>
      <w:r>
        <w:rPr>
          <w:rFonts w:hint="eastAsia" w:ascii="仿宋" w:hAnsi="仿宋" w:eastAsia="仿宋" w:cs="仿宋"/>
          <w:sz w:val="32"/>
          <w:szCs w:val="32"/>
        </w:rPr>
        <w:t>障部、国资委）</w:t>
      </w:r>
    </w:p>
    <w:p>
      <w:pPr>
        <w:pStyle w:val="7"/>
        <w:keepNext w:val="0"/>
        <w:keepLines w:val="0"/>
        <w:pageBreakBefore w:val="0"/>
        <w:widowControl w:val="0"/>
        <w:numPr>
          <w:ilvl w:val="0"/>
          <w:numId w:val="1"/>
        </w:numPr>
        <w:tabs>
          <w:tab w:val="left" w:pos="1301"/>
        </w:tabs>
        <w:kinsoku/>
        <w:wordWrap/>
        <w:overflowPunct/>
        <w:topLinePunct w:val="0"/>
        <w:autoSpaceDE w:val="0"/>
        <w:autoSpaceDN w:val="0"/>
        <w:bidi w:val="0"/>
        <w:adjustRightInd/>
        <w:snapToGrid/>
        <w:spacing w:before="0" w:after="0" w:line="600" w:lineRule="exact"/>
        <w:ind w:left="0" w:leftChars="0" w:right="0" w:firstLine="636" w:firstLineChars="200"/>
        <w:jc w:val="both"/>
        <w:textAlignment w:val="auto"/>
        <w:rPr>
          <w:rFonts w:hint="eastAsia" w:ascii="仿宋" w:hAnsi="仿宋" w:eastAsia="仿宋" w:cs="仿宋"/>
          <w:sz w:val="32"/>
          <w:szCs w:val="32"/>
        </w:rPr>
      </w:pPr>
      <w:r>
        <w:rPr>
          <w:rFonts w:hint="eastAsia" w:ascii="仿宋" w:hAnsi="仿宋" w:eastAsia="仿宋" w:cs="仿宋"/>
          <w:spacing w:val="-1"/>
          <w:sz w:val="32"/>
          <w:szCs w:val="32"/>
        </w:rPr>
        <w:t>将失信信息作为证券公司、保险公司、基金管理公司、期货公司的董事、监事和高级管理人员及分支机构负责人任职审批或备案</w:t>
      </w:r>
      <w:r>
        <w:rPr>
          <w:rFonts w:hint="eastAsia" w:ascii="仿宋" w:hAnsi="仿宋" w:eastAsia="仿宋" w:cs="仿宋"/>
          <w:sz w:val="32"/>
          <w:szCs w:val="32"/>
        </w:rPr>
        <w:t>的参考。（实施单位：证监会、银保监会）</w:t>
      </w:r>
    </w:p>
    <w:p>
      <w:pPr>
        <w:pStyle w:val="7"/>
        <w:keepNext w:val="0"/>
        <w:keepLines w:val="0"/>
        <w:pageBreakBefore w:val="0"/>
        <w:widowControl w:val="0"/>
        <w:numPr>
          <w:ilvl w:val="0"/>
          <w:numId w:val="1"/>
        </w:numPr>
        <w:tabs>
          <w:tab w:val="left" w:pos="1301"/>
        </w:tabs>
        <w:kinsoku/>
        <w:wordWrap/>
        <w:overflowPunct/>
        <w:topLinePunct w:val="0"/>
        <w:autoSpaceDE w:val="0"/>
        <w:autoSpaceDN w:val="0"/>
        <w:bidi w:val="0"/>
        <w:adjustRightInd/>
        <w:snapToGrid/>
        <w:spacing w:before="0" w:after="0" w:line="600" w:lineRule="exact"/>
        <w:ind w:left="0" w:leftChars="0" w:right="0" w:firstLine="636" w:firstLineChars="200"/>
        <w:jc w:val="both"/>
        <w:textAlignment w:val="auto"/>
        <w:rPr>
          <w:rFonts w:hint="eastAsia" w:ascii="仿宋" w:hAnsi="仿宋" w:eastAsia="仿宋" w:cs="仿宋"/>
          <w:sz w:val="32"/>
          <w:szCs w:val="32"/>
        </w:rPr>
      </w:pPr>
      <w:r>
        <w:rPr>
          <w:rFonts w:hint="eastAsia" w:ascii="仿宋" w:hAnsi="仿宋" w:eastAsia="仿宋" w:cs="仿宋"/>
          <w:spacing w:val="-1"/>
          <w:sz w:val="32"/>
          <w:szCs w:val="32"/>
        </w:rPr>
        <w:t>将失信信息作为证券公司、保险公司、基金管理公司及期货公司的设立及股权或实际控制人变更审批或备案，私募投资基金管理</w:t>
      </w:r>
      <w:r>
        <w:rPr>
          <w:rFonts w:hint="eastAsia" w:ascii="仿宋" w:hAnsi="仿宋" w:eastAsia="仿宋" w:cs="仿宋"/>
          <w:sz w:val="32"/>
          <w:szCs w:val="32"/>
        </w:rPr>
        <w:t>人登记、重大事项变更以及基金备案的参考。（</w:t>
      </w:r>
      <w:r>
        <w:rPr>
          <w:rFonts w:hint="eastAsia" w:ascii="仿宋" w:hAnsi="仿宋" w:eastAsia="仿宋" w:cs="仿宋"/>
          <w:spacing w:val="-2"/>
          <w:sz w:val="32"/>
          <w:szCs w:val="32"/>
        </w:rPr>
        <w:t>实施单位：证监会、</w:t>
      </w:r>
      <w:r>
        <w:rPr>
          <w:rFonts w:hint="eastAsia" w:ascii="仿宋" w:hAnsi="仿宋" w:eastAsia="仿宋" w:cs="仿宋"/>
          <w:sz w:val="32"/>
          <w:szCs w:val="32"/>
        </w:rPr>
        <w:t>银保监会）</w:t>
      </w:r>
    </w:p>
    <w:p>
      <w:pPr>
        <w:pStyle w:val="7"/>
        <w:keepNext w:val="0"/>
        <w:keepLines w:val="0"/>
        <w:pageBreakBefore w:val="0"/>
        <w:widowControl w:val="0"/>
        <w:numPr>
          <w:ilvl w:val="0"/>
          <w:numId w:val="1"/>
        </w:numPr>
        <w:tabs>
          <w:tab w:val="left" w:pos="1301"/>
        </w:tabs>
        <w:kinsoku/>
        <w:wordWrap/>
        <w:overflowPunct/>
        <w:topLinePunct w:val="0"/>
        <w:autoSpaceDE w:val="0"/>
        <w:autoSpaceDN w:val="0"/>
        <w:bidi w:val="0"/>
        <w:adjustRightInd/>
        <w:snapToGrid/>
        <w:spacing w:before="0" w:after="0" w:line="600" w:lineRule="exact"/>
        <w:ind w:left="0" w:leftChars="0" w:righ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将失信信息作为加强对境内上市公司实行股权激励计划或相</w:t>
      </w:r>
      <w:r>
        <w:rPr>
          <w:rFonts w:hint="eastAsia" w:ascii="仿宋" w:hAnsi="仿宋" w:eastAsia="仿宋" w:cs="仿宋"/>
          <w:spacing w:val="-5"/>
          <w:sz w:val="32"/>
          <w:szCs w:val="32"/>
        </w:rPr>
        <w:t>关人员成为股权激励对象事中事后监管的参考。</w:t>
      </w:r>
      <w:r>
        <w:rPr>
          <w:rFonts w:hint="eastAsia" w:ascii="仿宋" w:hAnsi="仿宋" w:eastAsia="仿宋" w:cs="仿宋"/>
          <w:sz w:val="32"/>
          <w:szCs w:val="32"/>
        </w:rPr>
        <w:t>（</w:t>
      </w:r>
      <w:r>
        <w:rPr>
          <w:rFonts w:hint="eastAsia" w:ascii="仿宋" w:hAnsi="仿宋" w:eastAsia="仿宋" w:cs="仿宋"/>
          <w:spacing w:val="-8"/>
          <w:sz w:val="32"/>
          <w:szCs w:val="32"/>
        </w:rPr>
        <w:t>实施单位：国资委、</w:t>
      </w:r>
      <w:r>
        <w:rPr>
          <w:rFonts w:hint="eastAsia" w:ascii="仿宋" w:hAnsi="仿宋" w:eastAsia="仿宋" w:cs="仿宋"/>
          <w:sz w:val="32"/>
          <w:szCs w:val="32"/>
        </w:rPr>
        <w:t>财政部、证监会）</w:t>
      </w:r>
    </w:p>
    <w:p>
      <w:pPr>
        <w:pStyle w:val="7"/>
        <w:keepNext w:val="0"/>
        <w:keepLines w:val="0"/>
        <w:pageBreakBefore w:val="0"/>
        <w:widowControl w:val="0"/>
        <w:numPr>
          <w:ilvl w:val="0"/>
          <w:numId w:val="1"/>
        </w:numPr>
        <w:tabs>
          <w:tab w:val="left" w:pos="1301"/>
        </w:tabs>
        <w:kinsoku/>
        <w:wordWrap/>
        <w:overflowPunct/>
        <w:topLinePunct w:val="0"/>
        <w:autoSpaceDE w:val="0"/>
        <w:autoSpaceDN w:val="0"/>
        <w:bidi w:val="0"/>
        <w:adjustRightInd/>
        <w:snapToGrid/>
        <w:spacing w:before="0" w:after="0" w:line="600" w:lineRule="exact"/>
        <w:ind w:left="0" w:leftChars="0" w:right="0" w:firstLine="612" w:firstLineChars="200"/>
        <w:jc w:val="both"/>
        <w:textAlignment w:val="auto"/>
        <w:rPr>
          <w:rFonts w:hint="eastAsia" w:ascii="仿宋" w:hAnsi="仿宋" w:eastAsia="仿宋" w:cs="仿宋"/>
          <w:sz w:val="32"/>
          <w:szCs w:val="32"/>
        </w:rPr>
      </w:pPr>
      <w:r>
        <w:rPr>
          <w:rFonts w:hint="eastAsia" w:ascii="仿宋" w:hAnsi="仿宋" w:eastAsia="仿宋" w:cs="仿宋"/>
          <w:spacing w:val="-7"/>
          <w:sz w:val="32"/>
          <w:szCs w:val="32"/>
        </w:rPr>
        <w:t>强化税收管理，提高监督检查频次。</w:t>
      </w:r>
      <w:r>
        <w:rPr>
          <w:rFonts w:hint="eastAsia" w:ascii="仿宋" w:hAnsi="仿宋" w:eastAsia="仿宋" w:cs="仿宋"/>
          <w:spacing w:val="-3"/>
          <w:sz w:val="32"/>
          <w:szCs w:val="32"/>
        </w:rPr>
        <w:t>（</w:t>
      </w:r>
      <w:r>
        <w:rPr>
          <w:rFonts w:hint="eastAsia" w:ascii="仿宋" w:hAnsi="仿宋" w:eastAsia="仿宋" w:cs="仿宋"/>
          <w:spacing w:val="-5"/>
          <w:sz w:val="32"/>
          <w:szCs w:val="32"/>
        </w:rPr>
        <w:t>实施单位：税务总局</w:t>
      </w:r>
      <w:r>
        <w:rPr>
          <w:rFonts w:hint="eastAsia" w:ascii="仿宋" w:hAnsi="仿宋" w:eastAsia="仿宋" w:cs="仿宋"/>
          <w:sz w:val="32"/>
          <w:szCs w:val="32"/>
        </w:rPr>
        <w:t>）</w:t>
      </w:r>
    </w:p>
    <w:p>
      <w:pPr>
        <w:pStyle w:val="7"/>
        <w:keepNext w:val="0"/>
        <w:keepLines w:val="0"/>
        <w:pageBreakBefore w:val="0"/>
        <w:widowControl w:val="0"/>
        <w:numPr>
          <w:ilvl w:val="0"/>
          <w:numId w:val="1"/>
        </w:numPr>
        <w:tabs>
          <w:tab w:val="left" w:pos="1301"/>
        </w:tabs>
        <w:kinsoku/>
        <w:wordWrap/>
        <w:overflowPunct/>
        <w:topLinePunct w:val="0"/>
        <w:autoSpaceDE w:val="0"/>
        <w:autoSpaceDN w:val="0"/>
        <w:bidi w:val="0"/>
        <w:adjustRightInd/>
        <w:snapToGrid/>
        <w:spacing w:before="0" w:after="0" w:line="600" w:lineRule="exact"/>
        <w:ind w:left="0" w:leftChars="0" w:right="0" w:firstLine="636" w:firstLineChars="200"/>
        <w:jc w:val="both"/>
        <w:textAlignment w:val="auto"/>
        <w:rPr>
          <w:rFonts w:hint="eastAsia" w:ascii="仿宋" w:hAnsi="仿宋" w:eastAsia="仿宋" w:cs="仿宋"/>
          <w:sz w:val="32"/>
          <w:szCs w:val="32"/>
        </w:rPr>
      </w:pPr>
      <w:r>
        <w:rPr>
          <w:rFonts w:hint="eastAsia" w:ascii="仿宋" w:hAnsi="仿宋" w:eastAsia="仿宋" w:cs="仿宋"/>
          <w:spacing w:val="-1"/>
          <w:sz w:val="32"/>
          <w:szCs w:val="32"/>
        </w:rPr>
        <w:t>将失信责任主体的失信情况作为纳税信用评价的重要外部参</w:t>
      </w:r>
      <w:r>
        <w:rPr>
          <w:rFonts w:hint="eastAsia" w:ascii="仿宋" w:hAnsi="仿宋" w:eastAsia="仿宋" w:cs="仿宋"/>
          <w:sz w:val="32"/>
          <w:szCs w:val="32"/>
        </w:rPr>
        <w:t>考。（实施单位：税务总局）</w:t>
      </w:r>
    </w:p>
    <w:p>
      <w:pPr>
        <w:pStyle w:val="7"/>
        <w:keepNext w:val="0"/>
        <w:keepLines w:val="0"/>
        <w:pageBreakBefore w:val="0"/>
        <w:widowControl w:val="0"/>
        <w:numPr>
          <w:ilvl w:val="0"/>
          <w:numId w:val="1"/>
        </w:numPr>
        <w:tabs>
          <w:tab w:val="left" w:pos="1301"/>
        </w:tabs>
        <w:kinsoku/>
        <w:wordWrap/>
        <w:overflowPunct/>
        <w:topLinePunct w:val="0"/>
        <w:autoSpaceDE w:val="0"/>
        <w:autoSpaceDN w:val="0"/>
        <w:bidi w:val="0"/>
        <w:adjustRightInd/>
        <w:snapToGrid/>
        <w:spacing w:before="0" w:after="0" w:line="600" w:lineRule="exact"/>
        <w:ind w:left="0" w:leftChars="0" w:right="0" w:firstLine="636" w:firstLineChars="200"/>
        <w:jc w:val="both"/>
        <w:textAlignment w:val="auto"/>
        <w:rPr>
          <w:rFonts w:hint="eastAsia" w:ascii="仿宋" w:hAnsi="仿宋" w:eastAsia="仿宋" w:cs="仿宋"/>
          <w:sz w:val="32"/>
          <w:szCs w:val="32"/>
        </w:rPr>
      </w:pPr>
      <w:r>
        <w:rPr>
          <w:rFonts w:hint="eastAsia" w:ascii="仿宋" w:hAnsi="仿宋" w:eastAsia="仿宋" w:cs="仿宋"/>
          <w:spacing w:val="-1"/>
          <w:sz w:val="32"/>
          <w:szCs w:val="32"/>
        </w:rPr>
        <w:t>对严重失信责任主体，限制其取得认证机构资质；限制其获</w:t>
      </w:r>
      <w:r>
        <w:rPr>
          <w:rFonts w:hint="eastAsia" w:ascii="仿宋" w:hAnsi="仿宋" w:eastAsia="仿宋" w:cs="仿宋"/>
          <w:sz w:val="32"/>
          <w:szCs w:val="32"/>
        </w:rPr>
        <w:t>得认证证书。（实施单位：市场监管总局）</w:t>
      </w:r>
    </w:p>
    <w:p>
      <w:pPr>
        <w:pStyle w:val="3"/>
        <w:keepNext w:val="0"/>
        <w:keepLines w:val="0"/>
        <w:pageBreakBefore w:val="0"/>
        <w:widowControl w:val="0"/>
        <w:numPr>
          <w:ilvl w:val="0"/>
          <w:numId w:val="1"/>
        </w:numPr>
        <w:kinsoku/>
        <w:wordWrap/>
        <w:overflowPunct/>
        <w:topLinePunct w:val="0"/>
        <w:autoSpaceDE w:val="0"/>
        <w:autoSpaceDN w:val="0"/>
        <w:bidi w:val="0"/>
        <w:adjustRightInd/>
        <w:snapToGrid/>
        <w:spacing w:before="0" w:line="600" w:lineRule="exact"/>
        <w:ind w:left="0" w:leftChars="0" w:right="0" w:firstLine="636" w:firstLineChars="200"/>
        <w:jc w:val="both"/>
        <w:textAlignment w:val="auto"/>
        <w:rPr>
          <w:rFonts w:hint="eastAsia" w:ascii="仿宋" w:hAnsi="仿宋" w:eastAsia="仿宋" w:cs="仿宋"/>
          <w:sz w:val="32"/>
          <w:szCs w:val="32"/>
        </w:rPr>
      </w:pPr>
      <w:r>
        <w:rPr>
          <w:rFonts w:hint="eastAsia" w:ascii="仿宋" w:hAnsi="仿宋" w:eastAsia="仿宋" w:cs="仿宋"/>
          <w:spacing w:val="-1"/>
          <w:sz w:val="32"/>
          <w:szCs w:val="32"/>
        </w:rPr>
        <w:t>对失信责任主体进出口货物实施严密监管，在办理相关海关业务时，加强单证审核、布控查验、加工贸易担保征收、后续稽查或</w:t>
      </w:r>
      <w:r>
        <w:rPr>
          <w:rFonts w:hint="eastAsia" w:ascii="仿宋" w:hAnsi="仿宋" w:eastAsia="仿宋" w:cs="仿宋"/>
          <w:sz w:val="32"/>
          <w:szCs w:val="32"/>
        </w:rPr>
        <w:t>统计监督核查。（实施单位：海关总署）</w:t>
      </w:r>
    </w:p>
    <w:p>
      <w:pPr>
        <w:pStyle w:val="7"/>
        <w:keepNext w:val="0"/>
        <w:keepLines w:val="0"/>
        <w:pageBreakBefore w:val="0"/>
        <w:widowControl w:val="0"/>
        <w:numPr>
          <w:ilvl w:val="0"/>
          <w:numId w:val="1"/>
        </w:numPr>
        <w:tabs>
          <w:tab w:val="left" w:pos="1301"/>
        </w:tabs>
        <w:kinsoku/>
        <w:wordWrap/>
        <w:overflowPunct/>
        <w:topLinePunct w:val="0"/>
        <w:autoSpaceDE w:val="0"/>
        <w:autoSpaceDN w:val="0"/>
        <w:bidi w:val="0"/>
        <w:adjustRightInd/>
        <w:snapToGrid/>
        <w:spacing w:before="0" w:after="0" w:line="600" w:lineRule="exact"/>
        <w:ind w:left="0" w:leftChars="0" w:righ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对失信责任主体申请适用海关认证企业管理的，不予通过认</w:t>
      </w:r>
      <w:r>
        <w:rPr>
          <w:rFonts w:hint="eastAsia" w:ascii="仿宋" w:hAnsi="仿宋" w:eastAsia="仿宋" w:cs="仿宋"/>
          <w:spacing w:val="-12"/>
          <w:sz w:val="32"/>
          <w:szCs w:val="32"/>
        </w:rPr>
        <w:t>证。已经成为认证企业的，按照规定下调企业信用等级。</w:t>
      </w:r>
      <w:r>
        <w:rPr>
          <w:rFonts w:hint="eastAsia" w:ascii="仿宋" w:hAnsi="仿宋" w:eastAsia="仿宋" w:cs="仿宋"/>
          <w:sz w:val="32"/>
          <w:szCs w:val="32"/>
        </w:rPr>
        <w:t>（</w:t>
      </w:r>
      <w:r>
        <w:rPr>
          <w:rFonts w:hint="eastAsia" w:ascii="仿宋" w:hAnsi="仿宋" w:eastAsia="仿宋" w:cs="仿宋"/>
          <w:spacing w:val="-3"/>
          <w:sz w:val="32"/>
          <w:szCs w:val="32"/>
        </w:rPr>
        <w:t>实施单位：</w:t>
      </w:r>
      <w:r>
        <w:rPr>
          <w:rFonts w:hint="eastAsia" w:ascii="仿宋" w:hAnsi="仿宋" w:eastAsia="仿宋" w:cs="仿宋"/>
          <w:sz w:val="32"/>
          <w:szCs w:val="32"/>
        </w:rPr>
        <w:t>海关总署）</w:t>
      </w:r>
    </w:p>
    <w:p>
      <w:pPr>
        <w:pStyle w:val="7"/>
        <w:keepNext w:val="0"/>
        <w:keepLines w:val="0"/>
        <w:pageBreakBefore w:val="0"/>
        <w:widowControl w:val="0"/>
        <w:numPr>
          <w:ilvl w:val="0"/>
          <w:numId w:val="1"/>
        </w:numPr>
        <w:tabs>
          <w:tab w:val="left" w:pos="1301"/>
        </w:tabs>
        <w:kinsoku/>
        <w:wordWrap/>
        <w:overflowPunct/>
        <w:topLinePunct w:val="0"/>
        <w:autoSpaceDE w:val="0"/>
        <w:autoSpaceDN w:val="0"/>
        <w:bidi w:val="0"/>
        <w:adjustRightInd/>
        <w:snapToGrid/>
        <w:spacing w:before="0" w:after="0" w:line="600" w:lineRule="exact"/>
        <w:ind w:left="0" w:leftChars="0" w:right="0" w:firstLine="636" w:firstLineChars="200"/>
        <w:jc w:val="both"/>
        <w:textAlignment w:val="auto"/>
        <w:rPr>
          <w:rFonts w:hint="eastAsia" w:ascii="仿宋" w:hAnsi="仿宋" w:eastAsia="仿宋" w:cs="仿宋"/>
          <w:sz w:val="32"/>
          <w:szCs w:val="32"/>
        </w:rPr>
      </w:pPr>
      <w:r>
        <w:rPr>
          <w:rFonts w:hint="eastAsia" w:ascii="仿宋" w:hAnsi="仿宋" w:eastAsia="仿宋" w:cs="仿宋"/>
          <w:spacing w:val="-1"/>
          <w:sz w:val="32"/>
          <w:szCs w:val="32"/>
        </w:rPr>
        <w:t>依法限制参与依法必须招标的工程建设项目招投标活动</w:t>
      </w:r>
      <w:r>
        <w:rPr>
          <w:rFonts w:hint="eastAsia" w:ascii="仿宋" w:hAnsi="仿宋" w:eastAsia="仿宋" w:cs="仿宋"/>
          <w:spacing w:val="-180"/>
          <w:sz w:val="32"/>
          <w:szCs w:val="32"/>
        </w:rPr>
        <w:t>。</w:t>
      </w:r>
      <w:r>
        <w:rPr>
          <w:rFonts w:hint="eastAsia" w:ascii="仿宋" w:hAnsi="仿宋" w:eastAsia="仿宋" w:cs="仿宋"/>
          <w:spacing w:val="-3"/>
          <w:sz w:val="32"/>
          <w:szCs w:val="32"/>
        </w:rPr>
        <w:t>（</w:t>
      </w:r>
      <w:r>
        <w:rPr>
          <w:rFonts w:hint="eastAsia" w:ascii="仿宋" w:hAnsi="仿宋" w:eastAsia="仿宋" w:cs="仿宋"/>
          <w:spacing w:val="-4"/>
          <w:sz w:val="32"/>
          <w:szCs w:val="32"/>
        </w:rPr>
        <w:t>实施单位：国家发展改革委、工业和信息化部、住房城乡建设部、交通运输部、水利部、商务部、市场监管总局、民航局、铁路总公司</w:t>
      </w:r>
      <w:r>
        <w:rPr>
          <w:rFonts w:hint="eastAsia" w:ascii="仿宋" w:hAnsi="仿宋" w:eastAsia="仿宋" w:cs="仿宋"/>
          <w:sz w:val="32"/>
          <w:szCs w:val="32"/>
        </w:rPr>
        <w:t>）</w:t>
      </w:r>
      <w:bookmarkStart w:id="0" w:name="_GoBack"/>
      <w:bookmarkEnd w:id="0"/>
    </w:p>
    <w:p>
      <w:pPr>
        <w:pStyle w:val="7"/>
        <w:keepNext w:val="0"/>
        <w:keepLines w:val="0"/>
        <w:pageBreakBefore w:val="0"/>
        <w:widowControl w:val="0"/>
        <w:numPr>
          <w:ilvl w:val="0"/>
          <w:numId w:val="1"/>
        </w:numPr>
        <w:tabs>
          <w:tab w:val="left" w:pos="601"/>
        </w:tabs>
        <w:kinsoku/>
        <w:wordWrap/>
        <w:overflowPunct/>
        <w:topLinePunct w:val="0"/>
        <w:autoSpaceDE w:val="0"/>
        <w:autoSpaceDN w:val="0"/>
        <w:bidi w:val="0"/>
        <w:adjustRightInd/>
        <w:snapToGrid/>
        <w:spacing w:before="0" w:after="0" w:line="600" w:lineRule="exact"/>
        <w:ind w:left="0" w:leftChars="0" w:righ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依法限制参与基础设施和公用事业特许经营。（实施单位：国家发展改革委、财政部、住房城乡建设部、交通运输部、水利部）</w:t>
      </w:r>
    </w:p>
    <w:p>
      <w:pPr>
        <w:pStyle w:val="7"/>
        <w:keepNext w:val="0"/>
        <w:keepLines w:val="0"/>
        <w:pageBreakBefore w:val="0"/>
        <w:widowControl w:val="0"/>
        <w:numPr>
          <w:ilvl w:val="0"/>
          <w:numId w:val="1"/>
        </w:numPr>
        <w:tabs>
          <w:tab w:val="left" w:pos="1301"/>
        </w:tabs>
        <w:kinsoku/>
        <w:wordWrap/>
        <w:overflowPunct/>
        <w:topLinePunct w:val="0"/>
        <w:autoSpaceDE w:val="0"/>
        <w:autoSpaceDN w:val="0"/>
        <w:bidi w:val="0"/>
        <w:adjustRightInd/>
        <w:snapToGrid/>
        <w:spacing w:before="0" w:after="0" w:line="600" w:lineRule="exact"/>
        <w:ind w:left="0" w:leftChars="0" w:righ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依法限制享受投资等领域优惠政策。（</w:t>
      </w:r>
      <w:r>
        <w:rPr>
          <w:rFonts w:hint="eastAsia" w:ascii="仿宋" w:hAnsi="仿宋" w:eastAsia="仿宋" w:cs="仿宋"/>
          <w:spacing w:val="-2"/>
          <w:sz w:val="32"/>
          <w:szCs w:val="32"/>
        </w:rPr>
        <w:t>实施单位：国家发展</w:t>
      </w:r>
      <w:r>
        <w:rPr>
          <w:rFonts w:hint="eastAsia" w:ascii="仿宋" w:hAnsi="仿宋" w:eastAsia="仿宋" w:cs="仿宋"/>
          <w:sz w:val="32"/>
          <w:szCs w:val="32"/>
        </w:rPr>
        <w:t>改革委等有关单位）</w:t>
      </w:r>
    </w:p>
    <w:p>
      <w:pPr>
        <w:pStyle w:val="7"/>
        <w:keepNext w:val="0"/>
        <w:keepLines w:val="0"/>
        <w:pageBreakBefore w:val="0"/>
        <w:widowControl w:val="0"/>
        <w:numPr>
          <w:ilvl w:val="0"/>
          <w:numId w:val="1"/>
        </w:numPr>
        <w:tabs>
          <w:tab w:val="left" w:pos="1301"/>
        </w:tabs>
        <w:kinsoku/>
        <w:wordWrap/>
        <w:overflowPunct/>
        <w:topLinePunct w:val="0"/>
        <w:autoSpaceDE w:val="0"/>
        <w:autoSpaceDN w:val="0"/>
        <w:bidi w:val="0"/>
        <w:adjustRightInd/>
        <w:snapToGrid/>
        <w:spacing w:before="0" w:after="0" w:line="600" w:lineRule="exact"/>
        <w:ind w:left="0" w:leftChars="0" w:right="0" w:firstLine="636" w:firstLineChars="200"/>
        <w:jc w:val="both"/>
        <w:textAlignment w:val="auto"/>
        <w:rPr>
          <w:rFonts w:hint="eastAsia" w:ascii="仿宋" w:hAnsi="仿宋" w:eastAsia="仿宋" w:cs="仿宋"/>
          <w:sz w:val="32"/>
          <w:szCs w:val="32"/>
        </w:rPr>
      </w:pPr>
      <w:r>
        <w:rPr>
          <w:rFonts w:hint="eastAsia" w:ascii="仿宋" w:hAnsi="仿宋" w:eastAsia="仿宋" w:cs="仿宋"/>
          <w:spacing w:val="-1"/>
          <w:sz w:val="32"/>
          <w:szCs w:val="32"/>
        </w:rPr>
        <w:t>依法限制新网站开办；在申请经营性互联网信息服务时，将</w:t>
      </w:r>
      <w:r>
        <w:rPr>
          <w:rFonts w:hint="eastAsia" w:ascii="仿宋" w:hAnsi="仿宋" w:eastAsia="仿宋" w:cs="仿宋"/>
          <w:sz w:val="32"/>
          <w:szCs w:val="32"/>
        </w:rPr>
        <w:t>失信信息作为审核相关许可的重要参考。（</w:t>
      </w:r>
      <w:r>
        <w:rPr>
          <w:rFonts w:hint="eastAsia" w:ascii="仿宋" w:hAnsi="仿宋" w:eastAsia="仿宋" w:cs="仿宋"/>
          <w:spacing w:val="-2"/>
          <w:sz w:val="32"/>
          <w:szCs w:val="32"/>
        </w:rPr>
        <w:t>实施单位：工业和信息化</w:t>
      </w:r>
      <w:r>
        <w:rPr>
          <w:rFonts w:hint="eastAsia" w:ascii="仿宋" w:hAnsi="仿宋" w:eastAsia="仿宋" w:cs="仿宋"/>
          <w:sz w:val="32"/>
          <w:szCs w:val="32"/>
        </w:rPr>
        <w:t>部）</w:t>
      </w:r>
    </w:p>
    <w:p>
      <w:pPr>
        <w:pStyle w:val="7"/>
        <w:keepNext w:val="0"/>
        <w:keepLines w:val="0"/>
        <w:pageBreakBefore w:val="0"/>
        <w:widowControl w:val="0"/>
        <w:numPr>
          <w:ilvl w:val="0"/>
          <w:numId w:val="1"/>
        </w:numPr>
        <w:tabs>
          <w:tab w:val="left" w:pos="1301"/>
        </w:tabs>
        <w:kinsoku/>
        <w:wordWrap/>
        <w:overflowPunct/>
        <w:topLinePunct w:val="0"/>
        <w:autoSpaceDE w:val="0"/>
        <w:autoSpaceDN w:val="0"/>
        <w:bidi w:val="0"/>
        <w:adjustRightInd/>
        <w:snapToGrid/>
        <w:spacing w:before="0" w:after="0" w:line="600" w:lineRule="exact"/>
        <w:ind w:left="0" w:leftChars="0" w:right="0" w:firstLine="636" w:firstLineChars="200"/>
        <w:jc w:val="both"/>
        <w:textAlignment w:val="auto"/>
        <w:rPr>
          <w:rFonts w:hint="eastAsia" w:ascii="仿宋" w:hAnsi="仿宋" w:eastAsia="仿宋" w:cs="仿宋"/>
          <w:sz w:val="32"/>
          <w:szCs w:val="32"/>
        </w:rPr>
      </w:pPr>
      <w:r>
        <w:rPr>
          <w:rFonts w:hint="eastAsia" w:ascii="仿宋" w:hAnsi="仿宋" w:eastAsia="仿宋" w:cs="仿宋"/>
          <w:spacing w:val="-1"/>
          <w:sz w:val="32"/>
          <w:szCs w:val="32"/>
        </w:rPr>
        <w:t>依法限制其作为供应商参与政府采购活动；依法限制其作为</w:t>
      </w:r>
      <w:r>
        <w:rPr>
          <w:rFonts w:hint="eastAsia" w:ascii="仿宋" w:hAnsi="仿宋" w:eastAsia="仿宋" w:cs="仿宋"/>
          <w:sz w:val="32"/>
          <w:szCs w:val="32"/>
        </w:rPr>
        <w:t>装备承制单位参与武器装备采购。（</w:t>
      </w:r>
      <w:r>
        <w:rPr>
          <w:rFonts w:hint="eastAsia" w:ascii="仿宋" w:hAnsi="仿宋" w:eastAsia="仿宋" w:cs="仿宋"/>
          <w:spacing w:val="-1"/>
          <w:sz w:val="32"/>
          <w:szCs w:val="32"/>
        </w:rPr>
        <w:t>实施单位：财政部、中央军委装</w:t>
      </w:r>
      <w:r>
        <w:rPr>
          <w:rFonts w:hint="eastAsia" w:ascii="仿宋" w:hAnsi="仿宋" w:eastAsia="仿宋" w:cs="仿宋"/>
          <w:sz w:val="32"/>
          <w:szCs w:val="32"/>
        </w:rPr>
        <w:t>备发展部）</w:t>
      </w:r>
    </w:p>
    <w:p>
      <w:pPr>
        <w:pStyle w:val="7"/>
        <w:keepNext w:val="0"/>
        <w:keepLines w:val="0"/>
        <w:pageBreakBefore w:val="0"/>
        <w:widowControl w:val="0"/>
        <w:numPr>
          <w:ilvl w:val="0"/>
          <w:numId w:val="1"/>
        </w:numPr>
        <w:tabs>
          <w:tab w:val="left" w:pos="1301"/>
        </w:tabs>
        <w:kinsoku/>
        <w:wordWrap/>
        <w:overflowPunct/>
        <w:topLinePunct w:val="0"/>
        <w:autoSpaceDE w:val="0"/>
        <w:autoSpaceDN w:val="0"/>
        <w:bidi w:val="0"/>
        <w:adjustRightInd/>
        <w:snapToGrid/>
        <w:spacing w:before="0" w:after="0" w:line="600" w:lineRule="exact"/>
        <w:ind w:left="0" w:leftChars="0" w:righ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依法限制取得政府供应土地。（实施单位：自然资源部）</w:t>
      </w:r>
    </w:p>
    <w:p>
      <w:pPr>
        <w:pStyle w:val="7"/>
        <w:keepNext w:val="0"/>
        <w:keepLines w:val="0"/>
        <w:pageBreakBefore w:val="0"/>
        <w:widowControl w:val="0"/>
        <w:numPr>
          <w:ilvl w:val="0"/>
          <w:numId w:val="1"/>
        </w:numPr>
        <w:tabs>
          <w:tab w:val="left" w:pos="1301"/>
        </w:tabs>
        <w:kinsoku/>
        <w:wordWrap/>
        <w:overflowPunct/>
        <w:topLinePunct w:val="0"/>
        <w:autoSpaceDE w:val="0"/>
        <w:autoSpaceDN w:val="0"/>
        <w:bidi w:val="0"/>
        <w:adjustRightInd/>
        <w:snapToGrid/>
        <w:spacing w:before="0" w:after="0" w:line="600" w:lineRule="exact"/>
        <w:ind w:left="0" w:leftChars="0" w:righ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依法限制取得生产许可证。（实施单位：市场监管总局）</w:t>
      </w:r>
    </w:p>
    <w:p>
      <w:pPr>
        <w:pStyle w:val="7"/>
        <w:keepNext w:val="0"/>
        <w:keepLines w:val="0"/>
        <w:pageBreakBefore w:val="0"/>
        <w:widowControl w:val="0"/>
        <w:numPr>
          <w:ilvl w:val="0"/>
          <w:numId w:val="1"/>
        </w:numPr>
        <w:tabs>
          <w:tab w:val="left" w:pos="1301"/>
        </w:tabs>
        <w:kinsoku/>
        <w:wordWrap/>
        <w:overflowPunct/>
        <w:topLinePunct w:val="0"/>
        <w:autoSpaceDE w:val="0"/>
        <w:autoSpaceDN w:val="0"/>
        <w:bidi w:val="0"/>
        <w:adjustRightInd/>
        <w:snapToGrid/>
        <w:spacing w:before="0" w:after="0" w:line="600" w:lineRule="exact"/>
        <w:ind w:left="0" w:leftChars="0" w:right="0" w:firstLine="636" w:firstLineChars="200"/>
        <w:jc w:val="both"/>
        <w:textAlignment w:val="auto"/>
        <w:rPr>
          <w:rFonts w:hint="eastAsia" w:ascii="仿宋" w:hAnsi="仿宋" w:eastAsia="仿宋" w:cs="仿宋"/>
          <w:sz w:val="32"/>
          <w:szCs w:val="32"/>
        </w:rPr>
      </w:pPr>
      <w:r>
        <w:rPr>
          <w:rFonts w:hint="eastAsia" w:ascii="仿宋" w:hAnsi="仿宋" w:eastAsia="仿宋" w:cs="仿宋"/>
          <w:spacing w:val="-1"/>
          <w:sz w:val="32"/>
          <w:szCs w:val="32"/>
        </w:rPr>
        <w:t>依法限制取得建筑开发规划选址许可、新增建设项目规划许</w:t>
      </w:r>
      <w:r>
        <w:rPr>
          <w:rFonts w:hint="eastAsia" w:ascii="仿宋" w:hAnsi="仿宋" w:eastAsia="仿宋" w:cs="仿宋"/>
          <w:sz w:val="32"/>
          <w:szCs w:val="32"/>
        </w:rPr>
        <w:t>可、水土保持方案许可和设施验收许可、施工许可等。（</w:t>
      </w:r>
      <w:r>
        <w:rPr>
          <w:rFonts w:hint="eastAsia" w:ascii="仿宋" w:hAnsi="仿宋" w:eastAsia="仿宋" w:cs="仿宋"/>
          <w:spacing w:val="-3"/>
          <w:sz w:val="32"/>
          <w:szCs w:val="32"/>
        </w:rPr>
        <w:t xml:space="preserve">实施单位： </w:t>
      </w:r>
      <w:r>
        <w:rPr>
          <w:rFonts w:hint="eastAsia" w:ascii="仿宋" w:hAnsi="仿宋" w:eastAsia="仿宋" w:cs="仿宋"/>
          <w:sz w:val="32"/>
          <w:szCs w:val="32"/>
        </w:rPr>
        <w:t>住房城乡建设部、水利部）</w:t>
      </w:r>
    </w:p>
    <w:p>
      <w:pPr>
        <w:pStyle w:val="3"/>
        <w:keepNext w:val="0"/>
        <w:keepLines w:val="0"/>
        <w:pageBreakBefore w:val="0"/>
        <w:widowControl w:val="0"/>
        <w:numPr>
          <w:ilvl w:val="0"/>
          <w:numId w:val="1"/>
        </w:numPr>
        <w:kinsoku/>
        <w:wordWrap/>
        <w:overflowPunct/>
        <w:topLinePunct w:val="0"/>
        <w:autoSpaceDE w:val="0"/>
        <w:autoSpaceDN w:val="0"/>
        <w:bidi w:val="0"/>
        <w:adjustRightInd/>
        <w:snapToGrid/>
        <w:spacing w:before="0" w:line="600" w:lineRule="exact"/>
        <w:ind w:left="0" w:leftChars="0" w:right="0" w:firstLine="624" w:firstLineChars="200"/>
        <w:jc w:val="both"/>
        <w:textAlignment w:val="auto"/>
        <w:rPr>
          <w:rFonts w:hint="eastAsia" w:ascii="仿宋" w:hAnsi="仿宋" w:eastAsia="仿宋" w:cs="仿宋"/>
          <w:sz w:val="32"/>
          <w:szCs w:val="32"/>
        </w:rPr>
      </w:pPr>
      <w:r>
        <w:rPr>
          <w:rFonts w:hint="eastAsia" w:ascii="仿宋" w:hAnsi="仿宋" w:eastAsia="仿宋" w:cs="仿宋"/>
          <w:spacing w:val="-4"/>
          <w:sz w:val="32"/>
          <w:szCs w:val="32"/>
        </w:rPr>
        <w:t>依法限制发起设立或参股金融机构。</w:t>
      </w:r>
      <w:r>
        <w:rPr>
          <w:rFonts w:hint="eastAsia" w:ascii="仿宋" w:hAnsi="仿宋" w:eastAsia="仿宋" w:cs="仿宋"/>
          <w:sz w:val="32"/>
          <w:szCs w:val="32"/>
        </w:rPr>
        <w:t>（</w:t>
      </w:r>
      <w:r>
        <w:rPr>
          <w:rFonts w:hint="eastAsia" w:ascii="仿宋" w:hAnsi="仿宋" w:eastAsia="仿宋" w:cs="仿宋"/>
          <w:spacing w:val="-6"/>
          <w:sz w:val="32"/>
          <w:szCs w:val="32"/>
        </w:rPr>
        <w:t>实施单位：银保监会、</w:t>
      </w:r>
      <w:r>
        <w:rPr>
          <w:rFonts w:hint="eastAsia" w:ascii="仿宋" w:hAnsi="仿宋" w:eastAsia="仿宋" w:cs="仿宋"/>
          <w:sz w:val="32"/>
          <w:szCs w:val="32"/>
        </w:rPr>
        <w:t>证监会）</w:t>
      </w:r>
    </w:p>
    <w:p>
      <w:pPr>
        <w:pStyle w:val="7"/>
        <w:keepNext w:val="0"/>
        <w:keepLines w:val="0"/>
        <w:pageBreakBefore w:val="0"/>
        <w:widowControl w:val="0"/>
        <w:numPr>
          <w:ilvl w:val="0"/>
          <w:numId w:val="1"/>
        </w:numPr>
        <w:tabs>
          <w:tab w:val="left" w:pos="1301"/>
        </w:tabs>
        <w:kinsoku/>
        <w:wordWrap/>
        <w:overflowPunct/>
        <w:topLinePunct w:val="0"/>
        <w:autoSpaceDE w:val="0"/>
        <w:autoSpaceDN w:val="0"/>
        <w:bidi w:val="0"/>
        <w:adjustRightInd/>
        <w:snapToGrid/>
        <w:spacing w:before="0" w:after="0" w:line="600" w:lineRule="exact"/>
        <w:ind w:left="0" w:leftChars="0" w:right="0" w:firstLine="636" w:firstLineChars="200"/>
        <w:jc w:val="both"/>
        <w:textAlignment w:val="auto"/>
        <w:rPr>
          <w:rFonts w:hint="eastAsia" w:ascii="仿宋" w:hAnsi="仿宋" w:eastAsia="仿宋" w:cs="仿宋"/>
          <w:sz w:val="32"/>
          <w:szCs w:val="32"/>
        </w:rPr>
      </w:pPr>
      <w:r>
        <w:rPr>
          <w:rFonts w:hint="eastAsia" w:ascii="仿宋" w:hAnsi="仿宋" w:eastAsia="仿宋" w:cs="仿宋"/>
          <w:spacing w:val="-1"/>
          <w:sz w:val="32"/>
          <w:szCs w:val="32"/>
        </w:rPr>
        <w:t>依法限制发起设立或参股小额贷款公司、融资担保公司、创</w:t>
      </w:r>
      <w:r>
        <w:rPr>
          <w:rFonts w:hint="eastAsia" w:ascii="仿宋" w:hAnsi="仿宋" w:eastAsia="仿宋" w:cs="仿宋"/>
          <w:sz w:val="32"/>
          <w:szCs w:val="32"/>
        </w:rPr>
        <w:t>业投资公司、互联网融资平台等机构。（</w:t>
      </w:r>
      <w:r>
        <w:rPr>
          <w:rFonts w:hint="eastAsia" w:ascii="仿宋" w:hAnsi="仿宋" w:eastAsia="仿宋" w:cs="仿宋"/>
          <w:spacing w:val="-2"/>
          <w:sz w:val="32"/>
          <w:szCs w:val="32"/>
        </w:rPr>
        <w:t>实施单位：中央网信办、地</w:t>
      </w:r>
      <w:r>
        <w:rPr>
          <w:rFonts w:hint="eastAsia" w:ascii="仿宋" w:hAnsi="仿宋" w:eastAsia="仿宋" w:cs="仿宋"/>
          <w:sz w:val="32"/>
          <w:szCs w:val="32"/>
        </w:rPr>
        <w:t>方政府确定的相关监管机构）</w:t>
      </w:r>
    </w:p>
    <w:p>
      <w:pPr>
        <w:pStyle w:val="7"/>
        <w:keepNext w:val="0"/>
        <w:keepLines w:val="0"/>
        <w:pageBreakBefore w:val="0"/>
        <w:widowControl w:val="0"/>
        <w:numPr>
          <w:ilvl w:val="0"/>
          <w:numId w:val="1"/>
        </w:numPr>
        <w:tabs>
          <w:tab w:val="left" w:pos="1301"/>
        </w:tabs>
        <w:kinsoku/>
        <w:wordWrap/>
        <w:overflowPunct/>
        <w:topLinePunct w:val="0"/>
        <w:autoSpaceDE w:val="0"/>
        <w:autoSpaceDN w:val="0"/>
        <w:bidi w:val="0"/>
        <w:adjustRightInd/>
        <w:snapToGrid/>
        <w:spacing w:before="0" w:after="0" w:line="600" w:lineRule="exact"/>
        <w:ind w:left="0" w:leftChars="0" w:right="0" w:firstLine="636" w:firstLineChars="200"/>
        <w:jc w:val="both"/>
        <w:textAlignment w:val="auto"/>
        <w:rPr>
          <w:rFonts w:hint="eastAsia" w:ascii="仿宋" w:hAnsi="仿宋" w:eastAsia="仿宋" w:cs="仿宋"/>
          <w:sz w:val="32"/>
          <w:szCs w:val="32"/>
        </w:rPr>
      </w:pPr>
      <w:r>
        <w:rPr>
          <w:rFonts w:hint="eastAsia" w:ascii="仿宋" w:hAnsi="仿宋" w:eastAsia="仿宋" w:cs="仿宋"/>
          <w:spacing w:val="-1"/>
          <w:sz w:val="32"/>
          <w:szCs w:val="32"/>
        </w:rPr>
        <w:t>将失信机构及其相关失信人员信息作为银行评级授信、信贷</w:t>
      </w:r>
      <w:r>
        <w:rPr>
          <w:rFonts w:hint="eastAsia" w:ascii="仿宋" w:hAnsi="仿宋" w:eastAsia="仿宋" w:cs="仿宋"/>
          <w:sz w:val="32"/>
          <w:szCs w:val="32"/>
        </w:rPr>
        <w:t>融资、管理和退出的重要参考依据。（</w:t>
      </w:r>
      <w:r>
        <w:rPr>
          <w:rFonts w:hint="eastAsia" w:ascii="仿宋" w:hAnsi="仿宋" w:eastAsia="仿宋" w:cs="仿宋"/>
          <w:spacing w:val="-1"/>
          <w:sz w:val="32"/>
          <w:szCs w:val="32"/>
        </w:rPr>
        <w:t>实施单位：人民银行、银保监</w:t>
      </w:r>
      <w:r>
        <w:rPr>
          <w:rFonts w:hint="eastAsia" w:ascii="仿宋" w:hAnsi="仿宋" w:eastAsia="仿宋" w:cs="仿宋"/>
          <w:sz w:val="32"/>
          <w:szCs w:val="32"/>
        </w:rPr>
        <w:t>会）</w:t>
      </w:r>
    </w:p>
    <w:p>
      <w:pPr>
        <w:pStyle w:val="7"/>
        <w:keepNext w:val="0"/>
        <w:keepLines w:val="0"/>
        <w:pageBreakBefore w:val="0"/>
        <w:widowControl w:val="0"/>
        <w:numPr>
          <w:ilvl w:val="0"/>
          <w:numId w:val="1"/>
        </w:numPr>
        <w:tabs>
          <w:tab w:val="left" w:pos="1228"/>
        </w:tabs>
        <w:kinsoku/>
        <w:wordWrap/>
        <w:overflowPunct/>
        <w:topLinePunct w:val="0"/>
        <w:autoSpaceDE w:val="0"/>
        <w:autoSpaceDN w:val="0"/>
        <w:bidi w:val="0"/>
        <w:adjustRightInd/>
        <w:snapToGrid/>
        <w:spacing w:before="0" w:after="0" w:line="600" w:lineRule="exact"/>
        <w:ind w:left="0" w:leftChars="0" w:righ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依法对申请发行企业债券不予受理。</w:t>
      </w:r>
      <w:r>
        <w:rPr>
          <w:rFonts w:hint="eastAsia" w:ascii="仿宋" w:hAnsi="仿宋" w:eastAsia="仿宋" w:cs="仿宋"/>
          <w:spacing w:val="4"/>
          <w:sz w:val="32"/>
          <w:szCs w:val="32"/>
        </w:rPr>
        <w:t>（</w:t>
      </w:r>
      <w:r>
        <w:rPr>
          <w:rFonts w:hint="eastAsia" w:ascii="仿宋" w:hAnsi="仿宋" w:eastAsia="仿宋" w:cs="仿宋"/>
          <w:sz w:val="32"/>
          <w:szCs w:val="32"/>
        </w:rPr>
        <w:t>实施单位：国家发展改革委）</w:t>
      </w:r>
    </w:p>
    <w:p>
      <w:pPr>
        <w:pStyle w:val="7"/>
        <w:keepNext w:val="0"/>
        <w:keepLines w:val="0"/>
        <w:pageBreakBefore w:val="0"/>
        <w:widowControl w:val="0"/>
        <w:numPr>
          <w:ilvl w:val="0"/>
          <w:numId w:val="1"/>
        </w:numPr>
        <w:tabs>
          <w:tab w:val="left" w:pos="1301"/>
        </w:tabs>
        <w:kinsoku/>
        <w:wordWrap/>
        <w:overflowPunct/>
        <w:topLinePunct w:val="0"/>
        <w:autoSpaceDE w:val="0"/>
        <w:autoSpaceDN w:val="0"/>
        <w:bidi w:val="0"/>
        <w:adjustRightInd/>
        <w:snapToGrid/>
        <w:spacing w:before="0" w:after="0" w:line="600" w:lineRule="exact"/>
        <w:ind w:left="0" w:leftChars="0" w:right="0" w:firstLine="636" w:firstLineChars="200"/>
        <w:jc w:val="both"/>
        <w:textAlignment w:val="auto"/>
        <w:rPr>
          <w:rFonts w:hint="eastAsia" w:ascii="仿宋" w:hAnsi="仿宋" w:eastAsia="仿宋" w:cs="仿宋"/>
          <w:sz w:val="32"/>
          <w:szCs w:val="32"/>
        </w:rPr>
      </w:pPr>
      <w:r>
        <w:rPr>
          <w:rFonts w:hint="eastAsia" w:ascii="仿宋" w:hAnsi="仿宋" w:eastAsia="仿宋" w:cs="仿宋"/>
          <w:spacing w:val="-1"/>
          <w:sz w:val="32"/>
          <w:szCs w:val="32"/>
        </w:rPr>
        <w:t>将失信信息作为发行公司债券的重要参考，依法从严审核； 在注册非金融债券融资工具时加强管理，并按照注册发行有关工作要</w:t>
      </w:r>
      <w:r>
        <w:rPr>
          <w:rFonts w:hint="eastAsia" w:ascii="仿宋" w:hAnsi="仿宋" w:eastAsia="仿宋" w:cs="仿宋"/>
          <w:sz w:val="32"/>
          <w:szCs w:val="32"/>
        </w:rPr>
        <w:t>求，强化信息披露，加强投资人保护机制管理，防范有关风险。（</w:t>
      </w:r>
      <w:r>
        <w:rPr>
          <w:rFonts w:hint="eastAsia" w:ascii="仿宋" w:hAnsi="仿宋" w:eastAsia="仿宋" w:cs="仿宋"/>
          <w:spacing w:val="-11"/>
          <w:sz w:val="32"/>
          <w:szCs w:val="32"/>
        </w:rPr>
        <w:t>实</w:t>
      </w:r>
      <w:r>
        <w:rPr>
          <w:rFonts w:hint="eastAsia" w:ascii="仿宋" w:hAnsi="仿宋" w:eastAsia="仿宋" w:cs="仿宋"/>
          <w:sz w:val="32"/>
          <w:szCs w:val="32"/>
        </w:rPr>
        <w:t>施单位：人民银行）</w:t>
      </w:r>
    </w:p>
    <w:p>
      <w:pPr>
        <w:pStyle w:val="7"/>
        <w:keepNext w:val="0"/>
        <w:keepLines w:val="0"/>
        <w:pageBreakBefore w:val="0"/>
        <w:widowControl w:val="0"/>
        <w:numPr>
          <w:ilvl w:val="0"/>
          <w:numId w:val="1"/>
        </w:numPr>
        <w:tabs>
          <w:tab w:val="left" w:pos="1301"/>
        </w:tabs>
        <w:kinsoku/>
        <w:wordWrap/>
        <w:overflowPunct/>
        <w:topLinePunct w:val="0"/>
        <w:autoSpaceDE w:val="0"/>
        <w:autoSpaceDN w:val="0"/>
        <w:bidi w:val="0"/>
        <w:adjustRightInd/>
        <w:snapToGrid/>
        <w:spacing w:before="0" w:after="0" w:line="600" w:lineRule="exact"/>
        <w:ind w:left="0" w:leftChars="0" w:righ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将失信信息纳入金融信用信息基础数据库。（</w:t>
      </w:r>
      <w:r>
        <w:rPr>
          <w:rFonts w:hint="eastAsia" w:ascii="仿宋" w:hAnsi="仿宋" w:eastAsia="仿宋" w:cs="仿宋"/>
          <w:spacing w:val="-3"/>
          <w:sz w:val="32"/>
          <w:szCs w:val="32"/>
        </w:rPr>
        <w:t>实施单位：人</w:t>
      </w:r>
      <w:r>
        <w:rPr>
          <w:rFonts w:hint="eastAsia" w:ascii="仿宋" w:hAnsi="仿宋" w:eastAsia="仿宋" w:cs="仿宋"/>
          <w:sz w:val="32"/>
          <w:szCs w:val="32"/>
        </w:rPr>
        <w:t>民银行）</w:t>
      </w:r>
    </w:p>
    <w:p>
      <w:pPr>
        <w:pStyle w:val="7"/>
        <w:keepNext w:val="0"/>
        <w:keepLines w:val="0"/>
        <w:pageBreakBefore w:val="0"/>
        <w:widowControl w:val="0"/>
        <w:numPr>
          <w:ilvl w:val="0"/>
          <w:numId w:val="1"/>
        </w:numPr>
        <w:tabs>
          <w:tab w:val="left" w:pos="1301"/>
        </w:tabs>
        <w:kinsoku/>
        <w:wordWrap/>
        <w:overflowPunct/>
        <w:topLinePunct w:val="0"/>
        <w:autoSpaceDE w:val="0"/>
        <w:autoSpaceDN w:val="0"/>
        <w:bidi w:val="0"/>
        <w:adjustRightInd/>
        <w:snapToGrid/>
        <w:spacing w:before="0" w:after="0" w:line="600" w:lineRule="exact"/>
        <w:ind w:left="0" w:leftChars="0" w:righ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将失信信息作为公开发行公司信用类债券核准或注册的参考</w:t>
      </w:r>
      <w:r>
        <w:rPr>
          <w:rFonts w:hint="eastAsia" w:ascii="仿宋" w:hAnsi="仿宋" w:eastAsia="仿宋" w:cs="仿宋"/>
          <w:spacing w:val="-4"/>
          <w:sz w:val="32"/>
          <w:szCs w:val="32"/>
        </w:rPr>
        <w:t>，依法从严审核；在注册非金融债券融资工具时加强管理，并按照注册发行有关工作要求，强化信息披露，加强投资人保护机制管理，防范有关风险。（实施单位：证监会）</w:t>
      </w:r>
    </w:p>
    <w:p>
      <w:pPr>
        <w:pStyle w:val="7"/>
        <w:keepNext w:val="0"/>
        <w:keepLines w:val="0"/>
        <w:pageBreakBefore w:val="0"/>
        <w:widowControl w:val="0"/>
        <w:numPr>
          <w:ilvl w:val="0"/>
          <w:numId w:val="1"/>
        </w:numPr>
        <w:tabs>
          <w:tab w:val="left" w:pos="1301"/>
        </w:tabs>
        <w:kinsoku/>
        <w:wordWrap/>
        <w:overflowPunct/>
        <w:topLinePunct w:val="0"/>
        <w:autoSpaceDE w:val="0"/>
        <w:autoSpaceDN w:val="0"/>
        <w:bidi w:val="0"/>
        <w:adjustRightInd/>
        <w:snapToGrid/>
        <w:spacing w:before="0" w:after="0" w:line="600" w:lineRule="exact"/>
        <w:ind w:left="0" w:leftChars="0" w:right="0" w:firstLine="636" w:firstLineChars="200"/>
        <w:jc w:val="both"/>
        <w:textAlignment w:val="auto"/>
        <w:rPr>
          <w:rFonts w:hint="eastAsia" w:ascii="仿宋" w:hAnsi="仿宋" w:eastAsia="仿宋" w:cs="仿宋"/>
          <w:sz w:val="32"/>
          <w:szCs w:val="32"/>
        </w:rPr>
      </w:pPr>
      <w:r>
        <w:rPr>
          <w:rFonts w:hint="eastAsia" w:ascii="仿宋" w:hAnsi="仿宋" w:eastAsia="仿宋" w:cs="仿宋"/>
          <w:spacing w:val="-1"/>
          <w:sz w:val="32"/>
          <w:szCs w:val="32"/>
        </w:rPr>
        <w:t>在股票发行审核及在全国中小企业股份转让系统挂牌公开转</w:t>
      </w:r>
      <w:r>
        <w:rPr>
          <w:rFonts w:hint="eastAsia" w:ascii="仿宋" w:hAnsi="仿宋" w:eastAsia="仿宋" w:cs="仿宋"/>
          <w:sz w:val="32"/>
          <w:szCs w:val="32"/>
        </w:rPr>
        <w:t>让审核中，将失信信息作为参考。（实施单位：证监会）</w:t>
      </w:r>
    </w:p>
    <w:p>
      <w:pPr>
        <w:pStyle w:val="3"/>
        <w:keepNext w:val="0"/>
        <w:keepLines w:val="0"/>
        <w:pageBreakBefore w:val="0"/>
        <w:widowControl w:val="0"/>
        <w:numPr>
          <w:ilvl w:val="0"/>
          <w:numId w:val="1"/>
        </w:numPr>
        <w:kinsoku/>
        <w:wordWrap/>
        <w:overflowPunct/>
        <w:topLinePunct w:val="0"/>
        <w:autoSpaceDE w:val="0"/>
        <w:autoSpaceDN w:val="0"/>
        <w:bidi w:val="0"/>
        <w:adjustRightInd/>
        <w:snapToGrid/>
        <w:spacing w:before="0" w:line="600" w:lineRule="exact"/>
        <w:ind w:left="0" w:leftChars="0" w:righ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对相关失信责任主体在证券、基金、期货从业资格申请中予以从严审核，对已成为证券、基金、期货从业人员的相关主体予以重点关注。（实施单位：证监会）</w:t>
      </w:r>
    </w:p>
    <w:p>
      <w:pPr>
        <w:pStyle w:val="7"/>
        <w:keepNext w:val="0"/>
        <w:keepLines w:val="0"/>
        <w:pageBreakBefore w:val="0"/>
        <w:widowControl w:val="0"/>
        <w:numPr>
          <w:ilvl w:val="0"/>
          <w:numId w:val="1"/>
        </w:numPr>
        <w:tabs>
          <w:tab w:val="left" w:pos="1301"/>
        </w:tabs>
        <w:kinsoku/>
        <w:wordWrap/>
        <w:overflowPunct/>
        <w:topLinePunct w:val="0"/>
        <w:autoSpaceDE w:val="0"/>
        <w:autoSpaceDN w:val="0"/>
        <w:bidi w:val="0"/>
        <w:adjustRightInd/>
        <w:snapToGrid/>
        <w:spacing w:before="0" w:after="0" w:line="600" w:lineRule="exact"/>
        <w:ind w:left="0" w:leftChars="0" w:right="0" w:firstLine="636" w:firstLineChars="200"/>
        <w:jc w:val="both"/>
        <w:textAlignment w:val="auto"/>
        <w:rPr>
          <w:rFonts w:hint="eastAsia" w:ascii="仿宋" w:hAnsi="仿宋" w:eastAsia="仿宋" w:cs="仿宋"/>
          <w:sz w:val="32"/>
          <w:szCs w:val="32"/>
        </w:rPr>
      </w:pPr>
      <w:r>
        <w:rPr>
          <w:rFonts w:hint="eastAsia" w:ascii="仿宋" w:hAnsi="仿宋" w:eastAsia="仿宋" w:cs="仿宋"/>
          <w:spacing w:val="-1"/>
          <w:sz w:val="32"/>
          <w:szCs w:val="32"/>
        </w:rPr>
        <w:t>对相关失信责任主体在上市公司或者非上市公众公司收购的</w:t>
      </w:r>
      <w:r>
        <w:rPr>
          <w:rFonts w:hint="eastAsia" w:ascii="仿宋" w:hAnsi="仿宋" w:eastAsia="仿宋" w:cs="仿宋"/>
          <w:sz w:val="32"/>
          <w:szCs w:val="32"/>
        </w:rPr>
        <w:t>事中事后监管中予以重点关注。（实施单位：证监会）</w:t>
      </w:r>
    </w:p>
    <w:p>
      <w:pPr>
        <w:pStyle w:val="7"/>
        <w:keepNext w:val="0"/>
        <w:keepLines w:val="0"/>
        <w:pageBreakBefore w:val="0"/>
        <w:widowControl w:val="0"/>
        <w:numPr>
          <w:ilvl w:val="0"/>
          <w:numId w:val="1"/>
        </w:numPr>
        <w:tabs>
          <w:tab w:val="left" w:pos="1301"/>
        </w:tabs>
        <w:kinsoku/>
        <w:wordWrap/>
        <w:overflowPunct/>
        <w:topLinePunct w:val="0"/>
        <w:autoSpaceDE w:val="0"/>
        <w:autoSpaceDN w:val="0"/>
        <w:bidi w:val="0"/>
        <w:adjustRightInd/>
        <w:snapToGrid/>
        <w:spacing w:before="0" w:after="0" w:line="600" w:lineRule="exact"/>
        <w:ind w:left="0" w:leftChars="0" w:righ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将失信信息作为非上市公众公司重大资产重组审核的参考。（实施单位：证监会）</w:t>
      </w:r>
    </w:p>
    <w:p>
      <w:pPr>
        <w:pStyle w:val="7"/>
        <w:keepNext w:val="0"/>
        <w:keepLines w:val="0"/>
        <w:pageBreakBefore w:val="0"/>
        <w:widowControl w:val="0"/>
        <w:numPr>
          <w:ilvl w:val="0"/>
          <w:numId w:val="1"/>
        </w:numPr>
        <w:tabs>
          <w:tab w:val="left" w:pos="1301"/>
        </w:tabs>
        <w:kinsoku/>
        <w:wordWrap/>
        <w:overflowPunct/>
        <w:topLinePunct w:val="0"/>
        <w:autoSpaceDE w:val="0"/>
        <w:autoSpaceDN w:val="0"/>
        <w:bidi w:val="0"/>
        <w:adjustRightInd/>
        <w:snapToGrid/>
        <w:spacing w:before="0" w:after="0" w:line="600" w:lineRule="exact"/>
        <w:ind w:left="0" w:leftChars="0" w:righ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将其失信信息作为独立基金销售机构审批时的参考。（</w:t>
      </w:r>
      <w:r>
        <w:rPr>
          <w:rFonts w:hint="eastAsia" w:ascii="仿宋" w:hAnsi="仿宋" w:eastAsia="仿宋" w:cs="仿宋"/>
          <w:spacing w:val="-6"/>
          <w:sz w:val="32"/>
          <w:szCs w:val="32"/>
        </w:rPr>
        <w:t>实施</w:t>
      </w:r>
      <w:r>
        <w:rPr>
          <w:rFonts w:hint="eastAsia" w:ascii="仿宋" w:hAnsi="仿宋" w:eastAsia="仿宋" w:cs="仿宋"/>
          <w:sz w:val="32"/>
          <w:szCs w:val="32"/>
        </w:rPr>
        <w:t>单位：证监会）</w:t>
      </w:r>
    </w:p>
    <w:p>
      <w:pPr>
        <w:pStyle w:val="7"/>
        <w:keepNext w:val="0"/>
        <w:keepLines w:val="0"/>
        <w:pageBreakBefore w:val="0"/>
        <w:widowControl w:val="0"/>
        <w:numPr>
          <w:ilvl w:val="0"/>
          <w:numId w:val="1"/>
        </w:numPr>
        <w:tabs>
          <w:tab w:val="left" w:pos="1301"/>
        </w:tabs>
        <w:kinsoku/>
        <w:wordWrap/>
        <w:overflowPunct/>
        <w:topLinePunct w:val="0"/>
        <w:autoSpaceDE w:val="0"/>
        <w:autoSpaceDN w:val="0"/>
        <w:bidi w:val="0"/>
        <w:adjustRightInd/>
        <w:snapToGrid/>
        <w:spacing w:before="0" w:after="0" w:line="600" w:lineRule="exact"/>
        <w:ind w:left="0" w:leftChars="0" w:right="0" w:firstLine="636" w:firstLineChars="200"/>
        <w:jc w:val="both"/>
        <w:textAlignment w:val="auto"/>
        <w:rPr>
          <w:rFonts w:hint="eastAsia" w:ascii="仿宋" w:hAnsi="仿宋" w:eastAsia="仿宋" w:cs="仿宋"/>
          <w:sz w:val="32"/>
          <w:szCs w:val="32"/>
        </w:rPr>
      </w:pPr>
      <w:r>
        <w:rPr>
          <w:rFonts w:hint="eastAsia" w:ascii="仿宋" w:hAnsi="仿宋" w:eastAsia="仿宋" w:cs="仿宋"/>
          <w:spacing w:val="-1"/>
          <w:sz w:val="32"/>
          <w:szCs w:val="32"/>
        </w:rPr>
        <w:t>对其依法采取责令改正、暂停相关业务、停业整顿、关闭网</w:t>
      </w:r>
      <w:r>
        <w:rPr>
          <w:rFonts w:hint="eastAsia" w:ascii="仿宋" w:hAnsi="仿宋" w:eastAsia="仿宋" w:cs="仿宋"/>
          <w:sz w:val="32"/>
          <w:szCs w:val="32"/>
        </w:rPr>
        <w:t>站、吊销相关业务许可证或者吊销营业执照等措施。（</w:t>
      </w:r>
      <w:r>
        <w:rPr>
          <w:rFonts w:hint="eastAsia" w:ascii="仿宋" w:hAnsi="仿宋" w:eastAsia="仿宋" w:cs="仿宋"/>
          <w:spacing w:val="-3"/>
          <w:sz w:val="32"/>
          <w:szCs w:val="32"/>
        </w:rPr>
        <w:t>实施单位：公</w:t>
      </w:r>
      <w:r>
        <w:rPr>
          <w:rFonts w:hint="eastAsia" w:ascii="仿宋" w:hAnsi="仿宋" w:eastAsia="仿宋" w:cs="仿宋"/>
          <w:sz w:val="32"/>
          <w:szCs w:val="32"/>
        </w:rPr>
        <w:t>安部、市场监管总局、中央网信办）</w:t>
      </w:r>
    </w:p>
    <w:p>
      <w:pPr>
        <w:pStyle w:val="3"/>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jc w:val="both"/>
        <w:textAlignment w:val="auto"/>
        <w:rPr>
          <w:rFonts w:hint="eastAsia" w:ascii="黑体" w:hAnsi="黑体" w:eastAsia="黑体" w:cs="黑体"/>
          <w:sz w:val="32"/>
          <w:szCs w:val="32"/>
        </w:rPr>
      </w:pPr>
      <w:r>
        <w:rPr>
          <w:rFonts w:hint="eastAsia" w:ascii="黑体" w:hAnsi="黑体" w:eastAsia="黑体" w:cs="黑体"/>
          <w:color w:val="333333"/>
          <w:sz w:val="32"/>
          <w:szCs w:val="32"/>
        </w:rPr>
        <w:t>三、联合惩戒实施方式</w:t>
      </w:r>
    </w:p>
    <w:p>
      <w:pPr>
        <w:pStyle w:val="3"/>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（一</w:t>
      </w:r>
      <w:r>
        <w:rPr>
          <w:rFonts w:hint="eastAsia" w:ascii="仿宋" w:hAnsi="仿宋" w:eastAsia="仿宋" w:cs="仿宋"/>
          <w:spacing w:val="-20"/>
          <w:sz w:val="32"/>
          <w:szCs w:val="32"/>
        </w:rPr>
        <w:t>）</w:t>
      </w:r>
      <w:r>
        <w:rPr>
          <w:rFonts w:hint="eastAsia" w:ascii="仿宋" w:hAnsi="仿宋" w:eastAsia="仿宋" w:cs="仿宋"/>
          <w:spacing w:val="-1"/>
          <w:sz w:val="32"/>
          <w:szCs w:val="32"/>
        </w:rPr>
        <w:t>科技部通过全国信用信息共享平台定期向签署本备忘录的相关部门提供科研领域联合惩戒对象的相关信息。同时，在“信用中国”网站、科技部政府网站、国家企业信用信息公示系统等向社会公布。其他部门和单位通过全国信用信息共享平台联合奖惩子系统获取科研领域联合惩戒对象信息，按照本备忘录约定内容，依法依规实施</w:t>
      </w:r>
      <w:r>
        <w:rPr>
          <w:rFonts w:hint="eastAsia" w:ascii="仿宋" w:hAnsi="仿宋" w:eastAsia="仿宋" w:cs="仿宋"/>
          <w:w w:val="105"/>
          <w:sz w:val="32"/>
          <w:szCs w:val="32"/>
        </w:rPr>
        <w:t>惩戒。</w:t>
      </w:r>
    </w:p>
    <w:p>
      <w:pPr>
        <w:pStyle w:val="3"/>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（二</w:t>
      </w:r>
      <w:r>
        <w:rPr>
          <w:rFonts w:hint="eastAsia" w:ascii="仿宋" w:hAnsi="仿宋" w:eastAsia="仿宋" w:cs="仿宋"/>
          <w:spacing w:val="-10"/>
          <w:sz w:val="32"/>
          <w:szCs w:val="32"/>
        </w:rPr>
        <w:t>）</w:t>
      </w:r>
      <w:r>
        <w:rPr>
          <w:rFonts w:hint="eastAsia" w:ascii="仿宋" w:hAnsi="仿宋" w:eastAsia="仿宋" w:cs="仿宋"/>
          <w:spacing w:val="-2"/>
          <w:sz w:val="32"/>
          <w:szCs w:val="32"/>
        </w:rPr>
        <w:t>建立惩戒效果定期通报机制，根据实际情况相关部门可定</w:t>
      </w:r>
      <w:r>
        <w:rPr>
          <w:rFonts w:hint="eastAsia" w:ascii="仿宋" w:hAnsi="仿宋" w:eastAsia="仿宋" w:cs="仿宋"/>
          <w:spacing w:val="-1"/>
          <w:sz w:val="32"/>
          <w:szCs w:val="32"/>
        </w:rPr>
        <w:t>期将联合惩戒措施的实施情况通过全国信用信息共享平台联合奖惩子</w:t>
      </w:r>
      <w:r>
        <w:rPr>
          <w:rFonts w:hint="eastAsia" w:ascii="仿宋" w:hAnsi="仿宋" w:eastAsia="仿宋" w:cs="仿宋"/>
          <w:sz w:val="32"/>
          <w:szCs w:val="32"/>
        </w:rPr>
        <w:t>系统反馈至国家发展改革委和科技部。</w:t>
      </w:r>
    </w:p>
    <w:p>
      <w:pPr>
        <w:pStyle w:val="3"/>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jc w:val="both"/>
        <w:textAlignment w:val="auto"/>
        <w:rPr>
          <w:rFonts w:hint="eastAsia" w:ascii="仿宋" w:hAnsi="仿宋" w:eastAsia="仿宋" w:cs="仿宋"/>
          <w:sz w:val="32"/>
          <w:szCs w:val="32"/>
        </w:rPr>
      </w:pPr>
      <w:r>
        <w:rPr>
          <w:rFonts w:hint="eastAsia" w:ascii="黑体" w:hAnsi="黑体" w:eastAsia="黑体" w:cs="黑体"/>
          <w:sz w:val="32"/>
          <w:szCs w:val="32"/>
        </w:rPr>
        <w:t>四、联合惩戒动态管理</w:t>
      </w:r>
    </w:p>
    <w:p>
      <w:pPr>
        <w:pStyle w:val="3"/>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32" w:firstLineChars="200"/>
        <w:jc w:val="both"/>
        <w:textAlignment w:val="auto"/>
        <w:rPr>
          <w:rFonts w:hint="eastAsia" w:ascii="仿宋" w:hAnsi="仿宋" w:eastAsia="仿宋" w:cs="仿宋"/>
          <w:sz w:val="32"/>
          <w:szCs w:val="32"/>
        </w:rPr>
      </w:pPr>
      <w:r>
        <w:rPr>
          <w:rFonts w:hint="eastAsia" w:ascii="仿宋" w:hAnsi="仿宋" w:eastAsia="仿宋" w:cs="仿宋"/>
          <w:spacing w:val="-2"/>
          <w:sz w:val="32"/>
          <w:szCs w:val="32"/>
        </w:rPr>
        <w:t>科技部对科研领域失信行为责任主体名单进行动态管理，通过全</w:t>
      </w:r>
      <w:r>
        <w:rPr>
          <w:rFonts w:hint="eastAsia" w:ascii="仿宋" w:hAnsi="仿宋" w:eastAsia="仿宋" w:cs="仿宋"/>
          <w:spacing w:val="-1"/>
          <w:sz w:val="32"/>
          <w:szCs w:val="32"/>
        </w:rPr>
        <w:t>国信用信息共享平台定期更新科研领域严重失信行为信息，相关部门依据相关规则和程序实施或解除惩戒措施。解除惩戒措施后依程序移</w:t>
      </w:r>
      <w:r>
        <w:rPr>
          <w:rFonts w:hint="eastAsia" w:ascii="仿宋" w:hAnsi="仿宋" w:eastAsia="仿宋" w:cs="仿宋"/>
          <w:sz w:val="32"/>
          <w:szCs w:val="32"/>
        </w:rPr>
        <w:t>除科研领域严重失信行为信息，但相关记录在电子档案中长期保存。</w:t>
      </w:r>
    </w:p>
    <w:p>
      <w:pPr>
        <w:pStyle w:val="3"/>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jc w:val="both"/>
        <w:textAlignment w:val="auto"/>
        <w:rPr>
          <w:rFonts w:hint="eastAsia" w:ascii="黑体" w:hAnsi="黑体" w:eastAsia="黑体" w:cs="黑体"/>
          <w:sz w:val="32"/>
          <w:szCs w:val="32"/>
        </w:rPr>
      </w:pPr>
      <w:r>
        <w:rPr>
          <w:rFonts w:hint="eastAsia" w:ascii="黑体" w:hAnsi="黑体" w:eastAsia="黑体" w:cs="黑体"/>
          <w:color w:val="333333"/>
          <w:sz w:val="32"/>
          <w:szCs w:val="32"/>
        </w:rPr>
        <w:t>五、其他事宜</w:t>
      </w:r>
    </w:p>
    <w:p>
      <w:pPr>
        <w:pStyle w:val="3"/>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24" w:firstLineChars="200"/>
        <w:jc w:val="both"/>
        <w:textAlignment w:val="auto"/>
        <w:rPr>
          <w:rFonts w:hint="eastAsia" w:ascii="仿宋" w:hAnsi="仿宋" w:eastAsia="仿宋" w:cs="仿宋"/>
          <w:sz w:val="32"/>
          <w:szCs w:val="32"/>
        </w:rPr>
      </w:pPr>
      <w:r>
        <w:rPr>
          <w:rFonts w:hint="eastAsia" w:ascii="仿宋" w:hAnsi="仿宋" w:eastAsia="仿宋" w:cs="仿宋"/>
          <w:spacing w:val="-4"/>
          <w:sz w:val="32"/>
          <w:szCs w:val="32"/>
        </w:rPr>
        <w:t>各部门应密切协作，积极落实本备忘录。本备忘录实施过程中涉</w:t>
      </w:r>
      <w:r>
        <w:rPr>
          <w:rFonts w:hint="eastAsia" w:ascii="仿宋" w:hAnsi="仿宋" w:eastAsia="仿宋" w:cs="仿宋"/>
          <w:spacing w:val="-1"/>
          <w:sz w:val="32"/>
          <w:szCs w:val="32"/>
        </w:rPr>
        <w:t>及部门之间协调配合的问题，由各部门协商解决。各有关单位可在惩</w:t>
      </w:r>
      <w:r>
        <w:rPr>
          <w:rFonts w:hint="eastAsia" w:ascii="仿宋" w:hAnsi="仿宋" w:eastAsia="仿宋" w:cs="仿宋"/>
          <w:sz w:val="32"/>
          <w:szCs w:val="32"/>
        </w:rPr>
        <w:t>戒时按相关具体规定或管理要求，确定惩戒时限。</w:t>
      </w:r>
    </w:p>
    <w:p>
      <w:pPr>
        <w:pStyle w:val="3"/>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24" w:firstLineChars="200"/>
        <w:jc w:val="both"/>
        <w:textAlignment w:val="auto"/>
      </w:pPr>
      <w:r>
        <w:rPr>
          <w:rFonts w:hint="eastAsia" w:ascii="仿宋" w:hAnsi="仿宋" w:eastAsia="仿宋" w:cs="仿宋"/>
          <w:spacing w:val="-4"/>
          <w:sz w:val="32"/>
          <w:szCs w:val="32"/>
        </w:rPr>
        <w:t>本备忘录签署后，各项惩戒措施所依据的法律、法规、规章及规</w:t>
      </w:r>
      <w:r>
        <w:rPr>
          <w:rFonts w:hint="eastAsia" w:ascii="仿宋" w:hAnsi="仿宋" w:eastAsia="仿宋" w:cs="仿宋"/>
          <w:spacing w:val="-1"/>
          <w:sz w:val="32"/>
          <w:szCs w:val="32"/>
        </w:rPr>
        <w:t>范性文件有修改或调整的，以修改后的法律、法规、规章及规范性文</w:t>
      </w:r>
      <w:r>
        <w:rPr>
          <w:rFonts w:hint="eastAsia" w:ascii="仿宋" w:hAnsi="仿宋" w:eastAsia="仿宋" w:cs="仿宋"/>
          <w:sz w:val="32"/>
          <w:szCs w:val="32"/>
        </w:rPr>
        <w:t>件为准。</w:t>
      </w:r>
    </w:p>
    <w:p>
      <w:pPr>
        <w:spacing w:after="0" w:line="271" w:lineRule="auto"/>
        <w:jc w:val="both"/>
        <w:sectPr>
          <w:footerReference r:id="rId3" w:type="default"/>
          <w:pgSz w:w="11910" w:h="16840"/>
          <w:pgMar w:top="1871" w:right="1417" w:bottom="1871" w:left="1417" w:header="0" w:footer="1059" w:gutter="0"/>
        </w:sectPr>
      </w:pPr>
    </w:p>
    <w:p>
      <w:pPr>
        <w:pStyle w:val="3"/>
        <w:spacing w:before="14"/>
        <w:rPr>
          <w:sz w:val="22"/>
        </w:rPr>
      </w:pPr>
    </w:p>
    <w:p>
      <w:pPr>
        <w:pStyle w:val="3"/>
        <w:spacing w:before="58"/>
        <w:ind w:left="100"/>
        <w:rPr>
          <w:rFonts w:hint="eastAsia" w:ascii="黑体" w:eastAsia="黑体"/>
          <w:lang w:eastAsia="zh-CN"/>
        </w:rPr>
      </w:pPr>
      <w:r>
        <w:rPr>
          <w:rFonts w:hint="eastAsia" w:ascii="黑体" w:eastAsia="黑体"/>
        </w:rPr>
        <w:t>附录</w:t>
      </w:r>
      <w:r>
        <w:rPr>
          <w:rFonts w:hint="eastAsia" w:ascii="黑体" w:eastAsia="黑体"/>
          <w:lang w:eastAsia="zh-CN"/>
        </w:rPr>
        <w:t>：</w:t>
      </w:r>
    </w:p>
    <w:p>
      <w:pPr>
        <w:pStyle w:val="2"/>
        <w:spacing w:before="266"/>
        <w:ind w:left="3701" w:right="4438" w:firstLine="0"/>
        <w:jc w:val="center"/>
      </w:pPr>
      <w:r>
        <w:t>部门联合惩戒措施及法律政策依据</w:t>
      </w: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3"/>
        </w:rPr>
      </w:pPr>
    </w:p>
    <w:p>
      <w:pPr>
        <w:spacing w:before="77"/>
        <w:ind w:left="0" w:right="107" w:firstLine="0"/>
        <w:jc w:val="right"/>
        <w:rPr>
          <w:sz w:val="21"/>
        </w:rPr>
      </w:pPr>
      <w:r>
        <mc:AlternateContent>
          <mc:Choice Requires="wps">
            <w:drawing>
              <wp:anchor distT="0" distB="0" distL="114300" distR="114300" simplePos="0" relativeHeight="251658240" behindDoc="0" locked="0" layoutInCell="1" allowOverlap="1">
                <wp:simplePos x="0" y="0"/>
                <wp:positionH relativeFrom="page">
                  <wp:posOffset>1293495</wp:posOffset>
                </wp:positionH>
                <wp:positionV relativeFrom="paragraph">
                  <wp:posOffset>-1788795</wp:posOffset>
                </wp:positionV>
                <wp:extent cx="8669020" cy="4338320"/>
                <wp:effectExtent l="0" t="0" r="0" b="0"/>
                <wp:wrapNone/>
                <wp:docPr id="1" name="文本框 2"/>
                <wp:cNvGraphicFramePr/>
                <a:graphic xmlns:a="http://schemas.openxmlformats.org/drawingml/2006/main">
                  <a:graphicData uri="http://schemas.microsoft.com/office/word/2010/wordprocessingShape">
                    <wps:wsp>
                      <wps:cNvSpPr txBox="1"/>
                      <wps:spPr>
                        <a:xfrm>
                          <a:off x="0" y="0"/>
                          <a:ext cx="8669020" cy="4338320"/>
                        </a:xfrm>
                        <a:prstGeom prst="rect">
                          <a:avLst/>
                        </a:prstGeom>
                        <a:noFill/>
                        <a:ln>
                          <a:noFill/>
                        </a:ln>
                      </wps:spPr>
                      <wps:txbx>
                        <w:txbxContent>
                          <w:tbl>
                            <w:tblPr>
                              <w:tblStyle w:val="4"/>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43"/>
                              <w:gridCol w:w="9919"/>
                              <w:gridCol w:w="19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1" w:hRule="atLeast"/>
                              </w:trPr>
                              <w:tc>
                                <w:tcPr>
                                  <w:tcW w:w="1743" w:type="dxa"/>
                                </w:tcPr>
                                <w:p>
                                  <w:pPr>
                                    <w:pStyle w:val="8"/>
                                    <w:spacing w:before="63" w:line="438" w:lineRule="exact"/>
                                    <w:ind w:left="271"/>
                                    <w:rPr>
                                      <w:rFonts w:hint="eastAsia" w:ascii="Arial Unicode MS" w:eastAsia="Arial Unicode MS"/>
                                      <w:sz w:val="30"/>
                                    </w:rPr>
                                  </w:pPr>
                                  <w:r>
                                    <w:rPr>
                                      <w:rFonts w:hint="eastAsia" w:ascii="Arial Unicode MS" w:eastAsia="Arial Unicode MS"/>
                                      <w:sz w:val="30"/>
                                    </w:rPr>
                                    <w:t>惩戒措施</w:t>
                                  </w:r>
                                </w:p>
                              </w:tc>
                              <w:tc>
                                <w:tcPr>
                                  <w:tcW w:w="9919" w:type="dxa"/>
                                </w:tcPr>
                                <w:p>
                                  <w:pPr>
                                    <w:pStyle w:val="8"/>
                                    <w:spacing w:line="502" w:lineRule="exact"/>
                                    <w:ind w:left="3886" w:right="3882"/>
                                    <w:jc w:val="center"/>
                                    <w:rPr>
                                      <w:rFonts w:hint="eastAsia" w:ascii="Arial Unicode MS" w:eastAsia="Arial Unicode MS"/>
                                      <w:sz w:val="30"/>
                                    </w:rPr>
                                  </w:pPr>
                                  <w:r>
                                    <w:rPr>
                                      <w:rFonts w:hint="eastAsia" w:ascii="Arial Unicode MS" w:eastAsia="Arial Unicode MS"/>
                                      <w:sz w:val="30"/>
                                    </w:rPr>
                                    <w:t>法律及政策依据</w:t>
                                  </w:r>
                                </w:p>
                              </w:tc>
                              <w:tc>
                                <w:tcPr>
                                  <w:tcW w:w="1976" w:type="dxa"/>
                                </w:tcPr>
                                <w:p>
                                  <w:pPr>
                                    <w:pStyle w:val="8"/>
                                    <w:spacing w:line="502" w:lineRule="exact"/>
                                    <w:ind w:left="62" w:right="61"/>
                                    <w:jc w:val="center"/>
                                    <w:rPr>
                                      <w:rFonts w:hint="eastAsia" w:ascii="Arial Unicode MS" w:eastAsia="Arial Unicode MS"/>
                                      <w:sz w:val="30"/>
                                    </w:rPr>
                                  </w:pPr>
                                  <w:r>
                                    <w:rPr>
                                      <w:rFonts w:hint="eastAsia" w:ascii="Arial Unicode MS" w:eastAsia="Arial Unicode MS"/>
                                      <w:sz w:val="30"/>
                                    </w:rPr>
                                    <w:t>实施部门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trPr>
                              <w:tc>
                                <w:tcPr>
                                  <w:tcW w:w="13638" w:type="dxa"/>
                                  <w:gridSpan w:val="3"/>
                                </w:tcPr>
                                <w:p>
                                  <w:pPr>
                                    <w:pStyle w:val="8"/>
                                    <w:spacing w:line="462" w:lineRule="exact"/>
                                    <w:ind w:left="3438" w:right="3429"/>
                                    <w:jc w:val="center"/>
                                    <w:rPr>
                                      <w:rFonts w:hint="eastAsia" w:ascii="Arial Unicode MS" w:eastAsia="Arial Unicode MS"/>
                                      <w:sz w:val="28"/>
                                    </w:rPr>
                                  </w:pPr>
                                  <w:r>
                                    <w:rPr>
                                      <w:rFonts w:hint="eastAsia" w:ascii="Arial Unicode MS" w:eastAsia="Arial Unicode MS"/>
                                      <w:color w:val="333333"/>
                                      <w:sz w:val="28"/>
                                    </w:rPr>
                                    <w:t>（一）科研诚信建设联席会议成员单位采取的惩戒措施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atLeast"/>
                              </w:trPr>
                              <w:tc>
                                <w:tcPr>
                                  <w:tcW w:w="1743" w:type="dxa"/>
                                  <w:tcBorders>
                                    <w:bottom w:val="nil"/>
                                  </w:tcBorders>
                                </w:tcPr>
                                <w:p>
                                  <w:pPr>
                                    <w:pStyle w:val="8"/>
                                    <w:spacing w:before="60"/>
                                    <w:ind w:left="14"/>
                                    <w:rPr>
                                      <w:sz w:val="21"/>
                                    </w:rPr>
                                  </w:pPr>
                                  <w:r>
                                    <w:rPr>
                                      <w:rFonts w:ascii="Times New Roman" w:eastAsia="Times New Roman"/>
                                      <w:spacing w:val="-36"/>
                                      <w:w w:val="95"/>
                                      <w:sz w:val="21"/>
                                    </w:rPr>
                                    <w:t>1</w:t>
                                  </w:r>
                                  <w:r>
                                    <w:rPr>
                                      <w:spacing w:val="-6"/>
                                      <w:w w:val="95"/>
                                      <w:sz w:val="21"/>
                                    </w:rPr>
                                    <w:t>．限制或取消一定</w:t>
                                  </w:r>
                                </w:p>
                                <w:p>
                                  <w:pPr>
                                    <w:pStyle w:val="8"/>
                                    <w:spacing w:before="91"/>
                                    <w:ind w:left="14"/>
                                    <w:rPr>
                                      <w:sz w:val="21"/>
                                    </w:rPr>
                                  </w:pPr>
                                  <w:r>
                                    <w:rPr>
                                      <w:spacing w:val="2"/>
                                      <w:w w:val="95"/>
                                      <w:sz w:val="21"/>
                                    </w:rPr>
                                    <w:t>期限申报或承担国</w:t>
                                  </w:r>
                                </w:p>
                              </w:tc>
                              <w:tc>
                                <w:tcPr>
                                  <w:tcW w:w="9919" w:type="dxa"/>
                                  <w:vMerge w:val="restart"/>
                                </w:tcPr>
                                <w:p>
                                  <w:pPr>
                                    <w:pStyle w:val="8"/>
                                    <w:spacing w:before="60"/>
                                    <w:ind w:left="13"/>
                                    <w:rPr>
                                      <w:b/>
                                      <w:sz w:val="21"/>
                                    </w:rPr>
                                  </w:pPr>
                                  <w:r>
                                    <w:rPr>
                                      <w:b/>
                                      <w:sz w:val="21"/>
                                    </w:rPr>
                                    <w:t>《中华人民共和国科学技术进步法》</w:t>
                                  </w:r>
                                </w:p>
                                <w:p>
                                  <w:pPr>
                                    <w:pStyle w:val="8"/>
                                    <w:spacing w:before="91" w:line="321" w:lineRule="auto"/>
                                    <w:ind w:left="13" w:firstLine="420"/>
                                    <w:jc w:val="both"/>
                                    <w:rPr>
                                      <w:sz w:val="21"/>
                                    </w:rPr>
                                  </w:pPr>
                                  <w:r>
                                    <w:rPr>
                                      <w:spacing w:val="-10"/>
                                      <w:sz w:val="21"/>
                                    </w:rPr>
                                    <w:t>第六十七条 违反本法规定，虚报、冒领、贪污、挪用、截留用于科学技术进步的财政性资金，依照有关财政违法行为处罚处分的规定责令改正，追回有关财政性资金和违法所得，依法给予行政处罚；对直接负责的主管人员和其他直接责任人员依法给予处分。</w:t>
                                  </w:r>
                                </w:p>
                                <w:p>
                                  <w:pPr>
                                    <w:pStyle w:val="8"/>
                                    <w:spacing w:line="321" w:lineRule="auto"/>
                                    <w:ind w:left="13" w:firstLine="420"/>
                                    <w:jc w:val="both"/>
                                    <w:rPr>
                                      <w:sz w:val="21"/>
                                    </w:rPr>
                                  </w:pPr>
                                  <w:r>
                                    <w:rPr>
                                      <w:spacing w:val="-9"/>
                                      <w:sz w:val="21"/>
                                    </w:rPr>
                                    <w:t>第七十条 违反本法规定，抄袭、剽窃他人科学技术成果，或者在科学技术活动中弄虚作假的，由科学技术人员所在单位或者单位主管机关责令改正，对直接负责的主管人员和其他直接责任人员依法给予处分；获得用于科学技术进步的财政性资金或者有违法所得的，由有关主管部门追回财政性资金和违法所得；情节严重的，由所在单位或者单位主管机关向社会公布其违法行为，禁止其在一定期限内申请国家科学技术基金项目和国家科学技术计划项目。</w:t>
                                  </w:r>
                                </w:p>
                                <w:p>
                                  <w:pPr>
                                    <w:pStyle w:val="8"/>
                                    <w:spacing w:line="321" w:lineRule="auto"/>
                                    <w:ind w:left="13" w:firstLine="420"/>
                                    <w:jc w:val="both"/>
                                    <w:rPr>
                                      <w:sz w:val="21"/>
                                    </w:rPr>
                                  </w:pPr>
                                  <w:r>
                                    <w:rPr>
                                      <w:spacing w:val="-9"/>
                                      <w:sz w:val="21"/>
                                    </w:rPr>
                                    <w:t>第七十一条 违反本法规定，骗取国家科学技术奖励的，由主管部门依法撤销奖励，追回奖金，并依法给予处分。</w:t>
                                  </w:r>
                                </w:p>
                                <w:p>
                                  <w:pPr>
                                    <w:pStyle w:val="8"/>
                                    <w:spacing w:line="321" w:lineRule="auto"/>
                                    <w:ind w:left="13" w:right="2" w:firstLine="420"/>
                                    <w:rPr>
                                      <w:sz w:val="21"/>
                                    </w:rPr>
                                  </w:pPr>
                                  <w:r>
                                    <w:rPr>
                                      <w:sz w:val="21"/>
                                    </w:rPr>
                                    <w:t>违反本法规定，推荐的单位或者个人提供虚假数据、材料，协助他人骗取国家科学技术奖励的，由主管部门给予通报批评；情节严重的，暂停或者取消其推荐资格，并依法给予处分。</w:t>
                                  </w:r>
                                </w:p>
                                <w:p>
                                  <w:pPr>
                                    <w:pStyle w:val="8"/>
                                    <w:spacing w:line="268" w:lineRule="exact"/>
                                    <w:ind w:left="13"/>
                                    <w:rPr>
                                      <w:b/>
                                      <w:sz w:val="21"/>
                                    </w:rPr>
                                  </w:pPr>
                                  <w:r>
                                    <w:rPr>
                                      <w:b/>
                                      <w:sz w:val="21"/>
                                    </w:rPr>
                                    <w:t>《国务院办公厅关于优化学术环境的指导意见》</w:t>
                                  </w:r>
                                </w:p>
                                <w:p>
                                  <w:pPr>
                                    <w:pStyle w:val="8"/>
                                    <w:spacing w:line="360" w:lineRule="atLeast"/>
                                    <w:ind w:left="13" w:right="2" w:firstLine="420"/>
                                    <w:rPr>
                                      <w:sz w:val="21"/>
                                    </w:rPr>
                                  </w:pPr>
                                  <w:r>
                                    <w:rPr>
                                      <w:sz w:val="21"/>
                                    </w:rPr>
                                    <w:t>（七）优化学术诚信环境，树立良好学风。坚持道德自律和制度规范并举，建设集教育、防范、监督、惩治于一体的学术诚信体系。完善科研机构学术道德和学风监督机制，实行严格的科研信用制度，建立学术</w:t>
                                  </w:r>
                                </w:p>
                              </w:tc>
                              <w:tc>
                                <w:tcPr>
                                  <w:tcW w:w="1976" w:type="dxa"/>
                                  <w:tcBorders>
                                    <w:bottom w:val="nil"/>
                                  </w:tcBorders>
                                </w:tcPr>
                                <w:p>
                                  <w:pPr>
                                    <w:pStyle w:val="8"/>
                                    <w:rPr>
                                      <w:sz w:val="20"/>
                                    </w:rPr>
                                  </w:pPr>
                                </w:p>
                                <w:p>
                                  <w:pPr>
                                    <w:pStyle w:val="8"/>
                                    <w:spacing w:before="164"/>
                                    <w:ind w:left="69" w:right="61"/>
                                    <w:jc w:val="center"/>
                                    <w:rPr>
                                      <w:sz w:val="21"/>
                                    </w:rPr>
                                  </w:pPr>
                                  <w:r>
                                    <w:rPr>
                                      <w:w w:val="95"/>
                                      <w:sz w:val="21"/>
                                    </w:rPr>
                                    <w:t>科技部、最高法院、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1743" w:type="dxa"/>
                                  <w:tcBorders>
                                    <w:top w:val="nil"/>
                                    <w:bottom w:val="nil"/>
                                  </w:tcBorders>
                                </w:tcPr>
                                <w:p>
                                  <w:pPr>
                                    <w:pStyle w:val="8"/>
                                    <w:spacing w:before="40"/>
                                    <w:ind w:left="14" w:right="-29"/>
                                    <w:rPr>
                                      <w:sz w:val="21"/>
                                    </w:rPr>
                                  </w:pPr>
                                  <w:r>
                                    <w:rPr>
                                      <w:spacing w:val="-14"/>
                                      <w:sz w:val="21"/>
                                    </w:rPr>
                                    <w:t>家科技计划</w:t>
                                  </w:r>
                                  <w:r>
                                    <w:rPr>
                                      <w:sz w:val="21"/>
                                    </w:rPr>
                                    <w:t>（</w:t>
                                  </w:r>
                                  <w:r>
                                    <w:rPr>
                                      <w:spacing w:val="-29"/>
                                      <w:sz w:val="21"/>
                                    </w:rPr>
                                    <w:t>专项、</w:t>
                                  </w:r>
                                </w:p>
                              </w:tc>
                              <w:tc>
                                <w:tcPr>
                                  <w:tcW w:w="9919" w:type="dxa"/>
                                  <w:vMerge w:val="continue"/>
                                  <w:tcBorders>
                                    <w:top w:val="nil"/>
                                  </w:tcBorders>
                                </w:tcPr>
                                <w:p>
                                  <w:pPr>
                                    <w:rPr>
                                      <w:sz w:val="2"/>
                                      <w:szCs w:val="2"/>
                                    </w:rPr>
                                  </w:pPr>
                                </w:p>
                              </w:tc>
                              <w:tc>
                                <w:tcPr>
                                  <w:tcW w:w="1976" w:type="dxa"/>
                                  <w:tcBorders>
                                    <w:top w:val="nil"/>
                                    <w:bottom w:val="nil"/>
                                  </w:tcBorders>
                                </w:tcPr>
                                <w:p>
                                  <w:pPr>
                                    <w:pStyle w:val="8"/>
                                    <w:spacing w:before="40"/>
                                    <w:ind w:left="69" w:right="61"/>
                                    <w:jc w:val="center"/>
                                    <w:rPr>
                                      <w:sz w:val="21"/>
                                    </w:rPr>
                                  </w:pPr>
                                  <w:r>
                                    <w:rPr>
                                      <w:w w:val="95"/>
                                      <w:sz w:val="21"/>
                                    </w:rPr>
                                    <w:t>最高检察院、中央军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1743" w:type="dxa"/>
                                  <w:tcBorders>
                                    <w:top w:val="nil"/>
                                    <w:bottom w:val="nil"/>
                                  </w:tcBorders>
                                </w:tcPr>
                                <w:p>
                                  <w:pPr>
                                    <w:pStyle w:val="8"/>
                                    <w:spacing w:before="40"/>
                                    <w:ind w:left="14"/>
                                    <w:rPr>
                                      <w:sz w:val="21"/>
                                    </w:rPr>
                                  </w:pPr>
                                  <w:r>
                                    <w:rPr>
                                      <w:sz w:val="21"/>
                                    </w:rPr>
                                    <w:t>基金等）的资格。</w:t>
                                  </w:r>
                                </w:p>
                              </w:tc>
                              <w:tc>
                                <w:tcPr>
                                  <w:tcW w:w="9919" w:type="dxa"/>
                                  <w:vMerge w:val="continue"/>
                                  <w:tcBorders>
                                    <w:top w:val="nil"/>
                                  </w:tcBorders>
                                </w:tcPr>
                                <w:p>
                                  <w:pPr>
                                    <w:rPr>
                                      <w:sz w:val="2"/>
                                      <w:szCs w:val="2"/>
                                    </w:rPr>
                                  </w:pPr>
                                </w:p>
                              </w:tc>
                              <w:tc>
                                <w:tcPr>
                                  <w:tcW w:w="1976" w:type="dxa"/>
                                  <w:tcBorders>
                                    <w:top w:val="nil"/>
                                    <w:bottom w:val="nil"/>
                                  </w:tcBorders>
                                </w:tcPr>
                                <w:p>
                                  <w:pPr>
                                    <w:pStyle w:val="8"/>
                                    <w:spacing w:before="40"/>
                                    <w:ind w:left="69" w:right="61"/>
                                    <w:jc w:val="center"/>
                                    <w:rPr>
                                      <w:sz w:val="21"/>
                                    </w:rPr>
                                  </w:pPr>
                                  <w:r>
                                    <w:rPr>
                                      <w:w w:val="95"/>
                                      <w:sz w:val="21"/>
                                    </w:rPr>
                                    <w:t>委装备发展部、中央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6" w:hRule="atLeast"/>
                              </w:trPr>
                              <w:tc>
                                <w:tcPr>
                                  <w:tcW w:w="1743" w:type="dxa"/>
                                  <w:tcBorders>
                                    <w:top w:val="nil"/>
                                    <w:bottom w:val="nil"/>
                                  </w:tcBorders>
                                </w:tcPr>
                                <w:p>
                                  <w:pPr>
                                    <w:pStyle w:val="8"/>
                                    <w:rPr>
                                      <w:rFonts w:ascii="Times New Roman"/>
                                      <w:sz w:val="20"/>
                                    </w:rPr>
                                  </w:pPr>
                                </w:p>
                              </w:tc>
                              <w:tc>
                                <w:tcPr>
                                  <w:tcW w:w="9919" w:type="dxa"/>
                                  <w:vMerge w:val="continue"/>
                                  <w:tcBorders>
                                    <w:top w:val="nil"/>
                                  </w:tcBorders>
                                </w:tcPr>
                                <w:p>
                                  <w:pPr>
                                    <w:rPr>
                                      <w:sz w:val="2"/>
                                      <w:szCs w:val="2"/>
                                    </w:rPr>
                                  </w:pPr>
                                </w:p>
                              </w:tc>
                              <w:tc>
                                <w:tcPr>
                                  <w:tcW w:w="1976" w:type="dxa"/>
                                  <w:tcBorders>
                                    <w:top w:val="nil"/>
                                    <w:bottom w:val="nil"/>
                                  </w:tcBorders>
                                </w:tcPr>
                                <w:p>
                                  <w:pPr>
                                    <w:pStyle w:val="8"/>
                                    <w:spacing w:before="40"/>
                                    <w:ind w:left="69" w:right="61"/>
                                    <w:jc w:val="center"/>
                                    <w:rPr>
                                      <w:sz w:val="21"/>
                                    </w:rPr>
                                  </w:pPr>
                                  <w:r>
                                    <w:rPr>
                                      <w:w w:val="95"/>
                                      <w:sz w:val="21"/>
                                    </w:rPr>
                                    <w:t>军委科学技术委员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3" w:hRule="atLeast"/>
                              </w:trPr>
                              <w:tc>
                                <w:tcPr>
                                  <w:tcW w:w="1743" w:type="dxa"/>
                                  <w:tcBorders>
                                    <w:top w:val="nil"/>
                                    <w:bottom w:val="nil"/>
                                  </w:tcBorders>
                                </w:tcPr>
                                <w:p>
                                  <w:pPr>
                                    <w:pStyle w:val="8"/>
                                    <w:spacing w:before="43"/>
                                    <w:ind w:left="14"/>
                                    <w:rPr>
                                      <w:sz w:val="21"/>
                                    </w:rPr>
                                  </w:pPr>
                                  <w:r>
                                    <w:rPr>
                                      <w:rFonts w:ascii="Times New Roman" w:eastAsia="Times New Roman"/>
                                      <w:spacing w:val="5"/>
                                      <w:w w:val="95"/>
                                      <w:sz w:val="21"/>
                                    </w:rPr>
                                    <w:t>2.</w:t>
                                  </w:r>
                                  <w:r>
                                    <w:rPr>
                                      <w:spacing w:val="9"/>
                                      <w:w w:val="95"/>
                                      <w:sz w:val="21"/>
                                    </w:rPr>
                                    <w:t>依法撤销国家科</w:t>
                                  </w:r>
                                </w:p>
                                <w:p>
                                  <w:pPr>
                                    <w:pStyle w:val="8"/>
                                    <w:spacing w:before="91"/>
                                    <w:ind w:left="14"/>
                                    <w:rPr>
                                      <w:sz w:val="21"/>
                                    </w:rPr>
                                  </w:pPr>
                                  <w:r>
                                    <w:rPr>
                                      <w:spacing w:val="2"/>
                                      <w:w w:val="95"/>
                                      <w:sz w:val="21"/>
                                    </w:rPr>
                                    <w:t>学技术奖奖励，追</w:t>
                                  </w:r>
                                </w:p>
                              </w:tc>
                              <w:tc>
                                <w:tcPr>
                                  <w:tcW w:w="9919" w:type="dxa"/>
                                  <w:vMerge w:val="continue"/>
                                  <w:tcBorders>
                                    <w:top w:val="nil"/>
                                  </w:tcBorders>
                                </w:tcPr>
                                <w:p>
                                  <w:pPr>
                                    <w:rPr>
                                      <w:sz w:val="2"/>
                                      <w:szCs w:val="2"/>
                                    </w:rPr>
                                  </w:pPr>
                                </w:p>
                              </w:tc>
                              <w:tc>
                                <w:tcPr>
                                  <w:tcW w:w="1976" w:type="dxa"/>
                                  <w:tcBorders>
                                    <w:top w:val="nil"/>
                                    <w:bottom w:val="nil"/>
                                  </w:tcBorders>
                                </w:tcPr>
                                <w:p>
                                  <w:pPr>
                                    <w:pStyle w:val="8"/>
                                    <w:spacing w:before="43"/>
                                    <w:ind w:left="16"/>
                                    <w:rPr>
                                      <w:sz w:val="21"/>
                                    </w:rPr>
                                  </w:pPr>
                                  <w:r>
                                    <w:rPr>
                                      <w:sz w:val="21"/>
                                    </w:rPr>
                                    <w:t>会、国家发展改革委</w:t>
                                  </w:r>
                                </w:p>
                                <w:p>
                                  <w:pPr>
                                    <w:pStyle w:val="8"/>
                                    <w:spacing w:before="91"/>
                                    <w:ind w:left="16"/>
                                    <w:rPr>
                                      <w:sz w:val="21"/>
                                    </w:rPr>
                                  </w:pPr>
                                  <w:r>
                                    <w:rPr>
                                      <w:sz w:val="21"/>
                                    </w:rPr>
                                    <w:t>教育部、工业和信息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1743" w:type="dxa"/>
                                  <w:tcBorders>
                                    <w:top w:val="nil"/>
                                    <w:bottom w:val="nil"/>
                                  </w:tcBorders>
                                </w:tcPr>
                                <w:p>
                                  <w:pPr>
                                    <w:pStyle w:val="8"/>
                                    <w:spacing w:before="40"/>
                                    <w:ind w:left="14"/>
                                    <w:rPr>
                                      <w:sz w:val="21"/>
                                    </w:rPr>
                                  </w:pPr>
                                  <w:r>
                                    <w:rPr>
                                      <w:sz w:val="21"/>
                                    </w:rPr>
                                    <w:t>回奖金、证书。</w:t>
                                  </w:r>
                                </w:p>
                              </w:tc>
                              <w:tc>
                                <w:tcPr>
                                  <w:tcW w:w="9919" w:type="dxa"/>
                                  <w:vMerge w:val="continue"/>
                                  <w:tcBorders>
                                    <w:top w:val="nil"/>
                                  </w:tcBorders>
                                </w:tcPr>
                                <w:p>
                                  <w:pPr>
                                    <w:rPr>
                                      <w:sz w:val="2"/>
                                      <w:szCs w:val="2"/>
                                    </w:rPr>
                                  </w:pPr>
                                </w:p>
                              </w:tc>
                              <w:tc>
                                <w:tcPr>
                                  <w:tcW w:w="1976" w:type="dxa"/>
                                  <w:tcBorders>
                                    <w:top w:val="nil"/>
                                    <w:bottom w:val="nil"/>
                                  </w:tcBorders>
                                </w:tcPr>
                                <w:p>
                                  <w:pPr>
                                    <w:pStyle w:val="8"/>
                                    <w:spacing w:before="40"/>
                                    <w:ind w:left="69" w:right="61"/>
                                    <w:jc w:val="center"/>
                                    <w:rPr>
                                      <w:sz w:val="21"/>
                                    </w:rPr>
                                  </w:pPr>
                                  <w:r>
                                    <w:rPr>
                                      <w:w w:val="95"/>
                                      <w:sz w:val="21"/>
                                    </w:rPr>
                                    <w:t>化部、公安部、财政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6" w:hRule="atLeast"/>
                              </w:trPr>
                              <w:tc>
                                <w:tcPr>
                                  <w:tcW w:w="1743" w:type="dxa"/>
                                  <w:tcBorders>
                                    <w:top w:val="nil"/>
                                    <w:bottom w:val="nil"/>
                                  </w:tcBorders>
                                </w:tcPr>
                                <w:p>
                                  <w:pPr>
                                    <w:pStyle w:val="8"/>
                                    <w:rPr>
                                      <w:rFonts w:ascii="Times New Roman"/>
                                      <w:sz w:val="20"/>
                                    </w:rPr>
                                  </w:pPr>
                                </w:p>
                              </w:tc>
                              <w:tc>
                                <w:tcPr>
                                  <w:tcW w:w="9919" w:type="dxa"/>
                                  <w:vMerge w:val="continue"/>
                                  <w:tcBorders>
                                    <w:top w:val="nil"/>
                                  </w:tcBorders>
                                </w:tcPr>
                                <w:p>
                                  <w:pPr>
                                    <w:rPr>
                                      <w:sz w:val="2"/>
                                      <w:szCs w:val="2"/>
                                    </w:rPr>
                                  </w:pPr>
                                </w:p>
                              </w:tc>
                              <w:tc>
                                <w:tcPr>
                                  <w:tcW w:w="1976" w:type="dxa"/>
                                  <w:tcBorders>
                                    <w:top w:val="nil"/>
                                    <w:bottom w:val="nil"/>
                                  </w:tcBorders>
                                </w:tcPr>
                                <w:p>
                                  <w:pPr>
                                    <w:pStyle w:val="8"/>
                                    <w:spacing w:before="40"/>
                                    <w:ind w:left="69" w:right="61"/>
                                    <w:jc w:val="center"/>
                                    <w:rPr>
                                      <w:sz w:val="21"/>
                                    </w:rPr>
                                  </w:pPr>
                                  <w:r>
                                    <w:rPr>
                                      <w:w w:val="95"/>
                                      <w:sz w:val="21"/>
                                    </w:rPr>
                                    <w:t>部、人力资源社会保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3" w:hRule="atLeast"/>
                              </w:trPr>
                              <w:tc>
                                <w:tcPr>
                                  <w:tcW w:w="1743" w:type="dxa"/>
                                  <w:tcBorders>
                                    <w:top w:val="nil"/>
                                    <w:bottom w:val="nil"/>
                                  </w:tcBorders>
                                </w:tcPr>
                                <w:p>
                                  <w:pPr>
                                    <w:pStyle w:val="8"/>
                                    <w:spacing w:before="43"/>
                                    <w:ind w:left="14"/>
                                    <w:rPr>
                                      <w:sz w:val="21"/>
                                    </w:rPr>
                                  </w:pPr>
                                  <w:r>
                                    <w:rPr>
                                      <w:rFonts w:ascii="Times New Roman" w:eastAsia="Times New Roman"/>
                                      <w:spacing w:val="5"/>
                                      <w:w w:val="95"/>
                                      <w:sz w:val="21"/>
                                    </w:rPr>
                                    <w:t>3.</w:t>
                                  </w:r>
                                  <w:r>
                                    <w:rPr>
                                      <w:spacing w:val="9"/>
                                      <w:w w:val="95"/>
                                      <w:sz w:val="21"/>
                                    </w:rPr>
                                    <w:t>暂停或取消国家</w:t>
                                  </w:r>
                                </w:p>
                                <w:p>
                                  <w:pPr>
                                    <w:pStyle w:val="8"/>
                                    <w:spacing w:before="91"/>
                                    <w:ind w:left="14"/>
                                    <w:rPr>
                                      <w:sz w:val="21"/>
                                    </w:rPr>
                                  </w:pPr>
                                  <w:r>
                                    <w:rPr>
                                      <w:spacing w:val="2"/>
                                      <w:w w:val="95"/>
                                      <w:sz w:val="21"/>
                                    </w:rPr>
                                    <w:t>科学技术奖提名人</w:t>
                                  </w:r>
                                </w:p>
                              </w:tc>
                              <w:tc>
                                <w:tcPr>
                                  <w:tcW w:w="9919" w:type="dxa"/>
                                  <w:vMerge w:val="continue"/>
                                  <w:tcBorders>
                                    <w:top w:val="nil"/>
                                  </w:tcBorders>
                                </w:tcPr>
                                <w:p>
                                  <w:pPr>
                                    <w:rPr>
                                      <w:sz w:val="2"/>
                                      <w:szCs w:val="2"/>
                                    </w:rPr>
                                  </w:pPr>
                                </w:p>
                              </w:tc>
                              <w:tc>
                                <w:tcPr>
                                  <w:tcW w:w="1976" w:type="dxa"/>
                                  <w:tcBorders>
                                    <w:top w:val="nil"/>
                                    <w:bottom w:val="nil"/>
                                  </w:tcBorders>
                                </w:tcPr>
                                <w:p>
                                  <w:pPr>
                                    <w:pStyle w:val="8"/>
                                    <w:spacing w:before="43"/>
                                    <w:ind w:left="16"/>
                                    <w:rPr>
                                      <w:sz w:val="21"/>
                                    </w:rPr>
                                  </w:pPr>
                                  <w:r>
                                    <w:rPr>
                                      <w:spacing w:val="5"/>
                                      <w:w w:val="95"/>
                                      <w:sz w:val="21"/>
                                    </w:rPr>
                                    <w:t>障部、农业农村部、</w:t>
                                  </w:r>
                                </w:p>
                                <w:p>
                                  <w:pPr>
                                    <w:pStyle w:val="8"/>
                                    <w:spacing w:before="91"/>
                                    <w:ind w:left="16"/>
                                    <w:rPr>
                                      <w:sz w:val="21"/>
                                    </w:rPr>
                                  </w:pPr>
                                  <w:r>
                                    <w:rPr>
                                      <w:spacing w:val="5"/>
                                      <w:w w:val="95"/>
                                      <w:sz w:val="21"/>
                                    </w:rPr>
                                    <w:t>卫生健康委、市场监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1743" w:type="dxa"/>
                                  <w:tcBorders>
                                    <w:top w:val="nil"/>
                                    <w:bottom w:val="nil"/>
                                  </w:tcBorders>
                                </w:tcPr>
                                <w:p>
                                  <w:pPr>
                                    <w:pStyle w:val="8"/>
                                    <w:spacing w:before="40"/>
                                    <w:ind w:left="14"/>
                                    <w:rPr>
                                      <w:sz w:val="21"/>
                                    </w:rPr>
                                  </w:pPr>
                                  <w:r>
                                    <w:rPr>
                                      <w:sz w:val="21"/>
                                    </w:rPr>
                                    <w:t>资格。</w:t>
                                  </w:r>
                                </w:p>
                              </w:tc>
                              <w:tc>
                                <w:tcPr>
                                  <w:tcW w:w="9919" w:type="dxa"/>
                                  <w:vMerge w:val="continue"/>
                                  <w:tcBorders>
                                    <w:top w:val="nil"/>
                                  </w:tcBorders>
                                </w:tcPr>
                                <w:p>
                                  <w:pPr>
                                    <w:rPr>
                                      <w:sz w:val="2"/>
                                      <w:szCs w:val="2"/>
                                    </w:rPr>
                                  </w:pPr>
                                </w:p>
                              </w:tc>
                              <w:tc>
                                <w:tcPr>
                                  <w:tcW w:w="1976" w:type="dxa"/>
                                  <w:tcBorders>
                                    <w:top w:val="nil"/>
                                    <w:bottom w:val="nil"/>
                                  </w:tcBorders>
                                </w:tcPr>
                                <w:p>
                                  <w:pPr>
                                    <w:pStyle w:val="8"/>
                                    <w:spacing w:before="40"/>
                                    <w:ind w:left="69" w:right="61"/>
                                    <w:jc w:val="center"/>
                                    <w:rPr>
                                      <w:sz w:val="21"/>
                                    </w:rPr>
                                  </w:pPr>
                                  <w:r>
                                    <w:rPr>
                                      <w:w w:val="95"/>
                                      <w:sz w:val="21"/>
                                    </w:rPr>
                                    <w:t>管总局、广电总局、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6" w:hRule="atLeast"/>
                              </w:trPr>
                              <w:tc>
                                <w:tcPr>
                                  <w:tcW w:w="1743" w:type="dxa"/>
                                  <w:tcBorders>
                                    <w:top w:val="nil"/>
                                    <w:bottom w:val="nil"/>
                                  </w:tcBorders>
                                </w:tcPr>
                                <w:p>
                                  <w:pPr>
                                    <w:pStyle w:val="8"/>
                                    <w:rPr>
                                      <w:rFonts w:ascii="Times New Roman"/>
                                      <w:sz w:val="20"/>
                                    </w:rPr>
                                  </w:pPr>
                                </w:p>
                              </w:tc>
                              <w:tc>
                                <w:tcPr>
                                  <w:tcW w:w="9919" w:type="dxa"/>
                                  <w:vMerge w:val="continue"/>
                                  <w:tcBorders>
                                    <w:top w:val="nil"/>
                                  </w:tcBorders>
                                </w:tcPr>
                                <w:p>
                                  <w:pPr>
                                    <w:rPr>
                                      <w:sz w:val="2"/>
                                      <w:szCs w:val="2"/>
                                    </w:rPr>
                                  </w:pPr>
                                </w:p>
                              </w:tc>
                              <w:tc>
                                <w:tcPr>
                                  <w:tcW w:w="1976" w:type="dxa"/>
                                  <w:tcBorders>
                                    <w:top w:val="nil"/>
                                    <w:bottom w:val="nil"/>
                                  </w:tcBorders>
                                </w:tcPr>
                                <w:p>
                                  <w:pPr>
                                    <w:pStyle w:val="8"/>
                                    <w:spacing w:before="40"/>
                                    <w:ind w:left="69" w:right="61"/>
                                    <w:jc w:val="center"/>
                                    <w:rPr>
                                      <w:sz w:val="21"/>
                                    </w:rPr>
                                  </w:pPr>
                                  <w:r>
                                    <w:rPr>
                                      <w:w w:val="95"/>
                                      <w:sz w:val="21"/>
                                    </w:rPr>
                                    <w:t>中科院、社科院、工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3" w:hRule="atLeast"/>
                              </w:trPr>
                              <w:tc>
                                <w:tcPr>
                                  <w:tcW w:w="1743" w:type="dxa"/>
                                  <w:tcBorders>
                                    <w:top w:val="nil"/>
                                    <w:bottom w:val="nil"/>
                                  </w:tcBorders>
                                </w:tcPr>
                                <w:p>
                                  <w:pPr>
                                    <w:pStyle w:val="8"/>
                                    <w:spacing w:before="43"/>
                                    <w:ind w:left="14"/>
                                    <w:rPr>
                                      <w:sz w:val="21"/>
                                    </w:rPr>
                                  </w:pPr>
                                  <w:r>
                                    <w:rPr>
                                      <w:rFonts w:ascii="Times New Roman" w:eastAsia="Times New Roman"/>
                                      <w:spacing w:val="5"/>
                                      <w:w w:val="95"/>
                                      <w:sz w:val="21"/>
                                    </w:rPr>
                                    <w:t>4.</w:t>
                                  </w:r>
                                  <w:r>
                                    <w:rPr>
                                      <w:spacing w:val="9"/>
                                      <w:w w:val="95"/>
                                      <w:sz w:val="21"/>
                                    </w:rPr>
                                    <w:t>一定期限内或终</w:t>
                                  </w:r>
                                </w:p>
                                <w:p>
                                  <w:pPr>
                                    <w:pStyle w:val="8"/>
                                    <w:spacing w:before="91"/>
                                    <w:ind w:left="14"/>
                                    <w:rPr>
                                      <w:sz w:val="21"/>
                                    </w:rPr>
                                  </w:pPr>
                                  <w:r>
                                    <w:rPr>
                                      <w:spacing w:val="2"/>
                                      <w:w w:val="95"/>
                                      <w:sz w:val="21"/>
                                    </w:rPr>
                                    <w:t>身取消国家科学技</w:t>
                                  </w:r>
                                </w:p>
                              </w:tc>
                              <w:tc>
                                <w:tcPr>
                                  <w:tcW w:w="9919" w:type="dxa"/>
                                  <w:vMerge w:val="continue"/>
                                  <w:tcBorders>
                                    <w:top w:val="nil"/>
                                  </w:tcBorders>
                                </w:tcPr>
                                <w:p>
                                  <w:pPr>
                                    <w:rPr>
                                      <w:sz w:val="2"/>
                                      <w:szCs w:val="2"/>
                                    </w:rPr>
                                  </w:pPr>
                                </w:p>
                              </w:tc>
                              <w:tc>
                                <w:tcPr>
                                  <w:tcW w:w="1976" w:type="dxa"/>
                                  <w:tcBorders>
                                    <w:top w:val="nil"/>
                                    <w:bottom w:val="nil"/>
                                  </w:tcBorders>
                                </w:tcPr>
                                <w:p>
                                  <w:pPr>
                                    <w:pStyle w:val="8"/>
                                    <w:spacing w:before="43"/>
                                    <w:ind w:left="16"/>
                                    <w:rPr>
                                      <w:sz w:val="21"/>
                                    </w:rPr>
                                  </w:pPr>
                                  <w:r>
                                    <w:rPr>
                                      <w:sz w:val="21"/>
                                    </w:rPr>
                                    <w:t>程院、自然科学基金</w:t>
                                  </w:r>
                                </w:p>
                                <w:p>
                                  <w:pPr>
                                    <w:pStyle w:val="8"/>
                                    <w:spacing w:before="91"/>
                                    <w:ind w:left="16"/>
                                    <w:rPr>
                                      <w:sz w:val="21"/>
                                    </w:rPr>
                                  </w:pPr>
                                  <w:r>
                                    <w:rPr>
                                      <w:sz w:val="21"/>
                                    </w:rPr>
                                    <w:t>会、中国科协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7" w:hRule="atLeast"/>
                              </w:trPr>
                              <w:tc>
                                <w:tcPr>
                                  <w:tcW w:w="1743" w:type="dxa"/>
                                  <w:tcBorders>
                                    <w:top w:val="nil"/>
                                  </w:tcBorders>
                                </w:tcPr>
                                <w:p>
                                  <w:pPr>
                                    <w:pStyle w:val="8"/>
                                    <w:spacing w:before="40"/>
                                    <w:ind w:left="14"/>
                                    <w:rPr>
                                      <w:sz w:val="21"/>
                                    </w:rPr>
                                  </w:pPr>
                                  <w:r>
                                    <w:rPr>
                                      <w:sz w:val="21"/>
                                    </w:rPr>
                                    <w:t>术奖被提名资格。</w:t>
                                  </w:r>
                                </w:p>
                              </w:tc>
                              <w:tc>
                                <w:tcPr>
                                  <w:tcW w:w="9919" w:type="dxa"/>
                                  <w:vMerge w:val="continue"/>
                                  <w:tcBorders>
                                    <w:top w:val="nil"/>
                                  </w:tcBorders>
                                </w:tcPr>
                                <w:p>
                                  <w:pPr>
                                    <w:rPr>
                                      <w:sz w:val="2"/>
                                      <w:szCs w:val="2"/>
                                    </w:rPr>
                                  </w:pPr>
                                </w:p>
                              </w:tc>
                              <w:tc>
                                <w:tcPr>
                                  <w:tcW w:w="1976" w:type="dxa"/>
                                  <w:tcBorders>
                                    <w:top w:val="nil"/>
                                  </w:tcBorders>
                                </w:tcPr>
                                <w:p>
                                  <w:pPr>
                                    <w:pStyle w:val="8"/>
                                    <w:rPr>
                                      <w:rFonts w:ascii="Times New Roman"/>
                                      <w:sz w:val="20"/>
                                    </w:rPr>
                                  </w:pPr>
                                </w:p>
                              </w:tc>
                            </w:tr>
                          </w:tbl>
                          <w:p>
                            <w:pPr>
                              <w:pStyle w:val="3"/>
                            </w:pPr>
                          </w:p>
                        </w:txbxContent>
                      </wps:txbx>
                      <wps:bodyPr lIns="0" tIns="0" rIns="0" bIns="0" upright="1"/>
                    </wps:wsp>
                  </a:graphicData>
                </a:graphic>
              </wp:anchor>
            </w:drawing>
          </mc:Choice>
          <mc:Fallback>
            <w:pict>
              <v:shape id="文本框 2" o:spid="_x0000_s1026" o:spt="202" type="#_x0000_t202" style="position:absolute;left:0pt;margin-left:101.85pt;margin-top:-140.85pt;height:341.6pt;width:682.6pt;mso-position-horizontal-relative:page;z-index:251658240;mso-width-relative:page;mso-height-relative:page;" filled="f" stroked="f" coordsize="21600,21600" o:gfxdata="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AwhD2bcAAAADQEAAA8AAAAA&#10;AAAAAQAgAAAAIgAAAGRycy9kb3ducmV2LnhtbFBLAQIUABQAAAAIAIdO4kBCX03JngEAACUDAAAO&#10;AAAAAAAAAAEAIAAAACsBAABkcnMvZTJvRG9jLnhtbFBLBQYAAAAABgAGAFkBAAA7BQAAAAA=&#10;">
                <v:fill on="f" focussize="0,0"/>
                <v:stroke on="f"/>
                <v:imagedata o:title=""/>
                <o:lock v:ext="edit" aspectratio="f"/>
                <v:textbox inset="0mm,0mm,0mm,0mm">
                  <w:txbxContent>
                    <w:tbl>
                      <w:tblPr>
                        <w:tblStyle w:val="4"/>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43"/>
                        <w:gridCol w:w="9919"/>
                        <w:gridCol w:w="19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1" w:hRule="atLeast"/>
                        </w:trPr>
                        <w:tc>
                          <w:tcPr>
                            <w:tcW w:w="1743" w:type="dxa"/>
                          </w:tcPr>
                          <w:p>
                            <w:pPr>
                              <w:pStyle w:val="8"/>
                              <w:spacing w:before="63" w:line="438" w:lineRule="exact"/>
                              <w:ind w:left="271"/>
                              <w:rPr>
                                <w:rFonts w:hint="eastAsia" w:ascii="Arial Unicode MS" w:eastAsia="Arial Unicode MS"/>
                                <w:sz w:val="30"/>
                              </w:rPr>
                            </w:pPr>
                            <w:r>
                              <w:rPr>
                                <w:rFonts w:hint="eastAsia" w:ascii="Arial Unicode MS" w:eastAsia="Arial Unicode MS"/>
                                <w:sz w:val="30"/>
                              </w:rPr>
                              <w:t>惩戒措施</w:t>
                            </w:r>
                          </w:p>
                        </w:tc>
                        <w:tc>
                          <w:tcPr>
                            <w:tcW w:w="9919" w:type="dxa"/>
                          </w:tcPr>
                          <w:p>
                            <w:pPr>
                              <w:pStyle w:val="8"/>
                              <w:spacing w:line="502" w:lineRule="exact"/>
                              <w:ind w:left="3886" w:right="3882"/>
                              <w:jc w:val="center"/>
                              <w:rPr>
                                <w:rFonts w:hint="eastAsia" w:ascii="Arial Unicode MS" w:eastAsia="Arial Unicode MS"/>
                                <w:sz w:val="30"/>
                              </w:rPr>
                            </w:pPr>
                            <w:r>
                              <w:rPr>
                                <w:rFonts w:hint="eastAsia" w:ascii="Arial Unicode MS" w:eastAsia="Arial Unicode MS"/>
                                <w:sz w:val="30"/>
                              </w:rPr>
                              <w:t>法律及政策依据</w:t>
                            </w:r>
                          </w:p>
                        </w:tc>
                        <w:tc>
                          <w:tcPr>
                            <w:tcW w:w="1976" w:type="dxa"/>
                          </w:tcPr>
                          <w:p>
                            <w:pPr>
                              <w:pStyle w:val="8"/>
                              <w:spacing w:line="502" w:lineRule="exact"/>
                              <w:ind w:left="62" w:right="61"/>
                              <w:jc w:val="center"/>
                              <w:rPr>
                                <w:rFonts w:hint="eastAsia" w:ascii="Arial Unicode MS" w:eastAsia="Arial Unicode MS"/>
                                <w:sz w:val="30"/>
                              </w:rPr>
                            </w:pPr>
                            <w:r>
                              <w:rPr>
                                <w:rFonts w:hint="eastAsia" w:ascii="Arial Unicode MS" w:eastAsia="Arial Unicode MS"/>
                                <w:sz w:val="30"/>
                              </w:rPr>
                              <w:t>实施部门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trPr>
                        <w:tc>
                          <w:tcPr>
                            <w:tcW w:w="13638" w:type="dxa"/>
                            <w:gridSpan w:val="3"/>
                          </w:tcPr>
                          <w:p>
                            <w:pPr>
                              <w:pStyle w:val="8"/>
                              <w:spacing w:line="462" w:lineRule="exact"/>
                              <w:ind w:left="3438" w:right="3429"/>
                              <w:jc w:val="center"/>
                              <w:rPr>
                                <w:rFonts w:hint="eastAsia" w:ascii="Arial Unicode MS" w:eastAsia="Arial Unicode MS"/>
                                <w:sz w:val="28"/>
                              </w:rPr>
                            </w:pPr>
                            <w:r>
                              <w:rPr>
                                <w:rFonts w:hint="eastAsia" w:ascii="Arial Unicode MS" w:eastAsia="Arial Unicode MS"/>
                                <w:color w:val="333333"/>
                                <w:sz w:val="28"/>
                              </w:rPr>
                              <w:t>（一）科研诚信建设联席会议成员单位采取的惩戒措施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atLeast"/>
                        </w:trPr>
                        <w:tc>
                          <w:tcPr>
                            <w:tcW w:w="1743" w:type="dxa"/>
                            <w:tcBorders>
                              <w:bottom w:val="nil"/>
                            </w:tcBorders>
                          </w:tcPr>
                          <w:p>
                            <w:pPr>
                              <w:pStyle w:val="8"/>
                              <w:spacing w:before="60"/>
                              <w:ind w:left="14"/>
                              <w:rPr>
                                <w:sz w:val="21"/>
                              </w:rPr>
                            </w:pPr>
                            <w:r>
                              <w:rPr>
                                <w:rFonts w:ascii="Times New Roman" w:eastAsia="Times New Roman"/>
                                <w:spacing w:val="-36"/>
                                <w:w w:val="95"/>
                                <w:sz w:val="21"/>
                              </w:rPr>
                              <w:t>1</w:t>
                            </w:r>
                            <w:r>
                              <w:rPr>
                                <w:spacing w:val="-6"/>
                                <w:w w:val="95"/>
                                <w:sz w:val="21"/>
                              </w:rPr>
                              <w:t>．限制或取消一定</w:t>
                            </w:r>
                          </w:p>
                          <w:p>
                            <w:pPr>
                              <w:pStyle w:val="8"/>
                              <w:spacing w:before="91"/>
                              <w:ind w:left="14"/>
                              <w:rPr>
                                <w:sz w:val="21"/>
                              </w:rPr>
                            </w:pPr>
                            <w:r>
                              <w:rPr>
                                <w:spacing w:val="2"/>
                                <w:w w:val="95"/>
                                <w:sz w:val="21"/>
                              </w:rPr>
                              <w:t>期限申报或承担国</w:t>
                            </w:r>
                          </w:p>
                        </w:tc>
                        <w:tc>
                          <w:tcPr>
                            <w:tcW w:w="9919" w:type="dxa"/>
                            <w:vMerge w:val="restart"/>
                          </w:tcPr>
                          <w:p>
                            <w:pPr>
                              <w:pStyle w:val="8"/>
                              <w:spacing w:before="60"/>
                              <w:ind w:left="13"/>
                              <w:rPr>
                                <w:b/>
                                <w:sz w:val="21"/>
                              </w:rPr>
                            </w:pPr>
                            <w:r>
                              <w:rPr>
                                <w:b/>
                                <w:sz w:val="21"/>
                              </w:rPr>
                              <w:t>《中华人民共和国科学技术进步法》</w:t>
                            </w:r>
                          </w:p>
                          <w:p>
                            <w:pPr>
                              <w:pStyle w:val="8"/>
                              <w:spacing w:before="91" w:line="321" w:lineRule="auto"/>
                              <w:ind w:left="13" w:firstLine="420"/>
                              <w:jc w:val="both"/>
                              <w:rPr>
                                <w:sz w:val="21"/>
                              </w:rPr>
                            </w:pPr>
                            <w:r>
                              <w:rPr>
                                <w:spacing w:val="-10"/>
                                <w:sz w:val="21"/>
                              </w:rPr>
                              <w:t>第六十七条 违反本法规定，虚报、冒领、贪污、挪用、截留用于科学技术进步的财政性资金，依照有关财政违法行为处罚处分的规定责令改正，追回有关财政性资金和违法所得，依法给予行政处罚；对直接负责的主管人员和其他直接责任人员依法给予处分。</w:t>
                            </w:r>
                          </w:p>
                          <w:p>
                            <w:pPr>
                              <w:pStyle w:val="8"/>
                              <w:spacing w:line="321" w:lineRule="auto"/>
                              <w:ind w:left="13" w:firstLine="420"/>
                              <w:jc w:val="both"/>
                              <w:rPr>
                                <w:sz w:val="21"/>
                              </w:rPr>
                            </w:pPr>
                            <w:r>
                              <w:rPr>
                                <w:spacing w:val="-9"/>
                                <w:sz w:val="21"/>
                              </w:rPr>
                              <w:t>第七十条 违反本法规定，抄袭、剽窃他人科学技术成果，或者在科学技术活动中弄虚作假的，由科学技术人员所在单位或者单位主管机关责令改正，对直接负责的主管人员和其他直接责任人员依法给予处分；获得用于科学技术进步的财政性资金或者有违法所得的，由有关主管部门追回财政性资金和违法所得；情节严重的，由所在单位或者单位主管机关向社会公布其违法行为，禁止其在一定期限内申请国家科学技术基金项目和国家科学技术计划项目。</w:t>
                            </w:r>
                          </w:p>
                          <w:p>
                            <w:pPr>
                              <w:pStyle w:val="8"/>
                              <w:spacing w:line="321" w:lineRule="auto"/>
                              <w:ind w:left="13" w:firstLine="420"/>
                              <w:jc w:val="both"/>
                              <w:rPr>
                                <w:sz w:val="21"/>
                              </w:rPr>
                            </w:pPr>
                            <w:r>
                              <w:rPr>
                                <w:spacing w:val="-9"/>
                                <w:sz w:val="21"/>
                              </w:rPr>
                              <w:t>第七十一条 违反本法规定，骗取国家科学技术奖励的，由主管部门依法撤销奖励，追回奖金，并依法给予处分。</w:t>
                            </w:r>
                          </w:p>
                          <w:p>
                            <w:pPr>
                              <w:pStyle w:val="8"/>
                              <w:spacing w:line="321" w:lineRule="auto"/>
                              <w:ind w:left="13" w:right="2" w:firstLine="420"/>
                              <w:rPr>
                                <w:sz w:val="21"/>
                              </w:rPr>
                            </w:pPr>
                            <w:r>
                              <w:rPr>
                                <w:sz w:val="21"/>
                              </w:rPr>
                              <w:t>违反本法规定，推荐的单位或者个人提供虚假数据、材料，协助他人骗取国家科学技术奖励的，由主管部门给予通报批评；情节严重的，暂停或者取消其推荐资格，并依法给予处分。</w:t>
                            </w:r>
                          </w:p>
                          <w:p>
                            <w:pPr>
                              <w:pStyle w:val="8"/>
                              <w:spacing w:line="268" w:lineRule="exact"/>
                              <w:ind w:left="13"/>
                              <w:rPr>
                                <w:b/>
                                <w:sz w:val="21"/>
                              </w:rPr>
                            </w:pPr>
                            <w:r>
                              <w:rPr>
                                <w:b/>
                                <w:sz w:val="21"/>
                              </w:rPr>
                              <w:t>《国务院办公厅关于优化学术环境的指导意见》</w:t>
                            </w:r>
                          </w:p>
                          <w:p>
                            <w:pPr>
                              <w:pStyle w:val="8"/>
                              <w:spacing w:line="360" w:lineRule="atLeast"/>
                              <w:ind w:left="13" w:right="2" w:firstLine="420"/>
                              <w:rPr>
                                <w:sz w:val="21"/>
                              </w:rPr>
                            </w:pPr>
                            <w:r>
                              <w:rPr>
                                <w:sz w:val="21"/>
                              </w:rPr>
                              <w:t>（七）优化学术诚信环境，树立良好学风。坚持道德自律和制度规范并举，建设集教育、防范、监督、惩治于一体的学术诚信体系。完善科研机构学术道德和学风监督机制，实行严格的科研信用制度，建立学术</w:t>
                            </w:r>
                          </w:p>
                        </w:tc>
                        <w:tc>
                          <w:tcPr>
                            <w:tcW w:w="1976" w:type="dxa"/>
                            <w:tcBorders>
                              <w:bottom w:val="nil"/>
                            </w:tcBorders>
                          </w:tcPr>
                          <w:p>
                            <w:pPr>
                              <w:pStyle w:val="8"/>
                              <w:rPr>
                                <w:sz w:val="20"/>
                              </w:rPr>
                            </w:pPr>
                          </w:p>
                          <w:p>
                            <w:pPr>
                              <w:pStyle w:val="8"/>
                              <w:spacing w:before="164"/>
                              <w:ind w:left="69" w:right="61"/>
                              <w:jc w:val="center"/>
                              <w:rPr>
                                <w:sz w:val="21"/>
                              </w:rPr>
                            </w:pPr>
                            <w:r>
                              <w:rPr>
                                <w:w w:val="95"/>
                                <w:sz w:val="21"/>
                              </w:rPr>
                              <w:t>科技部、最高法院、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1743" w:type="dxa"/>
                            <w:tcBorders>
                              <w:top w:val="nil"/>
                              <w:bottom w:val="nil"/>
                            </w:tcBorders>
                          </w:tcPr>
                          <w:p>
                            <w:pPr>
                              <w:pStyle w:val="8"/>
                              <w:spacing w:before="40"/>
                              <w:ind w:left="14" w:right="-29"/>
                              <w:rPr>
                                <w:sz w:val="21"/>
                              </w:rPr>
                            </w:pPr>
                            <w:r>
                              <w:rPr>
                                <w:spacing w:val="-14"/>
                                <w:sz w:val="21"/>
                              </w:rPr>
                              <w:t>家科技计划</w:t>
                            </w:r>
                            <w:r>
                              <w:rPr>
                                <w:sz w:val="21"/>
                              </w:rPr>
                              <w:t>（</w:t>
                            </w:r>
                            <w:r>
                              <w:rPr>
                                <w:spacing w:val="-29"/>
                                <w:sz w:val="21"/>
                              </w:rPr>
                              <w:t>专项、</w:t>
                            </w:r>
                          </w:p>
                        </w:tc>
                        <w:tc>
                          <w:tcPr>
                            <w:tcW w:w="9919" w:type="dxa"/>
                            <w:vMerge w:val="continue"/>
                            <w:tcBorders>
                              <w:top w:val="nil"/>
                            </w:tcBorders>
                          </w:tcPr>
                          <w:p>
                            <w:pPr>
                              <w:rPr>
                                <w:sz w:val="2"/>
                                <w:szCs w:val="2"/>
                              </w:rPr>
                            </w:pPr>
                          </w:p>
                        </w:tc>
                        <w:tc>
                          <w:tcPr>
                            <w:tcW w:w="1976" w:type="dxa"/>
                            <w:tcBorders>
                              <w:top w:val="nil"/>
                              <w:bottom w:val="nil"/>
                            </w:tcBorders>
                          </w:tcPr>
                          <w:p>
                            <w:pPr>
                              <w:pStyle w:val="8"/>
                              <w:spacing w:before="40"/>
                              <w:ind w:left="69" w:right="61"/>
                              <w:jc w:val="center"/>
                              <w:rPr>
                                <w:sz w:val="21"/>
                              </w:rPr>
                            </w:pPr>
                            <w:r>
                              <w:rPr>
                                <w:w w:val="95"/>
                                <w:sz w:val="21"/>
                              </w:rPr>
                              <w:t>最高检察院、中央军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1743" w:type="dxa"/>
                            <w:tcBorders>
                              <w:top w:val="nil"/>
                              <w:bottom w:val="nil"/>
                            </w:tcBorders>
                          </w:tcPr>
                          <w:p>
                            <w:pPr>
                              <w:pStyle w:val="8"/>
                              <w:spacing w:before="40"/>
                              <w:ind w:left="14"/>
                              <w:rPr>
                                <w:sz w:val="21"/>
                              </w:rPr>
                            </w:pPr>
                            <w:r>
                              <w:rPr>
                                <w:sz w:val="21"/>
                              </w:rPr>
                              <w:t>基金等）的资格。</w:t>
                            </w:r>
                          </w:p>
                        </w:tc>
                        <w:tc>
                          <w:tcPr>
                            <w:tcW w:w="9919" w:type="dxa"/>
                            <w:vMerge w:val="continue"/>
                            <w:tcBorders>
                              <w:top w:val="nil"/>
                            </w:tcBorders>
                          </w:tcPr>
                          <w:p>
                            <w:pPr>
                              <w:rPr>
                                <w:sz w:val="2"/>
                                <w:szCs w:val="2"/>
                              </w:rPr>
                            </w:pPr>
                          </w:p>
                        </w:tc>
                        <w:tc>
                          <w:tcPr>
                            <w:tcW w:w="1976" w:type="dxa"/>
                            <w:tcBorders>
                              <w:top w:val="nil"/>
                              <w:bottom w:val="nil"/>
                            </w:tcBorders>
                          </w:tcPr>
                          <w:p>
                            <w:pPr>
                              <w:pStyle w:val="8"/>
                              <w:spacing w:before="40"/>
                              <w:ind w:left="69" w:right="61"/>
                              <w:jc w:val="center"/>
                              <w:rPr>
                                <w:sz w:val="21"/>
                              </w:rPr>
                            </w:pPr>
                            <w:r>
                              <w:rPr>
                                <w:w w:val="95"/>
                                <w:sz w:val="21"/>
                              </w:rPr>
                              <w:t>委装备发展部、中央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6" w:hRule="atLeast"/>
                        </w:trPr>
                        <w:tc>
                          <w:tcPr>
                            <w:tcW w:w="1743" w:type="dxa"/>
                            <w:tcBorders>
                              <w:top w:val="nil"/>
                              <w:bottom w:val="nil"/>
                            </w:tcBorders>
                          </w:tcPr>
                          <w:p>
                            <w:pPr>
                              <w:pStyle w:val="8"/>
                              <w:rPr>
                                <w:rFonts w:ascii="Times New Roman"/>
                                <w:sz w:val="20"/>
                              </w:rPr>
                            </w:pPr>
                          </w:p>
                        </w:tc>
                        <w:tc>
                          <w:tcPr>
                            <w:tcW w:w="9919" w:type="dxa"/>
                            <w:vMerge w:val="continue"/>
                            <w:tcBorders>
                              <w:top w:val="nil"/>
                            </w:tcBorders>
                          </w:tcPr>
                          <w:p>
                            <w:pPr>
                              <w:rPr>
                                <w:sz w:val="2"/>
                                <w:szCs w:val="2"/>
                              </w:rPr>
                            </w:pPr>
                          </w:p>
                        </w:tc>
                        <w:tc>
                          <w:tcPr>
                            <w:tcW w:w="1976" w:type="dxa"/>
                            <w:tcBorders>
                              <w:top w:val="nil"/>
                              <w:bottom w:val="nil"/>
                            </w:tcBorders>
                          </w:tcPr>
                          <w:p>
                            <w:pPr>
                              <w:pStyle w:val="8"/>
                              <w:spacing w:before="40"/>
                              <w:ind w:left="69" w:right="61"/>
                              <w:jc w:val="center"/>
                              <w:rPr>
                                <w:sz w:val="21"/>
                              </w:rPr>
                            </w:pPr>
                            <w:r>
                              <w:rPr>
                                <w:w w:val="95"/>
                                <w:sz w:val="21"/>
                              </w:rPr>
                              <w:t>军委科学技术委员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3" w:hRule="atLeast"/>
                        </w:trPr>
                        <w:tc>
                          <w:tcPr>
                            <w:tcW w:w="1743" w:type="dxa"/>
                            <w:tcBorders>
                              <w:top w:val="nil"/>
                              <w:bottom w:val="nil"/>
                            </w:tcBorders>
                          </w:tcPr>
                          <w:p>
                            <w:pPr>
                              <w:pStyle w:val="8"/>
                              <w:spacing w:before="43"/>
                              <w:ind w:left="14"/>
                              <w:rPr>
                                <w:sz w:val="21"/>
                              </w:rPr>
                            </w:pPr>
                            <w:r>
                              <w:rPr>
                                <w:rFonts w:ascii="Times New Roman" w:eastAsia="Times New Roman"/>
                                <w:spacing w:val="5"/>
                                <w:w w:val="95"/>
                                <w:sz w:val="21"/>
                              </w:rPr>
                              <w:t>2.</w:t>
                            </w:r>
                            <w:r>
                              <w:rPr>
                                <w:spacing w:val="9"/>
                                <w:w w:val="95"/>
                                <w:sz w:val="21"/>
                              </w:rPr>
                              <w:t>依法撤销国家科</w:t>
                            </w:r>
                          </w:p>
                          <w:p>
                            <w:pPr>
                              <w:pStyle w:val="8"/>
                              <w:spacing w:before="91"/>
                              <w:ind w:left="14"/>
                              <w:rPr>
                                <w:sz w:val="21"/>
                              </w:rPr>
                            </w:pPr>
                            <w:r>
                              <w:rPr>
                                <w:spacing w:val="2"/>
                                <w:w w:val="95"/>
                                <w:sz w:val="21"/>
                              </w:rPr>
                              <w:t>学技术奖奖励，追</w:t>
                            </w:r>
                          </w:p>
                        </w:tc>
                        <w:tc>
                          <w:tcPr>
                            <w:tcW w:w="9919" w:type="dxa"/>
                            <w:vMerge w:val="continue"/>
                            <w:tcBorders>
                              <w:top w:val="nil"/>
                            </w:tcBorders>
                          </w:tcPr>
                          <w:p>
                            <w:pPr>
                              <w:rPr>
                                <w:sz w:val="2"/>
                                <w:szCs w:val="2"/>
                              </w:rPr>
                            </w:pPr>
                          </w:p>
                        </w:tc>
                        <w:tc>
                          <w:tcPr>
                            <w:tcW w:w="1976" w:type="dxa"/>
                            <w:tcBorders>
                              <w:top w:val="nil"/>
                              <w:bottom w:val="nil"/>
                            </w:tcBorders>
                          </w:tcPr>
                          <w:p>
                            <w:pPr>
                              <w:pStyle w:val="8"/>
                              <w:spacing w:before="43"/>
                              <w:ind w:left="16"/>
                              <w:rPr>
                                <w:sz w:val="21"/>
                              </w:rPr>
                            </w:pPr>
                            <w:r>
                              <w:rPr>
                                <w:sz w:val="21"/>
                              </w:rPr>
                              <w:t>会、国家发展改革委</w:t>
                            </w:r>
                          </w:p>
                          <w:p>
                            <w:pPr>
                              <w:pStyle w:val="8"/>
                              <w:spacing w:before="91"/>
                              <w:ind w:left="16"/>
                              <w:rPr>
                                <w:sz w:val="21"/>
                              </w:rPr>
                            </w:pPr>
                            <w:r>
                              <w:rPr>
                                <w:sz w:val="21"/>
                              </w:rPr>
                              <w:t>教育部、工业和信息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1743" w:type="dxa"/>
                            <w:tcBorders>
                              <w:top w:val="nil"/>
                              <w:bottom w:val="nil"/>
                            </w:tcBorders>
                          </w:tcPr>
                          <w:p>
                            <w:pPr>
                              <w:pStyle w:val="8"/>
                              <w:spacing w:before="40"/>
                              <w:ind w:left="14"/>
                              <w:rPr>
                                <w:sz w:val="21"/>
                              </w:rPr>
                            </w:pPr>
                            <w:r>
                              <w:rPr>
                                <w:sz w:val="21"/>
                              </w:rPr>
                              <w:t>回奖金、证书。</w:t>
                            </w:r>
                          </w:p>
                        </w:tc>
                        <w:tc>
                          <w:tcPr>
                            <w:tcW w:w="9919" w:type="dxa"/>
                            <w:vMerge w:val="continue"/>
                            <w:tcBorders>
                              <w:top w:val="nil"/>
                            </w:tcBorders>
                          </w:tcPr>
                          <w:p>
                            <w:pPr>
                              <w:rPr>
                                <w:sz w:val="2"/>
                                <w:szCs w:val="2"/>
                              </w:rPr>
                            </w:pPr>
                          </w:p>
                        </w:tc>
                        <w:tc>
                          <w:tcPr>
                            <w:tcW w:w="1976" w:type="dxa"/>
                            <w:tcBorders>
                              <w:top w:val="nil"/>
                              <w:bottom w:val="nil"/>
                            </w:tcBorders>
                          </w:tcPr>
                          <w:p>
                            <w:pPr>
                              <w:pStyle w:val="8"/>
                              <w:spacing w:before="40"/>
                              <w:ind w:left="69" w:right="61"/>
                              <w:jc w:val="center"/>
                              <w:rPr>
                                <w:sz w:val="21"/>
                              </w:rPr>
                            </w:pPr>
                            <w:r>
                              <w:rPr>
                                <w:w w:val="95"/>
                                <w:sz w:val="21"/>
                              </w:rPr>
                              <w:t>化部、公安部、财政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6" w:hRule="atLeast"/>
                        </w:trPr>
                        <w:tc>
                          <w:tcPr>
                            <w:tcW w:w="1743" w:type="dxa"/>
                            <w:tcBorders>
                              <w:top w:val="nil"/>
                              <w:bottom w:val="nil"/>
                            </w:tcBorders>
                          </w:tcPr>
                          <w:p>
                            <w:pPr>
                              <w:pStyle w:val="8"/>
                              <w:rPr>
                                <w:rFonts w:ascii="Times New Roman"/>
                                <w:sz w:val="20"/>
                              </w:rPr>
                            </w:pPr>
                          </w:p>
                        </w:tc>
                        <w:tc>
                          <w:tcPr>
                            <w:tcW w:w="9919" w:type="dxa"/>
                            <w:vMerge w:val="continue"/>
                            <w:tcBorders>
                              <w:top w:val="nil"/>
                            </w:tcBorders>
                          </w:tcPr>
                          <w:p>
                            <w:pPr>
                              <w:rPr>
                                <w:sz w:val="2"/>
                                <w:szCs w:val="2"/>
                              </w:rPr>
                            </w:pPr>
                          </w:p>
                        </w:tc>
                        <w:tc>
                          <w:tcPr>
                            <w:tcW w:w="1976" w:type="dxa"/>
                            <w:tcBorders>
                              <w:top w:val="nil"/>
                              <w:bottom w:val="nil"/>
                            </w:tcBorders>
                          </w:tcPr>
                          <w:p>
                            <w:pPr>
                              <w:pStyle w:val="8"/>
                              <w:spacing w:before="40"/>
                              <w:ind w:left="69" w:right="61"/>
                              <w:jc w:val="center"/>
                              <w:rPr>
                                <w:sz w:val="21"/>
                              </w:rPr>
                            </w:pPr>
                            <w:r>
                              <w:rPr>
                                <w:w w:val="95"/>
                                <w:sz w:val="21"/>
                              </w:rPr>
                              <w:t>部、人力资源社会保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3" w:hRule="atLeast"/>
                        </w:trPr>
                        <w:tc>
                          <w:tcPr>
                            <w:tcW w:w="1743" w:type="dxa"/>
                            <w:tcBorders>
                              <w:top w:val="nil"/>
                              <w:bottom w:val="nil"/>
                            </w:tcBorders>
                          </w:tcPr>
                          <w:p>
                            <w:pPr>
                              <w:pStyle w:val="8"/>
                              <w:spacing w:before="43"/>
                              <w:ind w:left="14"/>
                              <w:rPr>
                                <w:sz w:val="21"/>
                              </w:rPr>
                            </w:pPr>
                            <w:r>
                              <w:rPr>
                                <w:rFonts w:ascii="Times New Roman" w:eastAsia="Times New Roman"/>
                                <w:spacing w:val="5"/>
                                <w:w w:val="95"/>
                                <w:sz w:val="21"/>
                              </w:rPr>
                              <w:t>3.</w:t>
                            </w:r>
                            <w:r>
                              <w:rPr>
                                <w:spacing w:val="9"/>
                                <w:w w:val="95"/>
                                <w:sz w:val="21"/>
                              </w:rPr>
                              <w:t>暂停或取消国家</w:t>
                            </w:r>
                          </w:p>
                          <w:p>
                            <w:pPr>
                              <w:pStyle w:val="8"/>
                              <w:spacing w:before="91"/>
                              <w:ind w:left="14"/>
                              <w:rPr>
                                <w:sz w:val="21"/>
                              </w:rPr>
                            </w:pPr>
                            <w:r>
                              <w:rPr>
                                <w:spacing w:val="2"/>
                                <w:w w:val="95"/>
                                <w:sz w:val="21"/>
                              </w:rPr>
                              <w:t>科学技术奖提名人</w:t>
                            </w:r>
                          </w:p>
                        </w:tc>
                        <w:tc>
                          <w:tcPr>
                            <w:tcW w:w="9919" w:type="dxa"/>
                            <w:vMerge w:val="continue"/>
                            <w:tcBorders>
                              <w:top w:val="nil"/>
                            </w:tcBorders>
                          </w:tcPr>
                          <w:p>
                            <w:pPr>
                              <w:rPr>
                                <w:sz w:val="2"/>
                                <w:szCs w:val="2"/>
                              </w:rPr>
                            </w:pPr>
                          </w:p>
                        </w:tc>
                        <w:tc>
                          <w:tcPr>
                            <w:tcW w:w="1976" w:type="dxa"/>
                            <w:tcBorders>
                              <w:top w:val="nil"/>
                              <w:bottom w:val="nil"/>
                            </w:tcBorders>
                          </w:tcPr>
                          <w:p>
                            <w:pPr>
                              <w:pStyle w:val="8"/>
                              <w:spacing w:before="43"/>
                              <w:ind w:left="16"/>
                              <w:rPr>
                                <w:sz w:val="21"/>
                              </w:rPr>
                            </w:pPr>
                            <w:r>
                              <w:rPr>
                                <w:spacing w:val="5"/>
                                <w:w w:val="95"/>
                                <w:sz w:val="21"/>
                              </w:rPr>
                              <w:t>障部、农业农村部、</w:t>
                            </w:r>
                          </w:p>
                          <w:p>
                            <w:pPr>
                              <w:pStyle w:val="8"/>
                              <w:spacing w:before="91"/>
                              <w:ind w:left="16"/>
                              <w:rPr>
                                <w:sz w:val="21"/>
                              </w:rPr>
                            </w:pPr>
                            <w:r>
                              <w:rPr>
                                <w:spacing w:val="5"/>
                                <w:w w:val="95"/>
                                <w:sz w:val="21"/>
                              </w:rPr>
                              <w:t>卫生健康委、市场监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1743" w:type="dxa"/>
                            <w:tcBorders>
                              <w:top w:val="nil"/>
                              <w:bottom w:val="nil"/>
                            </w:tcBorders>
                          </w:tcPr>
                          <w:p>
                            <w:pPr>
                              <w:pStyle w:val="8"/>
                              <w:spacing w:before="40"/>
                              <w:ind w:left="14"/>
                              <w:rPr>
                                <w:sz w:val="21"/>
                              </w:rPr>
                            </w:pPr>
                            <w:r>
                              <w:rPr>
                                <w:sz w:val="21"/>
                              </w:rPr>
                              <w:t>资格。</w:t>
                            </w:r>
                          </w:p>
                        </w:tc>
                        <w:tc>
                          <w:tcPr>
                            <w:tcW w:w="9919" w:type="dxa"/>
                            <w:vMerge w:val="continue"/>
                            <w:tcBorders>
                              <w:top w:val="nil"/>
                            </w:tcBorders>
                          </w:tcPr>
                          <w:p>
                            <w:pPr>
                              <w:rPr>
                                <w:sz w:val="2"/>
                                <w:szCs w:val="2"/>
                              </w:rPr>
                            </w:pPr>
                          </w:p>
                        </w:tc>
                        <w:tc>
                          <w:tcPr>
                            <w:tcW w:w="1976" w:type="dxa"/>
                            <w:tcBorders>
                              <w:top w:val="nil"/>
                              <w:bottom w:val="nil"/>
                            </w:tcBorders>
                          </w:tcPr>
                          <w:p>
                            <w:pPr>
                              <w:pStyle w:val="8"/>
                              <w:spacing w:before="40"/>
                              <w:ind w:left="69" w:right="61"/>
                              <w:jc w:val="center"/>
                              <w:rPr>
                                <w:sz w:val="21"/>
                              </w:rPr>
                            </w:pPr>
                            <w:r>
                              <w:rPr>
                                <w:w w:val="95"/>
                                <w:sz w:val="21"/>
                              </w:rPr>
                              <w:t>管总局、广电总局、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6" w:hRule="atLeast"/>
                        </w:trPr>
                        <w:tc>
                          <w:tcPr>
                            <w:tcW w:w="1743" w:type="dxa"/>
                            <w:tcBorders>
                              <w:top w:val="nil"/>
                              <w:bottom w:val="nil"/>
                            </w:tcBorders>
                          </w:tcPr>
                          <w:p>
                            <w:pPr>
                              <w:pStyle w:val="8"/>
                              <w:rPr>
                                <w:rFonts w:ascii="Times New Roman"/>
                                <w:sz w:val="20"/>
                              </w:rPr>
                            </w:pPr>
                          </w:p>
                        </w:tc>
                        <w:tc>
                          <w:tcPr>
                            <w:tcW w:w="9919" w:type="dxa"/>
                            <w:vMerge w:val="continue"/>
                            <w:tcBorders>
                              <w:top w:val="nil"/>
                            </w:tcBorders>
                          </w:tcPr>
                          <w:p>
                            <w:pPr>
                              <w:rPr>
                                <w:sz w:val="2"/>
                                <w:szCs w:val="2"/>
                              </w:rPr>
                            </w:pPr>
                          </w:p>
                        </w:tc>
                        <w:tc>
                          <w:tcPr>
                            <w:tcW w:w="1976" w:type="dxa"/>
                            <w:tcBorders>
                              <w:top w:val="nil"/>
                              <w:bottom w:val="nil"/>
                            </w:tcBorders>
                          </w:tcPr>
                          <w:p>
                            <w:pPr>
                              <w:pStyle w:val="8"/>
                              <w:spacing w:before="40"/>
                              <w:ind w:left="69" w:right="61"/>
                              <w:jc w:val="center"/>
                              <w:rPr>
                                <w:sz w:val="21"/>
                              </w:rPr>
                            </w:pPr>
                            <w:r>
                              <w:rPr>
                                <w:w w:val="95"/>
                                <w:sz w:val="21"/>
                              </w:rPr>
                              <w:t>中科院、社科院、工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3" w:hRule="atLeast"/>
                        </w:trPr>
                        <w:tc>
                          <w:tcPr>
                            <w:tcW w:w="1743" w:type="dxa"/>
                            <w:tcBorders>
                              <w:top w:val="nil"/>
                              <w:bottom w:val="nil"/>
                            </w:tcBorders>
                          </w:tcPr>
                          <w:p>
                            <w:pPr>
                              <w:pStyle w:val="8"/>
                              <w:spacing w:before="43"/>
                              <w:ind w:left="14"/>
                              <w:rPr>
                                <w:sz w:val="21"/>
                              </w:rPr>
                            </w:pPr>
                            <w:r>
                              <w:rPr>
                                <w:rFonts w:ascii="Times New Roman" w:eastAsia="Times New Roman"/>
                                <w:spacing w:val="5"/>
                                <w:w w:val="95"/>
                                <w:sz w:val="21"/>
                              </w:rPr>
                              <w:t>4.</w:t>
                            </w:r>
                            <w:r>
                              <w:rPr>
                                <w:spacing w:val="9"/>
                                <w:w w:val="95"/>
                                <w:sz w:val="21"/>
                              </w:rPr>
                              <w:t>一定期限内或终</w:t>
                            </w:r>
                          </w:p>
                          <w:p>
                            <w:pPr>
                              <w:pStyle w:val="8"/>
                              <w:spacing w:before="91"/>
                              <w:ind w:left="14"/>
                              <w:rPr>
                                <w:sz w:val="21"/>
                              </w:rPr>
                            </w:pPr>
                            <w:r>
                              <w:rPr>
                                <w:spacing w:val="2"/>
                                <w:w w:val="95"/>
                                <w:sz w:val="21"/>
                              </w:rPr>
                              <w:t>身取消国家科学技</w:t>
                            </w:r>
                          </w:p>
                        </w:tc>
                        <w:tc>
                          <w:tcPr>
                            <w:tcW w:w="9919" w:type="dxa"/>
                            <w:vMerge w:val="continue"/>
                            <w:tcBorders>
                              <w:top w:val="nil"/>
                            </w:tcBorders>
                          </w:tcPr>
                          <w:p>
                            <w:pPr>
                              <w:rPr>
                                <w:sz w:val="2"/>
                                <w:szCs w:val="2"/>
                              </w:rPr>
                            </w:pPr>
                          </w:p>
                        </w:tc>
                        <w:tc>
                          <w:tcPr>
                            <w:tcW w:w="1976" w:type="dxa"/>
                            <w:tcBorders>
                              <w:top w:val="nil"/>
                              <w:bottom w:val="nil"/>
                            </w:tcBorders>
                          </w:tcPr>
                          <w:p>
                            <w:pPr>
                              <w:pStyle w:val="8"/>
                              <w:spacing w:before="43"/>
                              <w:ind w:left="16"/>
                              <w:rPr>
                                <w:sz w:val="21"/>
                              </w:rPr>
                            </w:pPr>
                            <w:r>
                              <w:rPr>
                                <w:sz w:val="21"/>
                              </w:rPr>
                              <w:t>程院、自然科学基金</w:t>
                            </w:r>
                          </w:p>
                          <w:p>
                            <w:pPr>
                              <w:pStyle w:val="8"/>
                              <w:spacing w:before="91"/>
                              <w:ind w:left="16"/>
                              <w:rPr>
                                <w:sz w:val="21"/>
                              </w:rPr>
                            </w:pPr>
                            <w:r>
                              <w:rPr>
                                <w:sz w:val="21"/>
                              </w:rPr>
                              <w:t>会、中国科协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7" w:hRule="atLeast"/>
                        </w:trPr>
                        <w:tc>
                          <w:tcPr>
                            <w:tcW w:w="1743" w:type="dxa"/>
                            <w:tcBorders>
                              <w:top w:val="nil"/>
                            </w:tcBorders>
                          </w:tcPr>
                          <w:p>
                            <w:pPr>
                              <w:pStyle w:val="8"/>
                              <w:spacing w:before="40"/>
                              <w:ind w:left="14"/>
                              <w:rPr>
                                <w:sz w:val="21"/>
                              </w:rPr>
                            </w:pPr>
                            <w:r>
                              <w:rPr>
                                <w:sz w:val="21"/>
                              </w:rPr>
                              <w:t>术奖被提名资格。</w:t>
                            </w:r>
                          </w:p>
                        </w:tc>
                        <w:tc>
                          <w:tcPr>
                            <w:tcW w:w="9919" w:type="dxa"/>
                            <w:vMerge w:val="continue"/>
                            <w:tcBorders>
                              <w:top w:val="nil"/>
                            </w:tcBorders>
                          </w:tcPr>
                          <w:p>
                            <w:pPr>
                              <w:rPr>
                                <w:sz w:val="2"/>
                                <w:szCs w:val="2"/>
                              </w:rPr>
                            </w:pPr>
                          </w:p>
                        </w:tc>
                        <w:tc>
                          <w:tcPr>
                            <w:tcW w:w="1976" w:type="dxa"/>
                            <w:tcBorders>
                              <w:top w:val="nil"/>
                            </w:tcBorders>
                          </w:tcPr>
                          <w:p>
                            <w:pPr>
                              <w:pStyle w:val="8"/>
                              <w:rPr>
                                <w:rFonts w:ascii="Times New Roman"/>
                                <w:sz w:val="20"/>
                              </w:rPr>
                            </w:pPr>
                          </w:p>
                        </w:tc>
                      </w:tr>
                    </w:tbl>
                    <w:p>
                      <w:pPr>
                        <w:pStyle w:val="3"/>
                      </w:pPr>
                    </w:p>
                  </w:txbxContent>
                </v:textbox>
              </v:shape>
            </w:pict>
          </mc:Fallback>
        </mc:AlternateContent>
      </w:r>
      <w:r>
        <w:rPr>
          <w:w w:val="99"/>
          <w:sz w:val="21"/>
        </w:rPr>
        <w:t>、</w:t>
      </w:r>
    </w:p>
    <w:p>
      <w:pPr>
        <w:spacing w:after="0"/>
        <w:jc w:val="right"/>
        <w:rPr>
          <w:sz w:val="21"/>
        </w:rPr>
        <w:sectPr>
          <w:footerReference r:id="rId4" w:type="default"/>
          <w:pgSz w:w="16840" w:h="11910" w:orient="landscape"/>
          <w:pgMar w:top="1100" w:right="960" w:bottom="1160" w:left="1700" w:header="0" w:footer="979" w:gutter="0"/>
          <w:pgNumType w:start="9"/>
        </w:sectPr>
      </w:pPr>
    </w:p>
    <w:p>
      <w:pPr>
        <w:pStyle w:val="3"/>
        <w:rPr>
          <w:rFonts w:ascii="Times New Roman"/>
          <w:sz w:val="29"/>
        </w:rPr>
      </w:pPr>
    </w:p>
    <w:tbl>
      <w:tblPr>
        <w:tblStyle w:val="4"/>
        <w:tblW w:w="0" w:type="auto"/>
        <w:tblInd w:w="34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43"/>
        <w:gridCol w:w="9922"/>
        <w:gridCol w:w="197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 w:hRule="atLeast"/>
        </w:trPr>
        <w:tc>
          <w:tcPr>
            <w:tcW w:w="1743" w:type="dxa"/>
          </w:tcPr>
          <w:p>
            <w:pPr>
              <w:pStyle w:val="8"/>
              <w:spacing w:before="63" w:line="438" w:lineRule="exact"/>
              <w:ind w:left="271"/>
              <w:rPr>
                <w:rFonts w:hint="eastAsia" w:ascii="Arial Unicode MS" w:eastAsia="Arial Unicode MS"/>
                <w:sz w:val="30"/>
              </w:rPr>
            </w:pPr>
            <w:r>
              <w:rPr>
                <w:rFonts w:hint="eastAsia" w:ascii="Arial Unicode MS" w:eastAsia="Arial Unicode MS"/>
                <w:sz w:val="30"/>
              </w:rPr>
              <w:t>惩戒措施</w:t>
            </w:r>
          </w:p>
        </w:tc>
        <w:tc>
          <w:tcPr>
            <w:tcW w:w="9922" w:type="dxa"/>
          </w:tcPr>
          <w:p>
            <w:pPr>
              <w:pStyle w:val="8"/>
              <w:spacing w:line="502" w:lineRule="exact"/>
              <w:ind w:left="3886" w:right="3885"/>
              <w:jc w:val="center"/>
              <w:rPr>
                <w:rFonts w:hint="eastAsia" w:ascii="Arial Unicode MS" w:eastAsia="Arial Unicode MS"/>
                <w:sz w:val="30"/>
              </w:rPr>
            </w:pPr>
            <w:r>
              <w:rPr>
                <w:rFonts w:hint="eastAsia" w:ascii="Arial Unicode MS" w:eastAsia="Arial Unicode MS"/>
                <w:sz w:val="30"/>
              </w:rPr>
              <w:t>法律及政策依据</w:t>
            </w:r>
          </w:p>
        </w:tc>
        <w:tc>
          <w:tcPr>
            <w:tcW w:w="1972" w:type="dxa"/>
          </w:tcPr>
          <w:p>
            <w:pPr>
              <w:pStyle w:val="8"/>
              <w:spacing w:line="502" w:lineRule="exact"/>
              <w:ind w:left="380"/>
              <w:rPr>
                <w:rFonts w:hint="eastAsia" w:ascii="Arial Unicode MS" w:eastAsia="Arial Unicode MS"/>
                <w:sz w:val="30"/>
              </w:rPr>
            </w:pPr>
            <w:r>
              <w:rPr>
                <w:rFonts w:hint="eastAsia" w:ascii="Arial Unicode MS" w:eastAsia="Arial Unicode MS"/>
                <w:sz w:val="30"/>
              </w:rPr>
              <w:t>实施部门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08" w:hRule="atLeast"/>
        </w:trPr>
        <w:tc>
          <w:tcPr>
            <w:tcW w:w="1743" w:type="dxa"/>
          </w:tcPr>
          <w:p>
            <w:pPr>
              <w:pStyle w:val="8"/>
              <w:rPr>
                <w:rFonts w:ascii="Times New Roman"/>
                <w:sz w:val="20"/>
              </w:rPr>
            </w:pPr>
          </w:p>
          <w:p>
            <w:pPr>
              <w:pStyle w:val="8"/>
              <w:spacing w:before="6"/>
              <w:rPr>
                <w:rFonts w:ascii="Times New Roman"/>
                <w:sz w:val="16"/>
              </w:rPr>
            </w:pPr>
          </w:p>
          <w:p>
            <w:pPr>
              <w:pStyle w:val="8"/>
              <w:numPr>
                <w:ilvl w:val="0"/>
                <w:numId w:val="2"/>
              </w:numPr>
              <w:tabs>
                <w:tab w:val="left" w:pos="310"/>
              </w:tabs>
              <w:spacing w:before="0" w:after="0" w:line="321" w:lineRule="auto"/>
              <w:ind w:left="14" w:right="2" w:firstLine="0"/>
              <w:jc w:val="both"/>
              <w:rPr>
                <w:sz w:val="21"/>
              </w:rPr>
            </w:pPr>
            <w:r>
              <w:rPr>
                <w:spacing w:val="24"/>
                <w:sz w:val="21"/>
              </w:rPr>
              <w:t>作为高新技术</w:t>
            </w:r>
            <w:r>
              <w:rPr>
                <w:spacing w:val="2"/>
                <w:sz w:val="21"/>
              </w:rPr>
              <w:t>企业认定管理工作监督检查和备案等相关工作的重点监</w:t>
            </w:r>
            <w:r>
              <w:rPr>
                <w:sz w:val="21"/>
              </w:rPr>
              <w:t>管对象。</w:t>
            </w:r>
          </w:p>
          <w:p>
            <w:pPr>
              <w:pStyle w:val="8"/>
              <w:rPr>
                <w:rFonts w:ascii="Times New Roman"/>
                <w:sz w:val="20"/>
              </w:rPr>
            </w:pPr>
          </w:p>
          <w:p>
            <w:pPr>
              <w:pStyle w:val="8"/>
              <w:numPr>
                <w:ilvl w:val="0"/>
                <w:numId w:val="2"/>
              </w:numPr>
              <w:tabs>
                <w:tab w:val="left" w:pos="183"/>
              </w:tabs>
              <w:spacing w:before="127" w:after="0" w:line="321" w:lineRule="auto"/>
              <w:ind w:left="14" w:right="5" w:firstLine="0"/>
              <w:jc w:val="both"/>
              <w:rPr>
                <w:sz w:val="21"/>
              </w:rPr>
            </w:pPr>
            <w:r>
              <w:rPr>
                <w:spacing w:val="7"/>
                <w:sz w:val="21"/>
              </w:rPr>
              <w:t>撤销其行为发生</w:t>
            </w:r>
            <w:r>
              <w:rPr>
                <w:spacing w:val="1"/>
                <w:sz w:val="21"/>
              </w:rPr>
              <w:t>年科技型中小企业入库登记编号，并</w:t>
            </w:r>
            <w:r>
              <w:rPr>
                <w:spacing w:val="32"/>
                <w:sz w:val="21"/>
              </w:rPr>
              <w:t>在服务平台上公</w:t>
            </w:r>
            <w:r>
              <w:rPr>
                <w:sz w:val="21"/>
              </w:rPr>
              <w:t>告。</w:t>
            </w:r>
          </w:p>
          <w:p>
            <w:pPr>
              <w:pStyle w:val="8"/>
              <w:spacing w:before="2"/>
              <w:rPr>
                <w:rFonts w:ascii="Times New Roman"/>
                <w:sz w:val="23"/>
              </w:rPr>
            </w:pPr>
          </w:p>
          <w:p>
            <w:pPr>
              <w:pStyle w:val="8"/>
              <w:numPr>
                <w:ilvl w:val="0"/>
                <w:numId w:val="2"/>
              </w:numPr>
              <w:tabs>
                <w:tab w:val="left" w:pos="183"/>
              </w:tabs>
              <w:spacing w:before="0" w:after="0" w:line="360" w:lineRule="atLeast"/>
              <w:ind w:left="14" w:right="5" w:firstLine="0"/>
              <w:jc w:val="both"/>
              <w:rPr>
                <w:sz w:val="21"/>
              </w:rPr>
            </w:pPr>
            <w:r>
              <w:rPr>
                <w:spacing w:val="11"/>
                <w:sz w:val="21"/>
              </w:rPr>
              <w:t>在科技计划</w:t>
            </w:r>
            <w:r>
              <w:rPr>
                <w:spacing w:val="14"/>
                <w:sz w:val="21"/>
              </w:rPr>
              <w:t>（</w:t>
            </w:r>
            <w:r>
              <w:rPr>
                <w:spacing w:val="-15"/>
                <w:sz w:val="21"/>
              </w:rPr>
              <w:t>专</w:t>
            </w:r>
            <w:r>
              <w:rPr>
                <w:spacing w:val="4"/>
                <w:sz w:val="21"/>
              </w:rPr>
              <w:t>项、基金等</w:t>
            </w:r>
            <w:r>
              <w:rPr>
                <w:spacing w:val="7"/>
                <w:sz w:val="21"/>
              </w:rPr>
              <w:t>）</w:t>
            </w:r>
            <w:r>
              <w:rPr>
                <w:spacing w:val="-6"/>
                <w:sz w:val="21"/>
              </w:rPr>
              <w:t>项目</w:t>
            </w:r>
            <w:r>
              <w:rPr>
                <w:spacing w:val="1"/>
                <w:sz w:val="21"/>
              </w:rPr>
              <w:t>立项、评审专家遴选、职称评定、职务晋升、项目管理专业机构选定、科技奖励评审、间接费用核定、结余资金留用及创新基地与人才遴选、考核</w:t>
            </w:r>
          </w:p>
        </w:tc>
        <w:tc>
          <w:tcPr>
            <w:tcW w:w="9922" w:type="dxa"/>
          </w:tcPr>
          <w:p>
            <w:pPr>
              <w:pStyle w:val="8"/>
              <w:spacing w:before="60" w:line="321" w:lineRule="auto"/>
              <w:ind w:left="13" w:right="5"/>
              <w:rPr>
                <w:sz w:val="21"/>
              </w:rPr>
            </w:pPr>
            <w:r>
              <w:rPr>
                <w:sz w:val="21"/>
              </w:rPr>
              <w:t>诚信档案，加大对学术不端行为的查处力度，将严重学术不端行为向社会公布，并在项目申报、职位晋升、奖励评定等方面采取限制措施。教育引导科技工作者强化诚信自律，严守学术道德，不准在科学研究中弄虚作假，严禁计算、试验等数据资料造假；不准以任何形式抄袭盗用他人的论文等科研成果；不准为追求论文发表数量和引用量粗制滥造、投机取巧；不准利用中介机构或其他第三方代写或变相代写论文，或通过金钱交易在国内外刊物上发表论文；不准违反有关规定，在论文、科研项目、奖励、人才评价等学术评审中拉关</w:t>
            </w:r>
            <w:r>
              <w:rPr>
                <w:spacing w:val="-9"/>
                <w:sz w:val="21"/>
              </w:rPr>
              <w:t>系、送人情，亵渎学术尊严。广泛开展学术道德和学风建设宣讲工作，引导科技工作者严谨治学、诚实做人秉持奉献、创新、求实、协作的科学精神，在践行社会主义核心价值观、引领社会良好风尚中率先垂范。</w:t>
            </w:r>
          </w:p>
          <w:p>
            <w:pPr>
              <w:pStyle w:val="8"/>
              <w:spacing w:line="265" w:lineRule="exact"/>
              <w:ind w:left="13"/>
              <w:rPr>
                <w:b/>
                <w:sz w:val="21"/>
              </w:rPr>
            </w:pPr>
            <w:r>
              <w:rPr>
                <w:b/>
                <w:sz w:val="21"/>
              </w:rPr>
              <w:t>《国务院关于改进加强中央财政科研项目和资金管理的若干意见》</w:t>
            </w:r>
          </w:p>
          <w:p>
            <w:pPr>
              <w:pStyle w:val="8"/>
              <w:spacing w:before="91" w:line="321" w:lineRule="auto"/>
              <w:ind w:left="13" w:right="3" w:firstLine="420"/>
              <w:jc w:val="both"/>
              <w:rPr>
                <w:sz w:val="21"/>
              </w:rPr>
            </w:pPr>
            <w:r>
              <w:rPr>
                <w:sz w:val="21"/>
              </w:rPr>
              <w:t>（二十二）完善科研信用管理。建立覆盖指南编制、项目申请、评估评审、立项、执行、验收全过程的科研信用记录制度，由项目主管部门委托专业机构对项目承担单位和科研人员、评估评审专家、中介机构等参与主体进行信用评级，并按信用评级实行分类管理。各项目主管部门应共享信用评价信息。建立</w:t>
            </w:r>
            <w:r>
              <w:rPr>
                <w:rFonts w:ascii="Times New Roman" w:hAnsi="Times New Roman" w:eastAsia="Times New Roman"/>
                <w:sz w:val="21"/>
              </w:rPr>
              <w:t>“</w:t>
            </w:r>
            <w:r>
              <w:rPr>
                <w:sz w:val="21"/>
              </w:rPr>
              <w:t>黑名单</w:t>
            </w:r>
            <w:r>
              <w:rPr>
                <w:rFonts w:ascii="Times New Roman" w:hAnsi="Times New Roman" w:eastAsia="Times New Roman"/>
                <w:sz w:val="21"/>
              </w:rPr>
              <w:t xml:space="preserve">” </w:t>
            </w:r>
            <w:r>
              <w:rPr>
                <w:sz w:val="21"/>
              </w:rPr>
              <w:t>制度，将严重不良信用记录者记入</w:t>
            </w:r>
            <w:r>
              <w:rPr>
                <w:rFonts w:ascii="Times New Roman" w:hAnsi="Times New Roman" w:eastAsia="Times New Roman"/>
                <w:sz w:val="21"/>
              </w:rPr>
              <w:t>“</w:t>
            </w:r>
            <w:r>
              <w:rPr>
                <w:sz w:val="21"/>
              </w:rPr>
              <w:t>黑名单</w:t>
            </w:r>
            <w:r>
              <w:rPr>
                <w:rFonts w:ascii="Times New Roman" w:hAnsi="Times New Roman" w:eastAsia="Times New Roman"/>
                <w:sz w:val="21"/>
              </w:rPr>
              <w:t>”</w:t>
            </w:r>
            <w:r>
              <w:rPr>
                <w:sz w:val="21"/>
              </w:rPr>
              <w:t>，阶段性或永久取消其申请中央财政资助项目或参与项目管理的资格。</w:t>
            </w:r>
          </w:p>
          <w:p>
            <w:pPr>
              <w:pStyle w:val="8"/>
              <w:spacing w:line="321" w:lineRule="auto"/>
              <w:ind w:left="13" w:right="5" w:firstLine="420"/>
              <w:rPr>
                <w:sz w:val="21"/>
              </w:rPr>
            </w:pPr>
            <w:r>
              <w:rPr>
                <w:sz w:val="21"/>
              </w:rPr>
              <w:t>（二十三</w:t>
            </w:r>
            <w:r>
              <w:rPr>
                <w:spacing w:val="-20"/>
                <w:sz w:val="21"/>
              </w:rPr>
              <w:t>）</w:t>
            </w:r>
            <w:r>
              <w:rPr>
                <w:spacing w:val="-4"/>
                <w:sz w:val="21"/>
              </w:rPr>
              <w:t>加大对违规行为的惩处力度。建立完善覆盖项目决策、管理、实施主体的逐级考核问责机制有关部门要加强科研项目和资金监管工作，严肃处理违规行为，按规定采取通报批评、暂停项目拨款、终止项目执行、追回已拨项目资金、取消项目承担者一定期限内项目申报资格等措施，涉及违法的移交司法机关处理，并将有关结果向社会公开。建立责任倒查制度，针对出现的问题倒查项目主管部门相关人员的履职尽责和廉洁自律情况，经查实存在问题的依法依规严肃处理。</w:t>
            </w:r>
          </w:p>
          <w:p>
            <w:pPr>
              <w:pStyle w:val="8"/>
              <w:spacing w:line="266" w:lineRule="exact"/>
              <w:ind w:left="13"/>
              <w:rPr>
                <w:b/>
                <w:sz w:val="21"/>
              </w:rPr>
            </w:pPr>
            <w:r>
              <w:rPr>
                <w:b/>
                <w:sz w:val="21"/>
              </w:rPr>
              <w:t>《国务院印发关于深化中央财政科技计划（专项、基金等）管理改革方案的通知》</w:t>
            </w:r>
          </w:p>
          <w:p>
            <w:pPr>
              <w:pStyle w:val="8"/>
              <w:spacing w:line="360" w:lineRule="atLeast"/>
              <w:ind w:left="13" w:right="3" w:firstLine="316"/>
              <w:jc w:val="both"/>
              <w:rPr>
                <w:sz w:val="21"/>
              </w:rPr>
            </w:pPr>
            <w:r>
              <w:rPr>
                <w:w w:val="95"/>
                <w:sz w:val="21"/>
              </w:rPr>
              <w:t>（四</w:t>
            </w:r>
            <w:r>
              <w:rPr>
                <w:spacing w:val="-13"/>
                <w:w w:val="95"/>
                <w:sz w:val="21"/>
              </w:rPr>
              <w:t>）</w:t>
            </w:r>
            <w:r>
              <w:rPr>
                <w:spacing w:val="-3"/>
                <w:w w:val="95"/>
                <w:sz w:val="21"/>
              </w:rPr>
              <w:t>建立统一的评估和监管机制。科技部、财政部要对科技计划</w:t>
            </w:r>
            <w:r>
              <w:rPr>
                <w:w w:val="95"/>
                <w:sz w:val="21"/>
              </w:rPr>
              <w:t>（</w:t>
            </w:r>
            <w:r>
              <w:rPr>
                <w:spacing w:val="-4"/>
                <w:w w:val="95"/>
                <w:sz w:val="21"/>
              </w:rPr>
              <w:t>专项、基金等</w:t>
            </w:r>
            <w:r>
              <w:rPr>
                <w:spacing w:val="-13"/>
                <w:w w:val="95"/>
                <w:sz w:val="21"/>
              </w:rPr>
              <w:t>）</w:t>
            </w:r>
            <w:r>
              <w:rPr>
                <w:spacing w:val="-3"/>
                <w:w w:val="95"/>
                <w:sz w:val="21"/>
              </w:rPr>
              <w:t>的实施绩效、战略咨</w:t>
            </w:r>
            <w:r>
              <w:rPr>
                <w:spacing w:val="-3"/>
                <w:sz w:val="21"/>
              </w:rPr>
              <w:t>询与综合评审委员会和专业机构的履职尽责情况等统一组织评估评价和监督检查，进一步完善科研信用体系建设，实行</w:t>
            </w:r>
            <w:r>
              <w:rPr>
                <w:rFonts w:ascii="Times New Roman" w:hAnsi="Times New Roman" w:eastAsia="Times New Roman"/>
                <w:spacing w:val="3"/>
                <w:sz w:val="21"/>
              </w:rPr>
              <w:t>“</w:t>
            </w:r>
            <w:r>
              <w:rPr>
                <w:sz w:val="21"/>
              </w:rPr>
              <w:t>黑名单</w:t>
            </w:r>
            <w:r>
              <w:rPr>
                <w:rFonts w:ascii="Times New Roman" w:hAnsi="Times New Roman" w:eastAsia="Times New Roman"/>
                <w:sz w:val="21"/>
              </w:rPr>
              <w:t>”</w:t>
            </w:r>
            <w:r>
              <w:rPr>
                <w:sz w:val="21"/>
              </w:rPr>
              <w:t>制度和责任倒查机制。对科技计划（专项、基金等）的绩效评估通过公开竞争等方式择优委托第三方机构开展，评估结果作为中央财政予以支持的重要依据。各有关部门要加强对所属单位承担科</w:t>
            </w:r>
          </w:p>
        </w:tc>
        <w:tc>
          <w:tcPr>
            <w:tcW w:w="1972" w:type="dxa"/>
          </w:tcPr>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spacing w:before="9"/>
              <w:rPr>
                <w:rFonts w:ascii="Times New Roman"/>
                <w:sz w:val="21"/>
              </w:rPr>
            </w:pPr>
          </w:p>
          <w:p>
            <w:pPr>
              <w:pStyle w:val="8"/>
              <w:ind w:left="-119"/>
              <w:rPr>
                <w:sz w:val="21"/>
              </w:rPr>
            </w:pPr>
            <w:r>
              <w:rPr>
                <w:w w:val="99"/>
                <w:sz w:val="21"/>
              </w:rPr>
              <w:t>，</w:t>
            </w: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7"/>
              </w:rPr>
            </w:pPr>
          </w:p>
          <w:p>
            <w:pPr>
              <w:pStyle w:val="8"/>
              <w:ind w:left="-119"/>
              <w:rPr>
                <w:sz w:val="21"/>
              </w:rPr>
            </w:pPr>
            <w:r>
              <w:rPr>
                <w:w w:val="99"/>
                <w:sz w:val="21"/>
              </w:rPr>
              <w:t>。</w:t>
            </w:r>
          </w:p>
        </w:tc>
      </w:tr>
    </w:tbl>
    <w:p>
      <w:pPr>
        <w:spacing w:after="0"/>
        <w:rPr>
          <w:sz w:val="21"/>
        </w:rPr>
        <w:sectPr>
          <w:footerReference r:id="rId5" w:type="default"/>
          <w:pgSz w:w="16840" w:h="11910" w:orient="landscape"/>
          <w:pgMar w:top="1100" w:right="960" w:bottom="1160" w:left="1700" w:header="0" w:footer="979" w:gutter="0"/>
          <w:pgNumType w:start="10"/>
        </w:sectPr>
      </w:pPr>
    </w:p>
    <w:p>
      <w:pPr>
        <w:pStyle w:val="3"/>
        <w:rPr>
          <w:rFonts w:ascii="Times New Roman"/>
          <w:sz w:val="29"/>
        </w:rPr>
      </w:pPr>
    </w:p>
    <w:tbl>
      <w:tblPr>
        <w:tblStyle w:val="4"/>
        <w:tblW w:w="0" w:type="auto"/>
        <w:tblInd w:w="34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43"/>
        <w:gridCol w:w="9922"/>
        <w:gridCol w:w="197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 w:hRule="atLeast"/>
        </w:trPr>
        <w:tc>
          <w:tcPr>
            <w:tcW w:w="1743" w:type="dxa"/>
          </w:tcPr>
          <w:p>
            <w:pPr>
              <w:pStyle w:val="8"/>
              <w:spacing w:before="63" w:line="438" w:lineRule="exact"/>
              <w:ind w:left="271"/>
              <w:rPr>
                <w:rFonts w:hint="eastAsia" w:ascii="Arial Unicode MS" w:eastAsia="Arial Unicode MS"/>
                <w:sz w:val="30"/>
              </w:rPr>
            </w:pPr>
            <w:r>
              <w:rPr>
                <w:rFonts w:hint="eastAsia" w:ascii="Arial Unicode MS" w:eastAsia="Arial Unicode MS"/>
                <w:sz w:val="30"/>
              </w:rPr>
              <w:t>惩戒措施</w:t>
            </w:r>
          </w:p>
        </w:tc>
        <w:tc>
          <w:tcPr>
            <w:tcW w:w="9922" w:type="dxa"/>
          </w:tcPr>
          <w:p>
            <w:pPr>
              <w:pStyle w:val="8"/>
              <w:spacing w:line="502" w:lineRule="exact"/>
              <w:ind w:left="3886" w:right="3885"/>
              <w:jc w:val="center"/>
              <w:rPr>
                <w:rFonts w:hint="eastAsia" w:ascii="Arial Unicode MS" w:eastAsia="Arial Unicode MS"/>
                <w:sz w:val="30"/>
              </w:rPr>
            </w:pPr>
            <w:r>
              <w:rPr>
                <w:rFonts w:hint="eastAsia" w:ascii="Arial Unicode MS" w:eastAsia="Arial Unicode MS"/>
                <w:sz w:val="30"/>
              </w:rPr>
              <w:t>法律及政策依据</w:t>
            </w:r>
          </w:p>
        </w:tc>
        <w:tc>
          <w:tcPr>
            <w:tcW w:w="1972" w:type="dxa"/>
          </w:tcPr>
          <w:p>
            <w:pPr>
              <w:pStyle w:val="8"/>
              <w:spacing w:line="502" w:lineRule="exact"/>
              <w:ind w:left="380"/>
              <w:rPr>
                <w:rFonts w:hint="eastAsia" w:ascii="Arial Unicode MS" w:eastAsia="Arial Unicode MS"/>
                <w:sz w:val="30"/>
              </w:rPr>
            </w:pPr>
            <w:r>
              <w:rPr>
                <w:rFonts w:hint="eastAsia" w:ascii="Arial Unicode MS" w:eastAsia="Arial Unicode MS"/>
                <w:sz w:val="30"/>
              </w:rPr>
              <w:t>实施部门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08" w:hRule="atLeast"/>
        </w:trPr>
        <w:tc>
          <w:tcPr>
            <w:tcW w:w="1743" w:type="dxa"/>
          </w:tcPr>
          <w:p>
            <w:pPr>
              <w:pStyle w:val="8"/>
              <w:spacing w:before="60" w:line="321" w:lineRule="auto"/>
              <w:ind w:left="14" w:right="5"/>
              <w:jc w:val="both"/>
              <w:rPr>
                <w:sz w:val="21"/>
              </w:rPr>
            </w:pPr>
            <w:r>
              <w:rPr>
                <w:spacing w:val="1"/>
                <w:sz w:val="21"/>
              </w:rPr>
              <w:t>评估等工作中，将失信信息作为重要</w:t>
            </w:r>
            <w:r>
              <w:rPr>
                <w:sz w:val="21"/>
              </w:rPr>
              <w:t>参考依据。</w:t>
            </w:r>
          </w:p>
          <w:p>
            <w:pPr>
              <w:pStyle w:val="8"/>
              <w:rPr>
                <w:rFonts w:ascii="Times New Roman"/>
                <w:sz w:val="20"/>
              </w:rPr>
            </w:pPr>
          </w:p>
          <w:p>
            <w:pPr>
              <w:pStyle w:val="8"/>
              <w:numPr>
                <w:ilvl w:val="0"/>
                <w:numId w:val="3"/>
              </w:numPr>
              <w:tabs>
                <w:tab w:val="left" w:pos="277"/>
              </w:tabs>
              <w:spacing w:before="128" w:after="0" w:line="321" w:lineRule="auto"/>
              <w:ind w:left="14" w:right="5" w:firstLine="0"/>
              <w:jc w:val="both"/>
              <w:rPr>
                <w:sz w:val="21"/>
              </w:rPr>
            </w:pPr>
            <w:r>
              <w:rPr>
                <w:spacing w:val="29"/>
                <w:sz w:val="21"/>
              </w:rPr>
              <w:t>列为重点监管</w:t>
            </w:r>
            <w:r>
              <w:rPr>
                <w:spacing w:val="1"/>
                <w:sz w:val="21"/>
              </w:rPr>
              <w:t>对象，增加在国家</w:t>
            </w:r>
            <w:r>
              <w:rPr>
                <w:spacing w:val="4"/>
                <w:sz w:val="21"/>
              </w:rPr>
              <w:t>科技计划（</w:t>
            </w:r>
            <w:r>
              <w:rPr>
                <w:spacing w:val="-2"/>
                <w:sz w:val="21"/>
              </w:rPr>
              <w:t>专项、</w:t>
            </w:r>
            <w:r>
              <w:rPr>
                <w:spacing w:val="4"/>
                <w:sz w:val="21"/>
              </w:rPr>
              <w:t>基金等</w:t>
            </w:r>
            <w:r>
              <w:rPr>
                <w:spacing w:val="7"/>
                <w:sz w:val="21"/>
              </w:rPr>
              <w:t>）</w:t>
            </w:r>
            <w:r>
              <w:rPr>
                <w:spacing w:val="-1"/>
                <w:sz w:val="21"/>
              </w:rPr>
              <w:t>实施中的</w:t>
            </w:r>
            <w:r>
              <w:rPr>
                <w:sz w:val="21"/>
              </w:rPr>
              <w:t>监督检查频次。</w:t>
            </w:r>
          </w:p>
          <w:p>
            <w:pPr>
              <w:pStyle w:val="8"/>
              <w:rPr>
                <w:rFonts w:ascii="Times New Roman"/>
                <w:sz w:val="20"/>
              </w:rPr>
            </w:pPr>
          </w:p>
          <w:p>
            <w:pPr>
              <w:pStyle w:val="8"/>
              <w:numPr>
                <w:ilvl w:val="0"/>
                <w:numId w:val="3"/>
              </w:numPr>
              <w:tabs>
                <w:tab w:val="left" w:pos="277"/>
              </w:tabs>
              <w:spacing w:before="128" w:after="0" w:line="321" w:lineRule="auto"/>
              <w:ind w:left="14" w:right="5" w:firstLine="0"/>
              <w:jc w:val="both"/>
              <w:rPr>
                <w:sz w:val="21"/>
              </w:rPr>
            </w:pPr>
            <w:r>
              <w:rPr>
                <w:spacing w:val="29"/>
                <w:sz w:val="21"/>
              </w:rPr>
              <w:t>撤销学会领导</w:t>
            </w:r>
            <w:r>
              <w:rPr>
                <w:spacing w:val="1"/>
                <w:sz w:val="21"/>
              </w:rPr>
              <w:t>职务，取消会员资</w:t>
            </w:r>
            <w:r>
              <w:rPr>
                <w:sz w:val="21"/>
              </w:rPr>
              <w:t>格。</w:t>
            </w:r>
          </w:p>
        </w:tc>
        <w:tc>
          <w:tcPr>
            <w:tcW w:w="9922" w:type="dxa"/>
          </w:tcPr>
          <w:p>
            <w:pPr>
              <w:pStyle w:val="8"/>
              <w:spacing w:before="60" w:line="321" w:lineRule="auto"/>
              <w:ind w:left="13" w:right="5"/>
              <w:jc w:val="both"/>
              <w:rPr>
                <w:sz w:val="21"/>
              </w:rPr>
            </w:pPr>
            <w:r>
              <w:rPr>
                <w:sz w:val="21"/>
              </w:rPr>
              <w:t>技计划（专项、基金等）任务和资金使用情况的日常管理和监督。建立科研成果评价监督制度，强化责任； 加强对财政科技资金管理使用的审计监督，对发现的违法违规行为要坚决予以查处，查处结果向社会公开， 发挥警示教育作用。</w:t>
            </w:r>
          </w:p>
          <w:p>
            <w:pPr>
              <w:pStyle w:val="8"/>
              <w:spacing w:line="267" w:lineRule="exact"/>
              <w:ind w:left="13"/>
              <w:rPr>
                <w:b/>
                <w:sz w:val="21"/>
              </w:rPr>
            </w:pPr>
            <w:r>
              <w:rPr>
                <w:b/>
                <w:sz w:val="21"/>
              </w:rPr>
              <w:t>《国家科学技术奖励条例》</w:t>
            </w:r>
          </w:p>
          <w:p>
            <w:pPr>
              <w:pStyle w:val="8"/>
              <w:spacing w:before="91" w:line="321" w:lineRule="auto"/>
              <w:ind w:left="13" w:right="5" w:firstLine="420"/>
              <w:jc w:val="both"/>
              <w:rPr>
                <w:sz w:val="21"/>
              </w:rPr>
            </w:pPr>
            <w:r>
              <w:rPr>
                <w:spacing w:val="-9"/>
                <w:sz w:val="21"/>
              </w:rPr>
              <w:t>第二十一条 剽窃、侵夺他人的发现、发明或者其他科学技术成果的，或者以其他不正当手段骗取国家科学技术奖的，由国务院科学技术行政部门报国务院批准后撤销奖励，追回奖金。</w:t>
            </w:r>
          </w:p>
          <w:p>
            <w:pPr>
              <w:pStyle w:val="8"/>
              <w:spacing w:line="321" w:lineRule="auto"/>
              <w:ind w:left="13" w:right="5" w:firstLine="420"/>
              <w:jc w:val="both"/>
              <w:rPr>
                <w:sz w:val="21"/>
              </w:rPr>
            </w:pPr>
            <w:r>
              <w:rPr>
                <w:spacing w:val="-8"/>
                <w:sz w:val="21"/>
              </w:rPr>
              <w:t>第二十二条 推荐的单位和个人提供虚假数据、材料，协助他人骗取国家科学技术奖的，由国务院科学技术行政部门通报批评；情节严重的，暂停或者取消其推荐资格；对负有直接责任的主管人员和其他直接责任人员，依法给予行政处分。</w:t>
            </w:r>
          </w:p>
          <w:p>
            <w:pPr>
              <w:pStyle w:val="8"/>
              <w:spacing w:line="267" w:lineRule="exact"/>
              <w:ind w:left="13"/>
              <w:jc w:val="both"/>
              <w:rPr>
                <w:b/>
                <w:sz w:val="21"/>
              </w:rPr>
            </w:pPr>
            <w:r>
              <w:rPr>
                <w:b/>
                <w:sz w:val="21"/>
              </w:rPr>
              <w:t xml:space="preserve">《高等学校预防与处理学术不端行为办法》（教育部令第 </w:t>
            </w:r>
            <w:r>
              <w:rPr>
                <w:rFonts w:ascii="Times New Roman" w:eastAsia="Times New Roman"/>
                <w:b/>
                <w:sz w:val="21"/>
              </w:rPr>
              <w:t xml:space="preserve">40 </w:t>
            </w:r>
            <w:r>
              <w:rPr>
                <w:b/>
                <w:sz w:val="21"/>
              </w:rPr>
              <w:t>号）</w:t>
            </w:r>
          </w:p>
          <w:p>
            <w:pPr>
              <w:pStyle w:val="8"/>
              <w:spacing w:before="90" w:line="321" w:lineRule="auto"/>
              <w:ind w:left="13" w:right="3" w:firstLine="420"/>
              <w:rPr>
                <w:sz w:val="21"/>
              </w:rPr>
            </w:pPr>
            <w:r>
              <w:rPr>
                <w:spacing w:val="-6"/>
                <w:sz w:val="21"/>
              </w:rPr>
              <w:t>第二十九条 高等学校应当根据学术委员会的认定结论和处理建议，结合行为性质和情节轻重，依职权和规定程序对学术不端行为责任人作出如下处理：</w:t>
            </w:r>
          </w:p>
          <w:p>
            <w:pPr>
              <w:pStyle w:val="8"/>
              <w:spacing w:line="268" w:lineRule="exact"/>
              <w:ind w:left="433"/>
              <w:rPr>
                <w:sz w:val="21"/>
              </w:rPr>
            </w:pPr>
            <w:r>
              <w:rPr>
                <w:sz w:val="21"/>
              </w:rPr>
              <w:t>（一）通报批评；</w:t>
            </w:r>
          </w:p>
          <w:p>
            <w:pPr>
              <w:pStyle w:val="8"/>
              <w:spacing w:before="91"/>
              <w:ind w:left="433"/>
              <w:rPr>
                <w:sz w:val="21"/>
              </w:rPr>
            </w:pPr>
            <w:r>
              <w:rPr>
                <w:sz w:val="21"/>
              </w:rPr>
              <w:t>（二）终止或者撤销相关的科研项目，并在一定期限内取消申请资格；</w:t>
            </w:r>
          </w:p>
          <w:p>
            <w:pPr>
              <w:pStyle w:val="8"/>
              <w:spacing w:before="91"/>
              <w:ind w:left="433"/>
              <w:rPr>
                <w:sz w:val="21"/>
              </w:rPr>
            </w:pPr>
            <w:r>
              <w:rPr>
                <w:sz w:val="21"/>
              </w:rPr>
              <w:t>（三）撤销学术奖励或者荣誉称号；</w:t>
            </w:r>
          </w:p>
          <w:p>
            <w:pPr>
              <w:pStyle w:val="8"/>
              <w:spacing w:before="91"/>
              <w:ind w:left="433"/>
              <w:rPr>
                <w:sz w:val="21"/>
              </w:rPr>
            </w:pPr>
            <w:r>
              <w:rPr>
                <w:sz w:val="21"/>
              </w:rPr>
              <w:t>（四）辞退或解聘；</w:t>
            </w:r>
          </w:p>
          <w:p>
            <w:pPr>
              <w:pStyle w:val="8"/>
              <w:spacing w:before="91"/>
              <w:ind w:left="433"/>
              <w:rPr>
                <w:sz w:val="21"/>
              </w:rPr>
            </w:pPr>
            <w:r>
              <w:rPr>
                <w:sz w:val="21"/>
              </w:rPr>
              <w:t>（五）法律、法规及规章规定的其他处理措施。</w:t>
            </w:r>
          </w:p>
          <w:p>
            <w:pPr>
              <w:pStyle w:val="8"/>
              <w:spacing w:before="91"/>
              <w:ind w:left="539"/>
              <w:rPr>
                <w:sz w:val="21"/>
              </w:rPr>
            </w:pPr>
            <w:r>
              <w:rPr>
                <w:sz w:val="21"/>
              </w:rPr>
              <w:t>同时，可以依照有关规定，给予警告、记过、降低岗位等级或者撤职、开除等处分。</w:t>
            </w:r>
          </w:p>
          <w:p>
            <w:pPr>
              <w:pStyle w:val="8"/>
              <w:spacing w:before="90" w:line="321" w:lineRule="auto"/>
              <w:ind w:left="13" w:right="3" w:firstLine="525"/>
              <w:rPr>
                <w:sz w:val="21"/>
              </w:rPr>
            </w:pPr>
            <w:r>
              <w:rPr>
                <w:spacing w:val="-4"/>
                <w:w w:val="95"/>
                <w:sz w:val="21"/>
              </w:rPr>
              <w:t>学术不端行为责任人获得有关部门、机构设立的科研项目、学术奖励或者荣誉称号等利益的，学校应当</w:t>
            </w:r>
            <w:r>
              <w:rPr>
                <w:spacing w:val="-4"/>
                <w:sz w:val="21"/>
              </w:rPr>
              <w:t>同时向有关主管部门提出处理建议。</w:t>
            </w:r>
          </w:p>
          <w:p>
            <w:pPr>
              <w:pStyle w:val="8"/>
              <w:spacing w:line="268" w:lineRule="exact"/>
              <w:ind w:left="539"/>
              <w:rPr>
                <w:sz w:val="21"/>
              </w:rPr>
            </w:pPr>
            <w:r>
              <w:rPr>
                <w:sz w:val="21"/>
              </w:rPr>
              <w:t>学生有学术不端行为的，还应当按照学生管理的有关规定，给予相应的学籍处分。</w:t>
            </w:r>
          </w:p>
          <w:p>
            <w:pPr>
              <w:pStyle w:val="8"/>
              <w:spacing w:line="360" w:lineRule="atLeast"/>
              <w:ind w:left="13" w:right="3" w:firstLine="525"/>
              <w:rPr>
                <w:sz w:val="21"/>
              </w:rPr>
            </w:pPr>
            <w:r>
              <w:rPr>
                <w:spacing w:val="-5"/>
                <w:w w:val="95"/>
                <w:sz w:val="21"/>
              </w:rPr>
              <w:t>学术不端行为与获得学位有直接关联的，由学位授予单位作暂缓授予学位、不授予学位或者依法撤销学</w:t>
            </w:r>
            <w:r>
              <w:rPr>
                <w:spacing w:val="-5"/>
                <w:sz w:val="21"/>
              </w:rPr>
              <w:t>位等处理。</w:t>
            </w:r>
          </w:p>
        </w:tc>
        <w:tc>
          <w:tcPr>
            <w:tcW w:w="1972" w:type="dxa"/>
          </w:tcPr>
          <w:p>
            <w:pPr>
              <w:pStyle w:val="8"/>
              <w:rPr>
                <w:rFonts w:ascii="Times New Roman"/>
                <w:sz w:val="20"/>
              </w:rPr>
            </w:pPr>
          </w:p>
        </w:tc>
      </w:tr>
    </w:tbl>
    <w:p>
      <w:pPr>
        <w:spacing w:after="0"/>
        <w:rPr>
          <w:rFonts w:ascii="Times New Roman"/>
          <w:sz w:val="20"/>
        </w:rPr>
        <w:sectPr>
          <w:pgSz w:w="16840" w:h="11910" w:orient="landscape"/>
          <w:pgMar w:top="1100" w:right="960" w:bottom="1160" w:left="1700" w:header="0" w:footer="979" w:gutter="0"/>
        </w:sectPr>
      </w:pPr>
    </w:p>
    <w:p>
      <w:pPr>
        <w:pStyle w:val="3"/>
        <w:rPr>
          <w:rFonts w:ascii="Times New Roman"/>
          <w:sz w:val="29"/>
        </w:rPr>
      </w:pPr>
    </w:p>
    <w:tbl>
      <w:tblPr>
        <w:tblStyle w:val="4"/>
        <w:tblW w:w="0" w:type="auto"/>
        <w:tblInd w:w="34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43"/>
        <w:gridCol w:w="9922"/>
        <w:gridCol w:w="197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 w:hRule="atLeast"/>
        </w:trPr>
        <w:tc>
          <w:tcPr>
            <w:tcW w:w="1743" w:type="dxa"/>
          </w:tcPr>
          <w:p>
            <w:pPr>
              <w:pStyle w:val="8"/>
              <w:spacing w:before="63" w:line="438" w:lineRule="exact"/>
              <w:ind w:left="271"/>
              <w:rPr>
                <w:rFonts w:hint="eastAsia" w:ascii="Arial Unicode MS" w:eastAsia="Arial Unicode MS"/>
                <w:sz w:val="30"/>
              </w:rPr>
            </w:pPr>
            <w:r>
              <w:rPr>
                <w:rFonts w:hint="eastAsia" w:ascii="Arial Unicode MS" w:eastAsia="Arial Unicode MS"/>
                <w:sz w:val="30"/>
              </w:rPr>
              <w:t>惩戒措施</w:t>
            </w:r>
          </w:p>
        </w:tc>
        <w:tc>
          <w:tcPr>
            <w:tcW w:w="9922" w:type="dxa"/>
          </w:tcPr>
          <w:p>
            <w:pPr>
              <w:pStyle w:val="8"/>
              <w:spacing w:line="502" w:lineRule="exact"/>
              <w:ind w:left="3886" w:right="3885"/>
              <w:jc w:val="center"/>
              <w:rPr>
                <w:rFonts w:hint="eastAsia" w:ascii="Arial Unicode MS" w:eastAsia="Arial Unicode MS"/>
                <w:sz w:val="30"/>
              </w:rPr>
            </w:pPr>
            <w:r>
              <w:rPr>
                <w:rFonts w:hint="eastAsia" w:ascii="Arial Unicode MS" w:eastAsia="Arial Unicode MS"/>
                <w:sz w:val="30"/>
              </w:rPr>
              <w:t>法律及政策依据</w:t>
            </w:r>
          </w:p>
        </w:tc>
        <w:tc>
          <w:tcPr>
            <w:tcW w:w="1972" w:type="dxa"/>
          </w:tcPr>
          <w:p>
            <w:pPr>
              <w:pStyle w:val="8"/>
              <w:spacing w:line="502" w:lineRule="exact"/>
              <w:ind w:left="380"/>
              <w:rPr>
                <w:rFonts w:hint="eastAsia" w:ascii="Arial Unicode MS" w:eastAsia="Arial Unicode MS"/>
                <w:sz w:val="30"/>
              </w:rPr>
            </w:pPr>
            <w:r>
              <w:rPr>
                <w:rFonts w:hint="eastAsia" w:ascii="Arial Unicode MS" w:eastAsia="Arial Unicode MS"/>
                <w:sz w:val="30"/>
              </w:rPr>
              <w:t>实施部门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08" w:hRule="atLeast"/>
        </w:trPr>
        <w:tc>
          <w:tcPr>
            <w:tcW w:w="1743" w:type="dxa"/>
          </w:tcPr>
          <w:p>
            <w:pPr>
              <w:pStyle w:val="8"/>
              <w:rPr>
                <w:rFonts w:ascii="Times New Roman"/>
                <w:sz w:val="20"/>
              </w:rPr>
            </w:pPr>
          </w:p>
        </w:tc>
        <w:tc>
          <w:tcPr>
            <w:tcW w:w="9922" w:type="dxa"/>
          </w:tcPr>
          <w:p>
            <w:pPr>
              <w:pStyle w:val="8"/>
              <w:spacing w:before="60"/>
              <w:ind w:left="13"/>
              <w:rPr>
                <w:b/>
                <w:sz w:val="21"/>
              </w:rPr>
            </w:pPr>
            <w:r>
              <w:rPr>
                <w:b/>
                <w:sz w:val="21"/>
              </w:rPr>
              <w:t xml:space="preserve">《国家科技计划项目管理暂行办法》（科学技术部令第 </w:t>
            </w:r>
            <w:r>
              <w:rPr>
                <w:rFonts w:ascii="Times New Roman" w:eastAsia="Times New Roman"/>
                <w:b/>
                <w:sz w:val="21"/>
              </w:rPr>
              <w:t xml:space="preserve">5 </w:t>
            </w:r>
            <w:r>
              <w:rPr>
                <w:b/>
                <w:sz w:val="21"/>
              </w:rPr>
              <w:t>号）</w:t>
            </w:r>
          </w:p>
          <w:p>
            <w:pPr>
              <w:pStyle w:val="8"/>
              <w:spacing w:before="91"/>
              <w:ind w:left="433"/>
              <w:rPr>
                <w:sz w:val="21"/>
              </w:rPr>
            </w:pPr>
            <w:r>
              <w:rPr>
                <w:sz w:val="21"/>
              </w:rPr>
              <w:t>第八条 申请项目的申请者（包括单位或个人）应当符合以下基本条件：</w:t>
            </w:r>
          </w:p>
          <w:p>
            <w:pPr>
              <w:pStyle w:val="8"/>
              <w:spacing w:before="91"/>
              <w:ind w:left="433"/>
              <w:rPr>
                <w:sz w:val="21"/>
              </w:rPr>
            </w:pPr>
            <w:r>
              <w:rPr>
                <w:sz w:val="21"/>
              </w:rPr>
              <w:t>（一）符合该计划对申请者的主体资格（包括法人性质、经济性质、国籍）等方面要求；</w:t>
            </w:r>
          </w:p>
          <w:p>
            <w:pPr>
              <w:pStyle w:val="8"/>
              <w:spacing w:before="91"/>
              <w:ind w:left="433"/>
              <w:rPr>
                <w:sz w:val="21"/>
              </w:rPr>
            </w:pPr>
            <w:r>
              <w:rPr>
                <w:sz w:val="21"/>
              </w:rPr>
              <w:t>（二）在相关研究领域和专业应具有一定的学术地位和技术优势；</w:t>
            </w:r>
          </w:p>
          <w:p>
            <w:pPr>
              <w:pStyle w:val="8"/>
              <w:spacing w:before="91"/>
              <w:ind w:left="433"/>
              <w:rPr>
                <w:sz w:val="21"/>
              </w:rPr>
            </w:pPr>
            <w:r>
              <w:rPr>
                <w:sz w:val="21"/>
              </w:rPr>
              <w:t>（三）具有为完成项目必备的人才条件和技术装备；</w:t>
            </w:r>
          </w:p>
          <w:p>
            <w:pPr>
              <w:pStyle w:val="8"/>
              <w:spacing w:before="91"/>
              <w:ind w:left="433"/>
              <w:rPr>
                <w:sz w:val="21"/>
              </w:rPr>
            </w:pPr>
            <w:r>
              <w:rPr>
                <w:sz w:val="21"/>
              </w:rPr>
              <w:t>（四）具有与项目相关的研究经历和研究积累；</w:t>
            </w:r>
          </w:p>
          <w:p>
            <w:pPr>
              <w:pStyle w:val="8"/>
              <w:spacing w:before="91"/>
              <w:ind w:left="433"/>
              <w:rPr>
                <w:sz w:val="21"/>
              </w:rPr>
            </w:pPr>
            <w:r>
              <w:rPr>
                <w:sz w:val="21"/>
              </w:rPr>
              <w:t>（五）具有完成项目所需的组织管理和协调能力；</w:t>
            </w:r>
          </w:p>
          <w:p>
            <w:pPr>
              <w:pStyle w:val="8"/>
              <w:spacing w:before="91"/>
              <w:ind w:left="433"/>
              <w:rPr>
                <w:sz w:val="21"/>
              </w:rPr>
            </w:pPr>
            <w:r>
              <w:rPr>
                <w:sz w:val="21"/>
              </w:rPr>
              <w:t>（六）具有完成项目的良好信誉度。</w:t>
            </w:r>
          </w:p>
          <w:p>
            <w:pPr>
              <w:pStyle w:val="8"/>
              <w:spacing w:before="91"/>
              <w:ind w:left="13"/>
              <w:rPr>
                <w:b/>
                <w:sz w:val="21"/>
              </w:rPr>
            </w:pPr>
            <w:r>
              <w:rPr>
                <w:b/>
                <w:sz w:val="21"/>
              </w:rPr>
              <w:t xml:space="preserve">《国家科技计划实施中科研不端行为处理办法（试行）》（科学技术部令第 </w:t>
            </w:r>
            <w:r>
              <w:rPr>
                <w:rFonts w:ascii="Times New Roman" w:eastAsia="Times New Roman"/>
                <w:b/>
                <w:sz w:val="21"/>
              </w:rPr>
              <w:t xml:space="preserve">11 </w:t>
            </w:r>
            <w:r>
              <w:rPr>
                <w:b/>
                <w:sz w:val="21"/>
              </w:rPr>
              <w:t>号）</w:t>
            </w:r>
          </w:p>
          <w:p>
            <w:pPr>
              <w:pStyle w:val="8"/>
              <w:spacing w:before="91"/>
              <w:ind w:left="433"/>
              <w:rPr>
                <w:sz w:val="21"/>
              </w:rPr>
            </w:pPr>
            <w:r>
              <w:rPr>
                <w:sz w:val="21"/>
              </w:rPr>
              <w:t>第十三条 科学技术部应当根据其权限和科研不端行为的情节轻重，对科研不端行为人做出如下处罚：</w:t>
            </w:r>
          </w:p>
          <w:p>
            <w:pPr>
              <w:pStyle w:val="8"/>
              <w:spacing w:before="90"/>
              <w:ind w:left="433"/>
              <w:rPr>
                <w:sz w:val="21"/>
              </w:rPr>
            </w:pPr>
            <w:r>
              <w:rPr>
                <w:sz w:val="21"/>
              </w:rPr>
              <w:t>（一）警告；</w:t>
            </w:r>
          </w:p>
          <w:p>
            <w:pPr>
              <w:pStyle w:val="8"/>
              <w:spacing w:before="91"/>
              <w:ind w:left="433"/>
              <w:rPr>
                <w:sz w:val="21"/>
              </w:rPr>
            </w:pPr>
            <w:r>
              <w:rPr>
                <w:sz w:val="21"/>
              </w:rPr>
              <w:t>（二）在一定范围内通报批评；</w:t>
            </w:r>
          </w:p>
          <w:p>
            <w:pPr>
              <w:pStyle w:val="8"/>
              <w:spacing w:before="91"/>
              <w:ind w:left="433"/>
              <w:rPr>
                <w:sz w:val="21"/>
              </w:rPr>
            </w:pPr>
            <w:r>
              <w:rPr>
                <w:sz w:val="21"/>
              </w:rPr>
              <w:t>（三）中止项目，并责令限期改正；</w:t>
            </w:r>
          </w:p>
          <w:p>
            <w:pPr>
              <w:pStyle w:val="8"/>
              <w:spacing w:before="91"/>
              <w:ind w:left="433"/>
              <w:rPr>
                <w:sz w:val="21"/>
              </w:rPr>
            </w:pPr>
            <w:r>
              <w:rPr>
                <w:sz w:val="21"/>
              </w:rPr>
              <w:t>（四）终止项目，收缴剩余项目经费，追缴已拨付项目经费；</w:t>
            </w:r>
          </w:p>
          <w:p>
            <w:pPr>
              <w:pStyle w:val="8"/>
              <w:spacing w:before="91"/>
              <w:ind w:left="433"/>
              <w:rPr>
                <w:sz w:val="21"/>
              </w:rPr>
            </w:pPr>
            <w:r>
              <w:rPr>
                <w:sz w:val="21"/>
              </w:rPr>
              <w:t>（五）在一定期限内，不接受其国家科技计划项目的申请。</w:t>
            </w:r>
          </w:p>
          <w:p>
            <w:pPr>
              <w:pStyle w:val="8"/>
              <w:spacing w:before="91" w:line="321" w:lineRule="auto"/>
              <w:ind w:left="433" w:right="2700" w:hanging="420"/>
              <w:rPr>
                <w:sz w:val="21"/>
              </w:rPr>
            </w:pPr>
            <w:r>
              <w:rPr>
                <w:b/>
                <w:sz w:val="21"/>
              </w:rPr>
              <w:t>《科技部 财政部 国家税务总局关于印发</w:t>
            </w:r>
            <w:r>
              <w:rPr>
                <w:rFonts w:ascii="Times New Roman" w:eastAsia="Times New Roman"/>
                <w:b/>
                <w:sz w:val="21"/>
              </w:rPr>
              <w:t>&lt;</w:t>
            </w:r>
            <w:r>
              <w:rPr>
                <w:b/>
                <w:sz w:val="21"/>
              </w:rPr>
              <w:t>科技型中小企业评价办法</w:t>
            </w:r>
            <w:r>
              <w:rPr>
                <w:rFonts w:ascii="Times New Roman" w:eastAsia="Times New Roman"/>
                <w:b/>
                <w:sz w:val="21"/>
              </w:rPr>
              <w:t>&gt;</w:t>
            </w:r>
            <w:r>
              <w:rPr>
                <w:b/>
                <w:sz w:val="21"/>
              </w:rPr>
              <w:t>的通知》</w:t>
            </w:r>
            <w:r>
              <w:rPr>
                <w:sz w:val="21"/>
              </w:rPr>
              <w:t>第六条 科技型中小企业须同时满足以下条件：</w:t>
            </w:r>
          </w:p>
          <w:p>
            <w:pPr>
              <w:pStyle w:val="8"/>
              <w:spacing w:line="268" w:lineRule="exact"/>
              <w:ind w:left="433"/>
              <w:rPr>
                <w:sz w:val="21"/>
              </w:rPr>
            </w:pPr>
            <w:r>
              <w:rPr>
                <w:sz w:val="21"/>
              </w:rPr>
              <w:t>（一）在中国境内（不包括港、澳、台地区）注册的居民企业。</w:t>
            </w:r>
          </w:p>
          <w:p>
            <w:pPr>
              <w:pStyle w:val="8"/>
              <w:spacing w:before="91"/>
              <w:ind w:left="433"/>
              <w:rPr>
                <w:sz w:val="21"/>
              </w:rPr>
            </w:pPr>
            <w:r>
              <w:rPr>
                <w:sz w:val="21"/>
              </w:rPr>
              <w:t xml:space="preserve">（二）职工总数不超过 </w:t>
            </w:r>
            <w:r>
              <w:rPr>
                <w:rFonts w:ascii="Times New Roman" w:eastAsia="Times New Roman"/>
                <w:sz w:val="21"/>
              </w:rPr>
              <w:t xml:space="preserve">500 </w:t>
            </w:r>
            <w:r>
              <w:rPr>
                <w:sz w:val="21"/>
              </w:rPr>
              <w:t xml:space="preserve">人、年销售收入不超过 </w:t>
            </w:r>
            <w:r>
              <w:rPr>
                <w:rFonts w:ascii="Times New Roman" w:eastAsia="Times New Roman"/>
                <w:sz w:val="21"/>
              </w:rPr>
              <w:t xml:space="preserve">2 </w:t>
            </w:r>
            <w:r>
              <w:rPr>
                <w:sz w:val="21"/>
              </w:rPr>
              <w:t xml:space="preserve">亿元、资产总额不超过 </w:t>
            </w:r>
            <w:r>
              <w:rPr>
                <w:rFonts w:ascii="Times New Roman" w:eastAsia="Times New Roman"/>
                <w:sz w:val="21"/>
              </w:rPr>
              <w:t xml:space="preserve">2 </w:t>
            </w:r>
            <w:r>
              <w:rPr>
                <w:sz w:val="21"/>
              </w:rPr>
              <w:t>亿元。</w:t>
            </w:r>
          </w:p>
          <w:p>
            <w:pPr>
              <w:pStyle w:val="8"/>
              <w:spacing w:before="91"/>
              <w:ind w:left="433"/>
              <w:rPr>
                <w:sz w:val="21"/>
              </w:rPr>
            </w:pPr>
            <w:r>
              <w:rPr>
                <w:sz w:val="21"/>
              </w:rPr>
              <w:t>（三）企业提供的产品和服务不属于国家规定的禁止、限制和淘汰类。</w:t>
            </w:r>
          </w:p>
          <w:p>
            <w:pPr>
              <w:pStyle w:val="8"/>
              <w:spacing w:before="91" w:line="321" w:lineRule="auto"/>
              <w:ind w:left="13" w:right="108" w:firstLine="420"/>
              <w:rPr>
                <w:sz w:val="21"/>
              </w:rPr>
            </w:pPr>
            <w:r>
              <w:rPr>
                <w:w w:val="95"/>
                <w:sz w:val="21"/>
              </w:rPr>
              <w:t>（四</w:t>
            </w:r>
            <w:r>
              <w:rPr>
                <w:spacing w:val="-27"/>
                <w:w w:val="95"/>
                <w:sz w:val="21"/>
              </w:rPr>
              <w:t>）</w:t>
            </w:r>
            <w:r>
              <w:rPr>
                <w:spacing w:val="-3"/>
                <w:w w:val="95"/>
                <w:sz w:val="21"/>
              </w:rPr>
              <w:t>企业在填报上一年及当年内未发生重大安全、重大质量事故和严重环境违法、科研严重失信行为</w:t>
            </w:r>
            <w:r>
              <w:rPr>
                <w:spacing w:val="-3"/>
                <w:sz w:val="21"/>
              </w:rPr>
              <w:t>且企业未列入经营异常名录和严重违法失信企业名单。</w:t>
            </w:r>
          </w:p>
          <w:p>
            <w:pPr>
              <w:pStyle w:val="8"/>
              <w:spacing w:line="268" w:lineRule="exact"/>
              <w:ind w:left="433"/>
              <w:rPr>
                <w:sz w:val="21"/>
              </w:rPr>
            </w:pPr>
            <w:r>
              <w:rPr>
                <w:sz w:val="21"/>
              </w:rPr>
              <w:t>（五</w:t>
            </w:r>
            <w:r>
              <w:rPr>
                <w:spacing w:val="-41"/>
                <w:sz w:val="21"/>
              </w:rPr>
              <w:t>）</w:t>
            </w:r>
            <w:r>
              <w:rPr>
                <w:spacing w:val="-3"/>
                <w:sz w:val="21"/>
              </w:rPr>
              <w:t xml:space="preserve">企业根据科技型中小企业评价指标进行综合评价所得分值不低于 </w:t>
            </w:r>
            <w:r>
              <w:rPr>
                <w:rFonts w:ascii="Times New Roman" w:eastAsia="Times New Roman"/>
                <w:sz w:val="21"/>
              </w:rPr>
              <w:t xml:space="preserve">60 </w:t>
            </w:r>
            <w:r>
              <w:rPr>
                <w:spacing w:val="-7"/>
                <w:sz w:val="21"/>
              </w:rPr>
              <w:t>分，且科技人员指标得分不得</w:t>
            </w:r>
          </w:p>
        </w:tc>
        <w:tc>
          <w:tcPr>
            <w:tcW w:w="1972" w:type="dxa"/>
          </w:tcPr>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spacing w:before="131"/>
              <w:ind w:left="-119"/>
              <w:rPr>
                <w:sz w:val="21"/>
              </w:rPr>
            </w:pPr>
            <w:r>
              <w:rPr>
                <w:w w:val="99"/>
                <w:sz w:val="21"/>
              </w:rPr>
              <w:t>，</w:t>
            </w:r>
          </w:p>
        </w:tc>
      </w:tr>
    </w:tbl>
    <w:p>
      <w:pPr>
        <w:spacing w:after="0"/>
        <w:rPr>
          <w:sz w:val="21"/>
        </w:rPr>
        <w:sectPr>
          <w:pgSz w:w="16840" w:h="11910" w:orient="landscape"/>
          <w:pgMar w:top="1100" w:right="960" w:bottom="1160" w:left="1700" w:header="0" w:footer="979" w:gutter="0"/>
        </w:sectPr>
      </w:pPr>
    </w:p>
    <w:p>
      <w:pPr>
        <w:pStyle w:val="3"/>
        <w:rPr>
          <w:rFonts w:ascii="Times New Roman"/>
          <w:sz w:val="29"/>
        </w:rPr>
      </w:pPr>
    </w:p>
    <w:tbl>
      <w:tblPr>
        <w:tblStyle w:val="4"/>
        <w:tblW w:w="0" w:type="auto"/>
        <w:tblInd w:w="34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43"/>
        <w:gridCol w:w="9922"/>
        <w:gridCol w:w="197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 w:hRule="atLeast"/>
        </w:trPr>
        <w:tc>
          <w:tcPr>
            <w:tcW w:w="1743" w:type="dxa"/>
          </w:tcPr>
          <w:p>
            <w:pPr>
              <w:pStyle w:val="8"/>
              <w:spacing w:before="63" w:line="438" w:lineRule="exact"/>
              <w:ind w:left="271"/>
              <w:rPr>
                <w:rFonts w:hint="eastAsia" w:ascii="Arial Unicode MS" w:eastAsia="Arial Unicode MS"/>
                <w:sz w:val="30"/>
              </w:rPr>
            </w:pPr>
            <w:r>
              <w:rPr>
                <w:rFonts w:hint="eastAsia" w:ascii="Arial Unicode MS" w:eastAsia="Arial Unicode MS"/>
                <w:sz w:val="30"/>
              </w:rPr>
              <w:t>惩戒措施</w:t>
            </w:r>
          </w:p>
        </w:tc>
        <w:tc>
          <w:tcPr>
            <w:tcW w:w="9922" w:type="dxa"/>
          </w:tcPr>
          <w:p>
            <w:pPr>
              <w:pStyle w:val="8"/>
              <w:spacing w:line="502" w:lineRule="exact"/>
              <w:ind w:left="3886" w:right="3885"/>
              <w:jc w:val="center"/>
              <w:rPr>
                <w:rFonts w:hint="eastAsia" w:ascii="Arial Unicode MS" w:eastAsia="Arial Unicode MS"/>
                <w:sz w:val="30"/>
              </w:rPr>
            </w:pPr>
            <w:r>
              <w:rPr>
                <w:rFonts w:hint="eastAsia" w:ascii="Arial Unicode MS" w:eastAsia="Arial Unicode MS"/>
                <w:sz w:val="30"/>
              </w:rPr>
              <w:t>法律及政策依据</w:t>
            </w:r>
          </w:p>
        </w:tc>
        <w:tc>
          <w:tcPr>
            <w:tcW w:w="1972" w:type="dxa"/>
          </w:tcPr>
          <w:p>
            <w:pPr>
              <w:pStyle w:val="8"/>
              <w:spacing w:line="502" w:lineRule="exact"/>
              <w:ind w:left="380"/>
              <w:rPr>
                <w:rFonts w:hint="eastAsia" w:ascii="Arial Unicode MS" w:eastAsia="Arial Unicode MS"/>
                <w:sz w:val="30"/>
              </w:rPr>
            </w:pPr>
            <w:r>
              <w:rPr>
                <w:rFonts w:hint="eastAsia" w:ascii="Arial Unicode MS" w:eastAsia="Arial Unicode MS"/>
                <w:sz w:val="30"/>
              </w:rPr>
              <w:t>实施部门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08" w:hRule="atLeast"/>
        </w:trPr>
        <w:tc>
          <w:tcPr>
            <w:tcW w:w="1743" w:type="dxa"/>
          </w:tcPr>
          <w:p>
            <w:pPr>
              <w:pStyle w:val="8"/>
              <w:rPr>
                <w:rFonts w:ascii="Times New Roman"/>
                <w:sz w:val="20"/>
              </w:rPr>
            </w:pPr>
          </w:p>
        </w:tc>
        <w:tc>
          <w:tcPr>
            <w:tcW w:w="9922" w:type="dxa"/>
          </w:tcPr>
          <w:p>
            <w:pPr>
              <w:pStyle w:val="8"/>
              <w:spacing w:before="60"/>
              <w:ind w:left="13"/>
              <w:rPr>
                <w:sz w:val="21"/>
              </w:rPr>
            </w:pPr>
            <w:r>
              <w:rPr>
                <w:sz w:val="21"/>
              </w:rPr>
              <w:t xml:space="preserve">为 </w:t>
            </w:r>
            <w:r>
              <w:rPr>
                <w:rFonts w:ascii="Times New Roman" w:eastAsia="Times New Roman"/>
                <w:sz w:val="21"/>
              </w:rPr>
              <w:t xml:space="preserve">0 </w:t>
            </w:r>
            <w:r>
              <w:rPr>
                <w:sz w:val="21"/>
              </w:rPr>
              <w:t>分。</w:t>
            </w:r>
          </w:p>
          <w:p>
            <w:pPr>
              <w:pStyle w:val="8"/>
              <w:spacing w:before="91" w:line="321" w:lineRule="auto"/>
              <w:ind w:left="13" w:right="5" w:firstLine="420"/>
              <w:rPr>
                <w:sz w:val="21"/>
              </w:rPr>
            </w:pPr>
            <w:r>
              <w:rPr>
                <w:spacing w:val="-9"/>
                <w:sz w:val="21"/>
              </w:rPr>
              <w:t>第十四条 已入库企业有下列行为之一的，由省级科技管理部门撤销其行为发生年度登记编号并在服务平台上公告：</w:t>
            </w:r>
          </w:p>
          <w:p>
            <w:pPr>
              <w:pStyle w:val="8"/>
              <w:spacing w:line="268" w:lineRule="exact"/>
              <w:ind w:left="433"/>
              <w:rPr>
                <w:sz w:val="21"/>
              </w:rPr>
            </w:pPr>
            <w:r>
              <w:rPr>
                <w:sz w:val="21"/>
              </w:rPr>
              <w:t>（一）企业发生重大变化，不再符合第二章规定条件的；</w:t>
            </w:r>
          </w:p>
          <w:p>
            <w:pPr>
              <w:pStyle w:val="8"/>
              <w:spacing w:before="91"/>
              <w:ind w:left="433"/>
              <w:rPr>
                <w:sz w:val="21"/>
              </w:rPr>
            </w:pPr>
            <w:r>
              <w:rPr>
                <w:w w:val="95"/>
                <w:sz w:val="21"/>
              </w:rPr>
              <w:t>（二）存在严重弄虚作假行为的；</w:t>
            </w:r>
          </w:p>
          <w:p>
            <w:pPr>
              <w:pStyle w:val="8"/>
              <w:spacing w:before="91"/>
              <w:ind w:left="433"/>
              <w:rPr>
                <w:sz w:val="21"/>
              </w:rPr>
            </w:pPr>
            <w:r>
              <w:rPr>
                <w:w w:val="95"/>
                <w:sz w:val="21"/>
              </w:rPr>
              <w:t>（三）发生科研严重失信行为的；</w:t>
            </w:r>
          </w:p>
          <w:p>
            <w:pPr>
              <w:pStyle w:val="8"/>
              <w:spacing w:before="91"/>
              <w:ind w:left="433"/>
              <w:rPr>
                <w:sz w:val="21"/>
              </w:rPr>
            </w:pPr>
            <w:r>
              <w:rPr>
                <w:sz w:val="21"/>
              </w:rPr>
              <w:t>（四）发生重大安全、重大质量事故或有严重环境违法行为的；</w:t>
            </w:r>
          </w:p>
          <w:p>
            <w:pPr>
              <w:pStyle w:val="8"/>
              <w:spacing w:before="91"/>
              <w:ind w:left="433"/>
              <w:rPr>
                <w:sz w:val="21"/>
              </w:rPr>
            </w:pPr>
            <w:r>
              <w:rPr>
                <w:sz w:val="21"/>
              </w:rPr>
              <w:t>（五）被列入经营异常名录和严重违法失信企业名单的；</w:t>
            </w:r>
          </w:p>
          <w:p>
            <w:pPr>
              <w:pStyle w:val="8"/>
              <w:spacing w:before="91"/>
              <w:ind w:left="433"/>
              <w:rPr>
                <w:sz w:val="21"/>
              </w:rPr>
            </w:pPr>
            <w:r>
              <w:rPr>
                <w:sz w:val="21"/>
              </w:rPr>
              <w:t>（六）未按期更新《科技型中小企业信息表》信息的。</w:t>
            </w:r>
          </w:p>
          <w:p>
            <w:pPr>
              <w:pStyle w:val="8"/>
              <w:spacing w:before="91"/>
              <w:ind w:left="13"/>
              <w:rPr>
                <w:b/>
                <w:sz w:val="21"/>
              </w:rPr>
            </w:pPr>
            <w:r>
              <w:rPr>
                <w:b/>
                <w:sz w:val="21"/>
              </w:rPr>
              <w:t>《关于在国家科技计划管理中建立信用管理制度的决定》的通知</w:t>
            </w:r>
          </w:p>
          <w:p>
            <w:pPr>
              <w:pStyle w:val="8"/>
              <w:spacing w:before="91" w:line="321" w:lineRule="auto"/>
              <w:ind w:left="13" w:right="5" w:firstLine="420"/>
              <w:rPr>
                <w:sz w:val="21"/>
              </w:rPr>
            </w:pPr>
            <w:r>
              <w:rPr>
                <w:rFonts w:ascii="Times New Roman" w:eastAsia="Times New Roman"/>
                <w:sz w:val="21"/>
              </w:rPr>
              <w:t>13</w:t>
            </w:r>
            <w:r>
              <w:rPr>
                <w:sz w:val="21"/>
              </w:rPr>
              <w:t>．对于信用良好者，应采用适当措施给予鼓励；对于信用不良者，要加强监督管理，并根据情节轻重采取相应处罚措施。对于情节严重的失信行为，经核实后按规定程序予以公布，以示警戒。</w:t>
            </w:r>
          </w:p>
          <w:p>
            <w:pPr>
              <w:pStyle w:val="8"/>
              <w:spacing w:line="321" w:lineRule="auto"/>
              <w:ind w:left="13" w:right="-29"/>
              <w:rPr>
                <w:b/>
                <w:sz w:val="21"/>
              </w:rPr>
            </w:pPr>
            <w:r>
              <w:rPr>
                <w:b/>
                <w:spacing w:val="-2"/>
                <w:sz w:val="21"/>
              </w:rPr>
              <w:t>《科技部 发展改革委 教育部等关于印发</w:t>
            </w:r>
            <w:r>
              <w:rPr>
                <w:rFonts w:ascii="Times New Roman" w:eastAsia="Times New Roman"/>
                <w:b/>
                <w:sz w:val="21"/>
              </w:rPr>
              <w:t>&lt;</w:t>
            </w:r>
            <w:r>
              <w:rPr>
                <w:b/>
                <w:spacing w:val="-3"/>
                <w:sz w:val="21"/>
              </w:rPr>
              <w:t>国家科技计划</w:t>
            </w:r>
            <w:r>
              <w:rPr>
                <w:b/>
                <w:sz w:val="21"/>
              </w:rPr>
              <w:t>（</w:t>
            </w:r>
            <w:r>
              <w:rPr>
                <w:b/>
                <w:spacing w:val="-3"/>
                <w:sz w:val="21"/>
              </w:rPr>
              <w:t>专项、基金等</w:t>
            </w:r>
            <w:r>
              <w:rPr>
                <w:b/>
                <w:spacing w:val="-13"/>
                <w:sz w:val="21"/>
              </w:rPr>
              <w:t>）</w:t>
            </w:r>
            <w:r>
              <w:rPr>
                <w:b/>
                <w:sz w:val="21"/>
              </w:rPr>
              <w:t>严重失信行为记录暂行规定</w:t>
            </w:r>
            <w:r>
              <w:rPr>
                <w:rFonts w:ascii="Times New Roman" w:eastAsia="Times New Roman"/>
                <w:b/>
                <w:sz w:val="21"/>
              </w:rPr>
              <w:t>&gt;</w:t>
            </w:r>
            <w:r>
              <w:rPr>
                <w:b/>
                <w:sz w:val="21"/>
              </w:rPr>
              <w:t>的通知》</w:t>
            </w:r>
          </w:p>
          <w:p>
            <w:pPr>
              <w:pStyle w:val="8"/>
              <w:spacing w:line="321" w:lineRule="auto"/>
              <w:ind w:left="13" w:right="3" w:firstLine="420"/>
              <w:jc w:val="both"/>
              <w:rPr>
                <w:sz w:val="21"/>
              </w:rPr>
            </w:pPr>
            <w:r>
              <w:rPr>
                <w:spacing w:val="-7"/>
                <w:sz w:val="21"/>
              </w:rPr>
              <w:t>第十二条 对于列入严重失信行为记录的责任主体，按照科技计划和项目管理办法的相关规定，阶段性或永久取消其申请国家科技计划、项目或参与项目实施与管理的资格。同时，在后续科技计划和项目管理工作中，应当充分利用严重失信行为记录信息，对相关责任主体采取如下限制措施：</w:t>
            </w:r>
          </w:p>
          <w:p>
            <w:pPr>
              <w:pStyle w:val="8"/>
              <w:spacing w:line="321" w:lineRule="auto"/>
              <w:ind w:left="13" w:right="5" w:firstLine="420"/>
              <w:rPr>
                <w:sz w:val="21"/>
              </w:rPr>
            </w:pPr>
            <w:r>
              <w:rPr>
                <w:sz w:val="21"/>
              </w:rPr>
              <w:t>（一）在科研立项、评审专家遴选、项目管理专业机构确定、科研项目评估、科技奖励评审、间接费用核定、结余资金留用以及基地人才遴选中，将严重失信行为记录作为重要依据。</w:t>
            </w:r>
          </w:p>
          <w:p>
            <w:pPr>
              <w:pStyle w:val="8"/>
              <w:spacing w:line="321" w:lineRule="auto"/>
              <w:ind w:left="13" w:right="3" w:firstLine="420"/>
              <w:rPr>
                <w:sz w:val="21"/>
              </w:rPr>
            </w:pPr>
            <w:r>
              <w:rPr>
                <w:sz w:val="21"/>
              </w:rPr>
              <w:t>（二）</w:t>
            </w:r>
            <w:r>
              <w:rPr>
                <w:spacing w:val="-2"/>
                <w:sz w:val="21"/>
              </w:rPr>
              <w:t xml:space="preserve">对纳入严重失信行为记录的相关法人单位，以及违规违纪违法多发、频发，一年内有 </w:t>
            </w:r>
            <w:r>
              <w:rPr>
                <w:rFonts w:ascii="Times New Roman" w:eastAsia="Times New Roman"/>
                <w:sz w:val="21"/>
              </w:rPr>
              <w:t xml:space="preserve">2 </w:t>
            </w:r>
            <w:r>
              <w:rPr>
                <w:sz w:val="21"/>
              </w:rPr>
              <w:t>个及以上相关责任主体被纳入严重失信行为记录管理的法人单位作为项目实施监督的重要对象，加强监督和管理。</w:t>
            </w:r>
          </w:p>
          <w:p>
            <w:pPr>
              <w:pStyle w:val="8"/>
              <w:spacing w:line="268" w:lineRule="exact"/>
              <w:ind w:left="13"/>
              <w:rPr>
                <w:b/>
                <w:sz w:val="21"/>
              </w:rPr>
            </w:pPr>
            <w:r>
              <w:rPr>
                <w:b/>
                <w:sz w:val="21"/>
              </w:rPr>
              <w:t>《科技部 财政部关于印发</w:t>
            </w:r>
            <w:r>
              <w:rPr>
                <w:rFonts w:ascii="Times New Roman" w:eastAsia="Times New Roman"/>
                <w:b/>
                <w:sz w:val="21"/>
              </w:rPr>
              <w:t>&lt;</w:t>
            </w:r>
            <w:r>
              <w:rPr>
                <w:b/>
                <w:sz w:val="21"/>
              </w:rPr>
              <w:t>中央财政科技计划（专项、基金等）监督工作暂行规定</w:t>
            </w:r>
            <w:r>
              <w:rPr>
                <w:rFonts w:ascii="Times New Roman" w:eastAsia="Times New Roman"/>
                <w:b/>
                <w:sz w:val="21"/>
              </w:rPr>
              <w:t>&gt;</w:t>
            </w:r>
            <w:r>
              <w:rPr>
                <w:b/>
                <w:sz w:val="21"/>
              </w:rPr>
              <w:t>的通知》</w:t>
            </w:r>
          </w:p>
          <w:p>
            <w:pPr>
              <w:pStyle w:val="8"/>
              <w:spacing w:before="86"/>
              <w:ind w:left="431"/>
              <w:rPr>
                <w:sz w:val="21"/>
              </w:rPr>
            </w:pPr>
            <w:r>
              <w:rPr>
                <w:spacing w:val="-7"/>
                <w:sz w:val="21"/>
              </w:rPr>
              <w:t>第四十条 建立健全守信激励和失信惩戒机制。将信用等级作为项目管理专业机构遴选、项目立项及资金</w:t>
            </w:r>
          </w:p>
        </w:tc>
        <w:tc>
          <w:tcPr>
            <w:tcW w:w="1972" w:type="dxa"/>
          </w:tcPr>
          <w:p>
            <w:pPr>
              <w:pStyle w:val="8"/>
              <w:rPr>
                <w:rFonts w:ascii="Times New Roman"/>
                <w:sz w:val="20"/>
              </w:rPr>
            </w:pPr>
          </w:p>
        </w:tc>
      </w:tr>
    </w:tbl>
    <w:p>
      <w:pPr>
        <w:spacing w:after="0"/>
        <w:rPr>
          <w:rFonts w:ascii="Times New Roman"/>
          <w:sz w:val="20"/>
        </w:rPr>
        <w:sectPr>
          <w:pgSz w:w="16840" w:h="11910" w:orient="landscape"/>
          <w:pgMar w:top="1100" w:right="960" w:bottom="1160" w:left="1700" w:header="0" w:footer="979" w:gutter="0"/>
        </w:sectPr>
      </w:pPr>
    </w:p>
    <w:p>
      <w:pPr>
        <w:pStyle w:val="3"/>
        <w:rPr>
          <w:rFonts w:ascii="Times New Roman"/>
          <w:sz w:val="29"/>
        </w:rPr>
      </w:pPr>
    </w:p>
    <w:tbl>
      <w:tblPr>
        <w:tblStyle w:val="4"/>
        <w:tblW w:w="0" w:type="auto"/>
        <w:tblInd w:w="34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43"/>
        <w:gridCol w:w="9922"/>
        <w:gridCol w:w="197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 w:hRule="atLeast"/>
        </w:trPr>
        <w:tc>
          <w:tcPr>
            <w:tcW w:w="1743" w:type="dxa"/>
          </w:tcPr>
          <w:p>
            <w:pPr>
              <w:pStyle w:val="8"/>
              <w:spacing w:before="63" w:line="438" w:lineRule="exact"/>
              <w:ind w:left="271"/>
              <w:rPr>
                <w:rFonts w:hint="eastAsia" w:ascii="Arial Unicode MS" w:eastAsia="Arial Unicode MS"/>
                <w:sz w:val="30"/>
              </w:rPr>
            </w:pPr>
            <w:r>
              <w:rPr>
                <w:rFonts w:hint="eastAsia" w:ascii="Arial Unicode MS" w:eastAsia="Arial Unicode MS"/>
                <w:sz w:val="30"/>
              </w:rPr>
              <w:t>惩戒措施</w:t>
            </w:r>
          </w:p>
        </w:tc>
        <w:tc>
          <w:tcPr>
            <w:tcW w:w="9922" w:type="dxa"/>
          </w:tcPr>
          <w:p>
            <w:pPr>
              <w:pStyle w:val="8"/>
              <w:spacing w:line="502" w:lineRule="exact"/>
              <w:ind w:left="3886" w:right="3885"/>
              <w:jc w:val="center"/>
              <w:rPr>
                <w:rFonts w:hint="eastAsia" w:ascii="Arial Unicode MS" w:eastAsia="Arial Unicode MS"/>
                <w:sz w:val="30"/>
              </w:rPr>
            </w:pPr>
            <w:r>
              <w:rPr>
                <w:rFonts w:hint="eastAsia" w:ascii="Arial Unicode MS" w:eastAsia="Arial Unicode MS"/>
                <w:sz w:val="30"/>
              </w:rPr>
              <w:t>法律及政策依据</w:t>
            </w:r>
          </w:p>
        </w:tc>
        <w:tc>
          <w:tcPr>
            <w:tcW w:w="1972" w:type="dxa"/>
          </w:tcPr>
          <w:p>
            <w:pPr>
              <w:pStyle w:val="8"/>
              <w:spacing w:line="502" w:lineRule="exact"/>
              <w:ind w:left="380"/>
              <w:rPr>
                <w:rFonts w:hint="eastAsia" w:ascii="Arial Unicode MS" w:eastAsia="Arial Unicode MS"/>
                <w:sz w:val="30"/>
              </w:rPr>
            </w:pPr>
            <w:r>
              <w:rPr>
                <w:rFonts w:hint="eastAsia" w:ascii="Arial Unicode MS" w:eastAsia="Arial Unicode MS"/>
                <w:sz w:val="30"/>
              </w:rPr>
              <w:t>实施部门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08" w:hRule="atLeast"/>
        </w:trPr>
        <w:tc>
          <w:tcPr>
            <w:tcW w:w="1743" w:type="dxa"/>
          </w:tcPr>
          <w:p>
            <w:pPr>
              <w:pStyle w:val="8"/>
              <w:rPr>
                <w:rFonts w:ascii="Times New Roman"/>
                <w:sz w:val="20"/>
              </w:rPr>
            </w:pPr>
          </w:p>
        </w:tc>
        <w:tc>
          <w:tcPr>
            <w:tcW w:w="9922" w:type="dxa"/>
          </w:tcPr>
          <w:p>
            <w:pPr>
              <w:pStyle w:val="8"/>
              <w:spacing w:before="60" w:line="321" w:lineRule="auto"/>
              <w:ind w:left="117" w:right="5"/>
              <w:jc w:val="both"/>
              <w:rPr>
                <w:sz w:val="21"/>
              </w:rPr>
            </w:pPr>
            <w:r>
              <w:rPr>
                <w:sz w:val="21"/>
              </w:rPr>
              <w:t>安排、专家遴选、监督支撑机构使用等管理决策重要参考。对实行间接费用管理的项目</w:t>
            </w:r>
            <w:r>
              <w:rPr>
                <w:rFonts w:ascii="Times New Roman" w:eastAsia="Times New Roman"/>
                <w:sz w:val="21"/>
              </w:rPr>
              <w:t>,</w:t>
            </w:r>
            <w:r>
              <w:rPr>
                <w:sz w:val="21"/>
              </w:rPr>
              <w:t>间接费用的核定与项目承担单位信用等级挂钩。项目完成任务目标并通过验收</w:t>
            </w:r>
            <w:r>
              <w:rPr>
                <w:rFonts w:ascii="Times New Roman" w:eastAsia="Times New Roman"/>
                <w:sz w:val="21"/>
              </w:rPr>
              <w:t>,</w:t>
            </w:r>
            <w:r>
              <w:rPr>
                <w:sz w:val="21"/>
              </w:rPr>
              <w:t>且项目承担单位信用评价好的</w:t>
            </w:r>
            <w:r>
              <w:rPr>
                <w:rFonts w:ascii="Times New Roman" w:eastAsia="Times New Roman"/>
                <w:sz w:val="21"/>
              </w:rPr>
              <w:t>,</w:t>
            </w:r>
            <w:r>
              <w:rPr>
                <w:sz w:val="21"/>
              </w:rPr>
              <w:t>项目结余资金按规定在一定期限内由单位统筹安排用于科研活动的直接支出。</w:t>
            </w:r>
          </w:p>
          <w:p>
            <w:pPr>
              <w:pStyle w:val="8"/>
              <w:spacing w:line="321" w:lineRule="auto"/>
              <w:ind w:left="13" w:right="3" w:firstLine="420"/>
              <w:rPr>
                <w:sz w:val="21"/>
              </w:rPr>
            </w:pPr>
            <w:r>
              <w:rPr>
                <w:spacing w:val="-2"/>
                <w:w w:val="95"/>
                <w:sz w:val="21"/>
              </w:rPr>
              <w:t>信用等级与监督频次挂钩。对于信用等级好的机构和人员</w:t>
            </w:r>
            <w:r>
              <w:rPr>
                <w:rFonts w:ascii="Times New Roman" w:eastAsia="Times New Roman"/>
                <w:w w:val="95"/>
                <w:sz w:val="21"/>
              </w:rPr>
              <w:t>,</w:t>
            </w:r>
            <w:r>
              <w:rPr>
                <w:spacing w:val="-1"/>
                <w:w w:val="95"/>
                <w:sz w:val="21"/>
              </w:rPr>
              <w:t>可减少或在一定时期内免除监督；对于信用等</w:t>
            </w:r>
            <w:r>
              <w:rPr>
                <w:spacing w:val="-1"/>
                <w:sz w:val="21"/>
              </w:rPr>
              <w:t>级差的</w:t>
            </w:r>
            <w:r>
              <w:rPr>
                <w:rFonts w:ascii="Times New Roman" w:eastAsia="Times New Roman"/>
                <w:spacing w:val="-1"/>
                <w:sz w:val="21"/>
              </w:rPr>
              <w:t>,</w:t>
            </w:r>
            <w:r>
              <w:rPr>
                <w:spacing w:val="-1"/>
                <w:sz w:val="21"/>
              </w:rPr>
              <w:t>应作为监督重点</w:t>
            </w:r>
            <w:r>
              <w:rPr>
                <w:rFonts w:ascii="Times New Roman" w:eastAsia="Times New Roman"/>
                <w:spacing w:val="-1"/>
                <w:sz w:val="21"/>
              </w:rPr>
              <w:t>,</w:t>
            </w:r>
            <w:r>
              <w:rPr>
                <w:spacing w:val="-1"/>
                <w:sz w:val="21"/>
              </w:rPr>
              <w:t>加大监督频次。</w:t>
            </w:r>
          </w:p>
          <w:p>
            <w:pPr>
              <w:pStyle w:val="8"/>
              <w:spacing w:line="268" w:lineRule="exact"/>
              <w:ind w:left="433"/>
              <w:rPr>
                <w:sz w:val="21"/>
              </w:rPr>
            </w:pPr>
            <w:r>
              <w:rPr>
                <w:sz w:val="21"/>
              </w:rPr>
              <w:t>第四十一条 加强科研信用体系与其他社会领域信用体系的衔接</w:t>
            </w:r>
            <w:r>
              <w:rPr>
                <w:rFonts w:ascii="Times New Roman" w:eastAsia="Times New Roman"/>
                <w:sz w:val="21"/>
              </w:rPr>
              <w:t>,</w:t>
            </w:r>
            <w:r>
              <w:rPr>
                <w:sz w:val="21"/>
              </w:rPr>
              <w:t>实施联合惩戒机制。</w:t>
            </w:r>
          </w:p>
          <w:p>
            <w:pPr>
              <w:pStyle w:val="8"/>
              <w:spacing w:before="89" w:line="321" w:lineRule="auto"/>
              <w:ind w:left="13" w:right="3" w:firstLine="420"/>
              <w:rPr>
                <w:sz w:val="21"/>
              </w:rPr>
            </w:pPr>
            <w:r>
              <w:rPr>
                <w:sz w:val="21"/>
              </w:rPr>
              <w:t>第四十二条 科技部会同有关部门和地方建立</w:t>
            </w:r>
            <w:r>
              <w:rPr>
                <w:rFonts w:ascii="Times New Roman" w:hAnsi="Times New Roman" w:eastAsia="Times New Roman"/>
                <w:sz w:val="21"/>
              </w:rPr>
              <w:t>“</w:t>
            </w:r>
            <w:r>
              <w:rPr>
                <w:sz w:val="21"/>
              </w:rPr>
              <w:t>黑名单</w:t>
            </w:r>
            <w:r>
              <w:rPr>
                <w:rFonts w:ascii="Times New Roman" w:hAnsi="Times New Roman" w:eastAsia="Times New Roman"/>
                <w:sz w:val="21"/>
              </w:rPr>
              <w:t>”</w:t>
            </w:r>
            <w:r>
              <w:rPr>
                <w:sz w:val="21"/>
              </w:rPr>
              <w:t>制度</w:t>
            </w:r>
            <w:r>
              <w:rPr>
                <w:rFonts w:ascii="Times New Roman" w:hAnsi="Times New Roman" w:eastAsia="Times New Roman"/>
                <w:sz w:val="21"/>
              </w:rPr>
              <w:t>,</w:t>
            </w:r>
            <w:r>
              <w:rPr>
                <w:sz w:val="21"/>
              </w:rPr>
              <w:t>将严重科研不端行为、严重违反财经纪律及违法的单位和个人列入</w:t>
            </w:r>
            <w:r>
              <w:rPr>
                <w:rFonts w:ascii="Times New Roman" w:hAnsi="Times New Roman" w:eastAsia="Times New Roman"/>
                <w:sz w:val="21"/>
              </w:rPr>
              <w:t>“</w:t>
            </w:r>
            <w:r>
              <w:rPr>
                <w:sz w:val="21"/>
              </w:rPr>
              <w:t>黑名单</w:t>
            </w:r>
            <w:r>
              <w:rPr>
                <w:rFonts w:ascii="Times New Roman" w:hAnsi="Times New Roman" w:eastAsia="Times New Roman"/>
                <w:sz w:val="21"/>
              </w:rPr>
              <w:t>”,</w:t>
            </w:r>
            <w:r>
              <w:rPr>
                <w:sz w:val="21"/>
              </w:rPr>
              <w:t>相关信息作为国家科技计划、项目管理的重要决策依据。</w:t>
            </w:r>
          </w:p>
          <w:p>
            <w:pPr>
              <w:pStyle w:val="8"/>
              <w:spacing w:line="268" w:lineRule="exact"/>
              <w:ind w:left="13"/>
              <w:rPr>
                <w:b/>
                <w:sz w:val="21"/>
              </w:rPr>
            </w:pPr>
            <w:r>
              <w:rPr>
                <w:b/>
                <w:sz w:val="21"/>
              </w:rPr>
              <w:t>《科技部办公厅关于印发</w:t>
            </w:r>
            <w:r>
              <w:rPr>
                <w:rFonts w:ascii="Times New Roman" w:eastAsia="Times New Roman"/>
                <w:b/>
                <w:sz w:val="21"/>
              </w:rPr>
              <w:t>&lt;</w:t>
            </w:r>
            <w:r>
              <w:rPr>
                <w:b/>
                <w:sz w:val="21"/>
              </w:rPr>
              <w:t>国家科技专家库管理办法（试行）</w:t>
            </w:r>
            <w:r>
              <w:rPr>
                <w:rFonts w:ascii="Times New Roman" w:eastAsia="Times New Roman"/>
                <w:b/>
                <w:sz w:val="21"/>
              </w:rPr>
              <w:t>&gt;</w:t>
            </w:r>
            <w:r>
              <w:rPr>
                <w:b/>
                <w:sz w:val="21"/>
              </w:rPr>
              <w:t>的通知》</w:t>
            </w:r>
          </w:p>
          <w:p>
            <w:pPr>
              <w:pStyle w:val="8"/>
              <w:spacing w:before="91" w:line="321" w:lineRule="auto"/>
              <w:ind w:left="13" w:right="5" w:firstLine="420"/>
              <w:jc w:val="both"/>
              <w:rPr>
                <w:sz w:val="21"/>
              </w:rPr>
            </w:pPr>
            <w:r>
              <w:rPr>
                <w:spacing w:val="-8"/>
                <w:sz w:val="21"/>
              </w:rPr>
              <w:t>第二十二条 专家所在单位要认真履行法人主体责任，加强专家信息审核，及时向专家通报专家库工作进展、宣传科技和计划管理政策；对学术失范、违法违纪等重大事项及时报告。如因单位审核不力、通报不及时，给项目评审造成重大影响的，将视情节轻重给予计入单位诚信档案、批评教育、通报批评直至取消单位推荐资格等处罚。</w:t>
            </w:r>
          </w:p>
          <w:p>
            <w:pPr>
              <w:pStyle w:val="8"/>
              <w:spacing w:line="321" w:lineRule="auto"/>
              <w:ind w:left="13" w:right="3" w:firstLine="420"/>
              <w:jc w:val="both"/>
              <w:rPr>
                <w:sz w:val="21"/>
              </w:rPr>
            </w:pPr>
            <w:r>
              <w:rPr>
                <w:spacing w:val="-8"/>
                <w:sz w:val="21"/>
              </w:rPr>
              <w:t>第二十三条 专家如存在学术不端、填写虚假信息、在评审咨询工作中存在不当行为情况，一经查实，取消专家资格。对徇私舞弊者予以通报批评，并公开相关信息，取消申报中央财政科技计划（项目、基金等）资格。</w:t>
            </w:r>
          </w:p>
          <w:p>
            <w:pPr>
              <w:pStyle w:val="8"/>
              <w:spacing w:line="267" w:lineRule="exact"/>
              <w:ind w:left="13"/>
              <w:jc w:val="both"/>
              <w:rPr>
                <w:b/>
                <w:sz w:val="21"/>
              </w:rPr>
            </w:pPr>
            <w:r>
              <w:rPr>
                <w:b/>
                <w:sz w:val="21"/>
              </w:rPr>
              <w:t>《科技部 财政部 国家税务总局关于修订印发</w:t>
            </w:r>
            <w:r>
              <w:rPr>
                <w:rFonts w:ascii="Times New Roman" w:eastAsia="Times New Roman"/>
                <w:b/>
                <w:sz w:val="21"/>
              </w:rPr>
              <w:t>&lt;</w:t>
            </w:r>
            <w:r>
              <w:rPr>
                <w:b/>
                <w:sz w:val="21"/>
              </w:rPr>
              <w:t>高新技术企业认定管理办法</w:t>
            </w:r>
            <w:r>
              <w:rPr>
                <w:rFonts w:ascii="Times New Roman" w:eastAsia="Times New Roman"/>
                <w:b/>
                <w:sz w:val="21"/>
              </w:rPr>
              <w:t>&gt;</w:t>
            </w:r>
            <w:r>
              <w:rPr>
                <w:b/>
                <w:sz w:val="21"/>
              </w:rPr>
              <w:t>的通知》</w:t>
            </w:r>
          </w:p>
          <w:p>
            <w:pPr>
              <w:pStyle w:val="8"/>
              <w:spacing w:before="89"/>
              <w:ind w:left="433"/>
              <w:rPr>
                <w:sz w:val="21"/>
              </w:rPr>
            </w:pPr>
            <w:r>
              <w:rPr>
                <w:sz w:val="21"/>
              </w:rPr>
              <w:t>第十九条 已认定的高新技术企业有下列行为之一的，由认定机构取消其高新技术企业资格：</w:t>
            </w:r>
          </w:p>
          <w:p>
            <w:pPr>
              <w:pStyle w:val="8"/>
              <w:spacing w:before="91"/>
              <w:ind w:left="330"/>
              <w:rPr>
                <w:sz w:val="21"/>
              </w:rPr>
            </w:pPr>
            <w:r>
              <w:rPr>
                <w:sz w:val="21"/>
              </w:rPr>
              <w:t>（一）在申请认定过程中存在严重弄虚作假行为的；</w:t>
            </w:r>
          </w:p>
          <w:p>
            <w:pPr>
              <w:pStyle w:val="8"/>
              <w:spacing w:before="91"/>
              <w:ind w:left="330"/>
              <w:rPr>
                <w:sz w:val="21"/>
              </w:rPr>
            </w:pPr>
            <w:r>
              <w:rPr>
                <w:sz w:val="21"/>
              </w:rPr>
              <w:t>（二）发生重大安全、重大质量事故或有严重环境违法行为的；</w:t>
            </w:r>
          </w:p>
          <w:p>
            <w:pPr>
              <w:pStyle w:val="8"/>
              <w:spacing w:before="91"/>
              <w:ind w:left="330"/>
              <w:rPr>
                <w:sz w:val="21"/>
              </w:rPr>
            </w:pPr>
            <w:r>
              <w:rPr>
                <w:sz w:val="21"/>
              </w:rPr>
              <w:t>（三）未按期报告与认定条件有关重大变化情况，或累计两年未填报年度发展情况报表的。</w:t>
            </w:r>
          </w:p>
          <w:p>
            <w:pPr>
              <w:pStyle w:val="8"/>
              <w:spacing w:line="360" w:lineRule="atLeast"/>
              <w:ind w:left="13" w:right="5" w:firstLine="420"/>
              <w:rPr>
                <w:sz w:val="21"/>
              </w:rPr>
            </w:pPr>
            <w:r>
              <w:rPr>
                <w:sz w:val="21"/>
              </w:rPr>
              <w:t>对被取消高新技术企业资格的企业，由认定机构通知税务机关按《税收征管法》及有关规定，追缴其自发生上述行为之日所属年度起已享受的高新技术企业税收优惠。</w:t>
            </w:r>
          </w:p>
        </w:tc>
        <w:tc>
          <w:tcPr>
            <w:tcW w:w="1972" w:type="dxa"/>
          </w:tcPr>
          <w:p>
            <w:pPr>
              <w:pStyle w:val="8"/>
              <w:rPr>
                <w:rFonts w:ascii="Times New Roman"/>
                <w:sz w:val="20"/>
              </w:rPr>
            </w:pPr>
          </w:p>
        </w:tc>
      </w:tr>
    </w:tbl>
    <w:p>
      <w:pPr>
        <w:spacing w:after="0"/>
        <w:rPr>
          <w:rFonts w:ascii="Times New Roman"/>
          <w:sz w:val="20"/>
        </w:rPr>
        <w:sectPr>
          <w:pgSz w:w="16840" w:h="11910" w:orient="landscape"/>
          <w:pgMar w:top="1100" w:right="960" w:bottom="1160" w:left="1700" w:header="0" w:footer="979" w:gutter="0"/>
        </w:sectPr>
      </w:pPr>
    </w:p>
    <w:p>
      <w:pPr>
        <w:pStyle w:val="3"/>
        <w:rPr>
          <w:rFonts w:ascii="Times New Roman"/>
          <w:sz w:val="29"/>
        </w:rPr>
      </w:pPr>
    </w:p>
    <w:tbl>
      <w:tblPr>
        <w:tblStyle w:val="4"/>
        <w:tblW w:w="0" w:type="auto"/>
        <w:tblInd w:w="34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43"/>
        <w:gridCol w:w="9919"/>
        <w:gridCol w:w="19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 w:hRule="atLeast"/>
        </w:trPr>
        <w:tc>
          <w:tcPr>
            <w:tcW w:w="1743" w:type="dxa"/>
          </w:tcPr>
          <w:p>
            <w:pPr>
              <w:pStyle w:val="8"/>
              <w:spacing w:before="63" w:line="438" w:lineRule="exact"/>
              <w:ind w:left="271"/>
              <w:rPr>
                <w:rFonts w:hint="eastAsia" w:ascii="Arial Unicode MS" w:eastAsia="Arial Unicode MS"/>
                <w:sz w:val="30"/>
              </w:rPr>
            </w:pPr>
            <w:r>
              <w:rPr>
                <w:rFonts w:hint="eastAsia" w:ascii="Arial Unicode MS" w:eastAsia="Arial Unicode MS"/>
                <w:sz w:val="30"/>
              </w:rPr>
              <w:t>惩戒措施</w:t>
            </w:r>
          </w:p>
        </w:tc>
        <w:tc>
          <w:tcPr>
            <w:tcW w:w="9919" w:type="dxa"/>
          </w:tcPr>
          <w:p>
            <w:pPr>
              <w:pStyle w:val="8"/>
              <w:spacing w:line="502" w:lineRule="exact"/>
              <w:ind w:left="3886" w:right="3882"/>
              <w:jc w:val="center"/>
              <w:rPr>
                <w:rFonts w:hint="eastAsia" w:ascii="Arial Unicode MS" w:eastAsia="Arial Unicode MS"/>
                <w:sz w:val="30"/>
              </w:rPr>
            </w:pPr>
            <w:r>
              <w:rPr>
                <w:rFonts w:hint="eastAsia" w:ascii="Arial Unicode MS" w:eastAsia="Arial Unicode MS"/>
                <w:sz w:val="30"/>
              </w:rPr>
              <w:t>法律及政策依据</w:t>
            </w:r>
          </w:p>
        </w:tc>
        <w:tc>
          <w:tcPr>
            <w:tcW w:w="1976" w:type="dxa"/>
          </w:tcPr>
          <w:p>
            <w:pPr>
              <w:pStyle w:val="8"/>
              <w:spacing w:line="502" w:lineRule="exact"/>
              <w:ind w:left="383"/>
              <w:rPr>
                <w:rFonts w:hint="eastAsia" w:ascii="Arial Unicode MS" w:eastAsia="Arial Unicode MS"/>
                <w:sz w:val="30"/>
              </w:rPr>
            </w:pPr>
            <w:r>
              <w:rPr>
                <w:rFonts w:hint="eastAsia" w:ascii="Arial Unicode MS" w:eastAsia="Arial Unicode MS"/>
                <w:sz w:val="30"/>
              </w:rPr>
              <w:t>实施部门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9" w:hRule="atLeast"/>
        </w:trPr>
        <w:tc>
          <w:tcPr>
            <w:tcW w:w="1743" w:type="dxa"/>
          </w:tcPr>
          <w:p>
            <w:pPr>
              <w:pStyle w:val="8"/>
              <w:rPr>
                <w:rFonts w:ascii="Times New Roman"/>
                <w:sz w:val="20"/>
              </w:rPr>
            </w:pPr>
          </w:p>
        </w:tc>
        <w:tc>
          <w:tcPr>
            <w:tcW w:w="9919" w:type="dxa"/>
          </w:tcPr>
          <w:p>
            <w:pPr>
              <w:pStyle w:val="8"/>
              <w:spacing w:before="60"/>
              <w:ind w:left="13"/>
              <w:rPr>
                <w:b/>
                <w:sz w:val="21"/>
              </w:rPr>
            </w:pPr>
            <w:r>
              <w:rPr>
                <w:b/>
                <w:sz w:val="21"/>
              </w:rPr>
              <w:t>《国务院关于促进市场公平竞争维护市场正常秩序的若干意见》（国发〔</w:t>
            </w:r>
            <w:r>
              <w:rPr>
                <w:rFonts w:ascii="Times New Roman" w:eastAsia="Times New Roman"/>
                <w:b/>
                <w:sz w:val="21"/>
              </w:rPr>
              <w:t>2014</w:t>
            </w:r>
            <w:r>
              <w:rPr>
                <w:b/>
                <w:sz w:val="21"/>
              </w:rPr>
              <w:t>〕</w:t>
            </w:r>
            <w:r>
              <w:rPr>
                <w:rFonts w:ascii="Times New Roman" w:eastAsia="Times New Roman"/>
                <w:b/>
                <w:sz w:val="21"/>
              </w:rPr>
              <w:t xml:space="preserve">20 </w:t>
            </w:r>
            <w:r>
              <w:rPr>
                <w:b/>
                <w:sz w:val="21"/>
              </w:rPr>
              <w:t>号）</w:t>
            </w:r>
          </w:p>
          <w:p>
            <w:pPr>
              <w:pStyle w:val="8"/>
              <w:spacing w:before="91" w:line="321" w:lineRule="auto"/>
              <w:ind w:left="13" w:right="2" w:firstLine="420"/>
              <w:rPr>
                <w:sz w:val="21"/>
              </w:rPr>
            </w:pPr>
            <w:r>
              <w:rPr>
                <w:sz w:val="21"/>
              </w:rPr>
              <w:t>（十五）建立健全守信激励和失信惩戒机制。将市场主体的信用信息作为实施行政管理的重要参考。对</w:t>
            </w:r>
            <w:r>
              <w:rPr>
                <w:spacing w:val="-7"/>
                <w:sz w:val="21"/>
              </w:rPr>
              <w:t>守信主体予以支持和鼓励，对失信主体在经营、投融资、取得政府供应土地、进出口、出入境、注册新公司工程招投标、政府采购、获得荣誉、安全许可、生产许可、从业任职资格、资质审核等方面依法予以限制或禁止，对严重违法失信主体实行市场进入制度。</w:t>
            </w:r>
          </w:p>
          <w:p>
            <w:pPr>
              <w:pStyle w:val="8"/>
              <w:spacing w:line="267" w:lineRule="exact"/>
              <w:ind w:left="13"/>
              <w:rPr>
                <w:b/>
                <w:sz w:val="21"/>
              </w:rPr>
            </w:pPr>
            <w:r>
              <w:rPr>
                <w:b/>
                <w:sz w:val="21"/>
              </w:rPr>
              <w:t>《国务院办公厅关于加强个人诚信体系建设的指导意见》（国办发〔</w:t>
            </w:r>
            <w:r>
              <w:rPr>
                <w:rFonts w:ascii="Times New Roman" w:eastAsia="Times New Roman"/>
                <w:b/>
                <w:sz w:val="21"/>
              </w:rPr>
              <w:t>2016</w:t>
            </w:r>
            <w:r>
              <w:rPr>
                <w:b/>
                <w:sz w:val="21"/>
              </w:rPr>
              <w:t>〕</w:t>
            </w:r>
            <w:r>
              <w:rPr>
                <w:rFonts w:ascii="Times New Roman" w:eastAsia="Times New Roman"/>
                <w:b/>
                <w:sz w:val="21"/>
              </w:rPr>
              <w:t xml:space="preserve">98 </w:t>
            </w:r>
            <w:r>
              <w:rPr>
                <w:b/>
                <w:sz w:val="21"/>
              </w:rPr>
              <w:t>号）</w:t>
            </w:r>
          </w:p>
          <w:p>
            <w:pPr>
              <w:pStyle w:val="8"/>
              <w:spacing w:line="360" w:lineRule="atLeast"/>
              <w:ind w:left="13" w:right="2" w:firstLine="420"/>
              <w:jc w:val="both"/>
              <w:rPr>
                <w:sz w:val="21"/>
              </w:rPr>
            </w:pPr>
            <w:r>
              <w:rPr>
                <w:sz w:val="21"/>
              </w:rPr>
              <w:t>（二）对重点领域严重失信个人实施联合惩戒。依法依规对严重危害人民群众身体健康和生命安全、严重破坏市场公平竞争秩序和社会正常秩序、拒不履行法定义务严重影响司法机关和行政机关公信力以及拒不履行国防义务等个人严重失信行为采取联合惩戒措施。将恶意逃废债务、非法集资、电信诈骗、网络欺诈、交通违法、不依法诚信纳税等严重失信个人列为重点监管对象，依法依规采取行政性约束和惩戒措施。在对失信企事业单位进行联合惩戒的同时，依照法律法规和政策规定对相关责任人员采取相应的联合惩戒措施， 将联合惩戒措施落实到人。鼓励将金融信用信息基础数据库和个人征信机构采集的个人在市场经济活动中产生的严重失信记录，推送至全国信用信息共享平台，作为实施信用惩戒措施的参考。</w:t>
            </w:r>
          </w:p>
        </w:tc>
        <w:tc>
          <w:tcPr>
            <w:tcW w:w="1976" w:type="dxa"/>
          </w:tcPr>
          <w:p>
            <w:pPr>
              <w:pStyle w:val="8"/>
              <w:rPr>
                <w:rFonts w:ascii="Times New Roman"/>
                <w:sz w:val="20"/>
              </w:rPr>
            </w:pPr>
          </w:p>
          <w:p>
            <w:pPr>
              <w:pStyle w:val="8"/>
              <w:rPr>
                <w:rFonts w:ascii="Times New Roman"/>
                <w:sz w:val="20"/>
              </w:rPr>
            </w:pPr>
          </w:p>
          <w:p>
            <w:pPr>
              <w:pStyle w:val="8"/>
              <w:spacing w:before="9"/>
              <w:rPr>
                <w:rFonts w:ascii="Times New Roman"/>
                <w:sz w:val="27"/>
              </w:rPr>
            </w:pPr>
          </w:p>
          <w:p>
            <w:pPr>
              <w:pStyle w:val="8"/>
              <w:spacing w:before="1"/>
              <w:ind w:left="-116"/>
              <w:rPr>
                <w:sz w:val="21"/>
              </w:rPr>
            </w:pPr>
            <w:r>
              <w:rPr>
                <w:w w:val="99"/>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3638" w:type="dxa"/>
            <w:gridSpan w:val="3"/>
          </w:tcPr>
          <w:p>
            <w:pPr>
              <w:pStyle w:val="8"/>
              <w:spacing w:line="480" w:lineRule="exact"/>
              <w:ind w:left="3438" w:right="3429"/>
              <w:jc w:val="center"/>
              <w:rPr>
                <w:rFonts w:hint="eastAsia" w:ascii="Arial Unicode MS" w:eastAsia="Arial Unicode MS"/>
                <w:sz w:val="28"/>
              </w:rPr>
            </w:pPr>
            <w:r>
              <w:rPr>
                <w:rFonts w:hint="eastAsia" w:ascii="Arial Unicode MS" w:eastAsia="Arial Unicode MS"/>
                <w:color w:val="333333"/>
                <w:sz w:val="28"/>
              </w:rPr>
              <w:t>（二）跨部门联合惩戒措施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8" w:hRule="atLeast"/>
        </w:trPr>
        <w:tc>
          <w:tcPr>
            <w:tcW w:w="1743" w:type="dxa"/>
          </w:tcPr>
          <w:p>
            <w:pPr>
              <w:pStyle w:val="8"/>
              <w:rPr>
                <w:rFonts w:ascii="Times New Roman"/>
                <w:sz w:val="20"/>
              </w:rPr>
            </w:pPr>
          </w:p>
          <w:p>
            <w:pPr>
              <w:pStyle w:val="8"/>
              <w:spacing w:before="6"/>
              <w:rPr>
                <w:rFonts w:ascii="Times New Roman"/>
                <w:sz w:val="16"/>
              </w:rPr>
            </w:pPr>
          </w:p>
          <w:p>
            <w:pPr>
              <w:pStyle w:val="8"/>
              <w:spacing w:line="321" w:lineRule="auto"/>
              <w:ind w:left="14" w:right="2"/>
              <w:jc w:val="both"/>
              <w:rPr>
                <w:sz w:val="21"/>
              </w:rPr>
            </w:pPr>
            <w:r>
              <w:rPr>
                <w:rFonts w:ascii="Times New Roman" w:eastAsia="Times New Roman"/>
                <w:sz w:val="21"/>
              </w:rPr>
              <w:t>10</w:t>
            </w:r>
            <w:r>
              <w:rPr>
                <w:rFonts w:ascii="Times New Roman" w:eastAsia="Times New Roman"/>
                <w:spacing w:val="-13"/>
                <w:sz w:val="21"/>
              </w:rPr>
              <w:t xml:space="preserve">. </w:t>
            </w:r>
            <w:r>
              <w:rPr>
                <w:spacing w:val="24"/>
                <w:sz w:val="21"/>
              </w:rPr>
              <w:t>一定期限内或</w:t>
            </w:r>
            <w:r>
              <w:rPr>
                <w:spacing w:val="2"/>
                <w:sz w:val="21"/>
              </w:rPr>
              <w:t>终身取消中国科学院、中国工程院院</w:t>
            </w:r>
            <w:r>
              <w:rPr>
                <w:spacing w:val="4"/>
                <w:sz w:val="21"/>
              </w:rPr>
              <w:t>士提名</w:t>
            </w:r>
            <w:r>
              <w:rPr>
                <w:spacing w:val="7"/>
                <w:sz w:val="21"/>
              </w:rPr>
              <w:t>（</w:t>
            </w:r>
            <w:r>
              <w:rPr>
                <w:spacing w:val="5"/>
                <w:sz w:val="21"/>
              </w:rPr>
              <w:t>推荐</w:t>
            </w:r>
            <w:r>
              <w:rPr>
                <w:spacing w:val="4"/>
                <w:sz w:val="21"/>
              </w:rPr>
              <w:t>）</w:t>
            </w:r>
            <w:r>
              <w:rPr>
                <w:spacing w:val="-12"/>
                <w:sz w:val="21"/>
              </w:rPr>
              <w:t>资</w:t>
            </w:r>
            <w:r>
              <w:rPr>
                <w:spacing w:val="-27"/>
                <w:sz w:val="21"/>
              </w:rPr>
              <w:t>格、院士被提名</w:t>
            </w:r>
            <w:r>
              <w:rPr>
                <w:sz w:val="21"/>
              </w:rPr>
              <w:t>（</w:t>
            </w:r>
            <w:r>
              <w:rPr>
                <w:spacing w:val="-14"/>
                <w:sz w:val="21"/>
              </w:rPr>
              <w:t>推</w:t>
            </w:r>
            <w:r>
              <w:rPr>
                <w:sz w:val="21"/>
              </w:rPr>
              <w:t>荐）资格。</w:t>
            </w:r>
          </w:p>
        </w:tc>
        <w:tc>
          <w:tcPr>
            <w:tcW w:w="9919" w:type="dxa"/>
          </w:tcPr>
          <w:p>
            <w:pPr>
              <w:pStyle w:val="8"/>
              <w:spacing w:before="60" w:line="321" w:lineRule="auto"/>
              <w:ind w:left="433" w:right="4625" w:hanging="420"/>
              <w:rPr>
                <w:sz w:val="21"/>
              </w:rPr>
            </w:pPr>
            <w:r>
              <w:rPr>
                <w:b/>
                <w:sz w:val="21"/>
              </w:rPr>
              <w:t>《中国科学院院士违背科学道德行为处理办法（试行）》</w:t>
            </w:r>
            <w:r>
              <w:rPr>
                <w:sz w:val="21"/>
              </w:rPr>
              <w:t>二、纪律教育和处理</w:t>
            </w:r>
          </w:p>
          <w:p>
            <w:pPr>
              <w:pStyle w:val="8"/>
              <w:spacing w:line="321" w:lineRule="auto"/>
              <w:ind w:left="13" w:right="8" w:firstLine="420"/>
              <w:jc w:val="both"/>
              <w:rPr>
                <w:sz w:val="21"/>
              </w:rPr>
            </w:pPr>
            <w:r>
              <w:rPr>
                <w:sz w:val="21"/>
              </w:rPr>
              <w:t>为了维护院士群体声誉，严肃纪律，对违背科学道德行为的院士本着</w:t>
            </w:r>
            <w:r>
              <w:rPr>
                <w:rFonts w:ascii="Times New Roman" w:hAnsi="Times New Roman" w:eastAsia="Times New Roman"/>
                <w:sz w:val="21"/>
              </w:rPr>
              <w:t>“</w:t>
            </w:r>
            <w:r>
              <w:rPr>
                <w:sz w:val="21"/>
              </w:rPr>
              <w:t>惩前毖后，治病救人</w:t>
            </w:r>
            <w:r>
              <w:rPr>
                <w:rFonts w:ascii="Times New Roman" w:hAnsi="Times New Roman" w:eastAsia="Times New Roman"/>
                <w:sz w:val="21"/>
              </w:rPr>
              <w:t>”</w:t>
            </w:r>
            <w:r>
              <w:rPr>
                <w:sz w:val="21"/>
              </w:rPr>
              <w:t>的原则，根</w:t>
            </w:r>
            <w:r>
              <w:rPr>
                <w:spacing w:val="-9"/>
                <w:w w:val="95"/>
                <w:sz w:val="21"/>
              </w:rPr>
              <w:t>据调查确认投诉属实的，根据问题的性质和严重程度施行警示、批评、警告的纪律教育，直至按照</w:t>
            </w:r>
            <w:r>
              <w:rPr>
                <w:rFonts w:ascii="Times New Roman" w:hAnsi="Times New Roman" w:eastAsia="Times New Roman"/>
                <w:w w:val="95"/>
                <w:sz w:val="21"/>
              </w:rPr>
              <w:t>“</w:t>
            </w:r>
            <w:r>
              <w:rPr>
                <w:w w:val="95"/>
                <w:sz w:val="21"/>
              </w:rPr>
              <w:t>院士章程</w:t>
            </w:r>
            <w:r>
              <w:rPr>
                <w:rFonts w:ascii="Times New Roman" w:hAnsi="Times New Roman" w:eastAsia="Times New Roman"/>
                <w:w w:val="95"/>
                <w:sz w:val="21"/>
              </w:rPr>
              <w:t>”</w:t>
            </w:r>
            <w:r>
              <w:rPr>
                <w:sz w:val="21"/>
              </w:rPr>
              <w:t>撤销其院士称号。</w:t>
            </w:r>
          </w:p>
          <w:p>
            <w:pPr>
              <w:pStyle w:val="8"/>
              <w:numPr>
                <w:ilvl w:val="0"/>
                <w:numId w:val="4"/>
              </w:numPr>
              <w:tabs>
                <w:tab w:val="left" w:pos="750"/>
              </w:tabs>
              <w:spacing w:before="0" w:after="0" w:line="267" w:lineRule="exact"/>
              <w:ind w:left="749" w:right="0" w:hanging="317"/>
              <w:jc w:val="left"/>
              <w:rPr>
                <w:sz w:val="21"/>
              </w:rPr>
            </w:pPr>
            <w:r>
              <w:rPr>
                <w:sz w:val="21"/>
              </w:rPr>
              <w:t>警示。进行谈话警示教育，需经相关学部常委会同意，由学部主任、副主任或其委托的院士进行。</w:t>
            </w:r>
          </w:p>
          <w:p>
            <w:pPr>
              <w:pStyle w:val="8"/>
              <w:numPr>
                <w:ilvl w:val="0"/>
                <w:numId w:val="4"/>
              </w:numPr>
              <w:tabs>
                <w:tab w:val="left" w:pos="750"/>
              </w:tabs>
              <w:spacing w:before="0" w:after="0" w:line="360" w:lineRule="atLeast"/>
              <w:ind w:left="13" w:right="7" w:firstLine="420"/>
              <w:jc w:val="left"/>
              <w:rPr>
                <w:sz w:val="21"/>
              </w:rPr>
            </w:pPr>
            <w:r>
              <w:rPr>
                <w:spacing w:val="-7"/>
                <w:w w:val="95"/>
                <w:sz w:val="21"/>
              </w:rPr>
              <w:t>批评。在该院士所在学部常委会提出意见后，经道德委员会批准，视情况在所在学部范围内进行点名</w:t>
            </w:r>
            <w:r>
              <w:rPr>
                <w:spacing w:val="-7"/>
                <w:sz w:val="21"/>
              </w:rPr>
              <w:t>或不点名批评。</w:t>
            </w:r>
          </w:p>
        </w:tc>
        <w:tc>
          <w:tcPr>
            <w:tcW w:w="1976" w:type="dxa"/>
          </w:tcPr>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spacing w:before="1"/>
              <w:rPr>
                <w:rFonts w:ascii="Times New Roman"/>
                <w:sz w:val="17"/>
              </w:rPr>
            </w:pPr>
          </w:p>
          <w:p>
            <w:pPr>
              <w:pStyle w:val="8"/>
              <w:spacing w:line="321" w:lineRule="auto"/>
              <w:ind w:left="11" w:right="63"/>
              <w:rPr>
                <w:sz w:val="21"/>
              </w:rPr>
            </w:pPr>
            <w:r>
              <w:rPr>
                <w:color w:val="333333"/>
                <w:sz w:val="21"/>
              </w:rPr>
              <w:t>中科院、工程院、中国科协</w:t>
            </w:r>
          </w:p>
        </w:tc>
      </w:tr>
    </w:tbl>
    <w:p>
      <w:pPr>
        <w:spacing w:after="0" w:line="321" w:lineRule="auto"/>
        <w:rPr>
          <w:sz w:val="21"/>
        </w:rPr>
        <w:sectPr>
          <w:pgSz w:w="16840" w:h="11910" w:orient="landscape"/>
          <w:pgMar w:top="1100" w:right="960" w:bottom="1160" w:left="1700" w:header="0" w:footer="979" w:gutter="0"/>
        </w:sectPr>
      </w:pPr>
    </w:p>
    <w:p>
      <w:pPr>
        <w:pStyle w:val="3"/>
        <w:rPr>
          <w:rFonts w:ascii="Times New Roman"/>
          <w:sz w:val="20"/>
        </w:rPr>
      </w:pPr>
      <w:r>
        <mc:AlternateContent>
          <mc:Choice Requires="wps">
            <w:drawing>
              <wp:anchor distT="0" distB="0" distL="114300" distR="114300" simplePos="0" relativeHeight="251659264" behindDoc="0" locked="0" layoutInCell="1" allowOverlap="1">
                <wp:simplePos x="0" y="0"/>
                <wp:positionH relativeFrom="page">
                  <wp:posOffset>1293495</wp:posOffset>
                </wp:positionH>
                <wp:positionV relativeFrom="page">
                  <wp:posOffset>913765</wp:posOffset>
                </wp:positionV>
                <wp:extent cx="8669020" cy="5651500"/>
                <wp:effectExtent l="0" t="0" r="0" b="0"/>
                <wp:wrapNone/>
                <wp:docPr id="2" name="文本框 3"/>
                <wp:cNvGraphicFramePr/>
                <a:graphic xmlns:a="http://schemas.openxmlformats.org/drawingml/2006/main">
                  <a:graphicData uri="http://schemas.microsoft.com/office/word/2010/wordprocessingShape">
                    <wps:wsp>
                      <wps:cNvSpPr txBox="1"/>
                      <wps:spPr>
                        <a:xfrm>
                          <a:off x="0" y="0"/>
                          <a:ext cx="8669020" cy="5651500"/>
                        </a:xfrm>
                        <a:prstGeom prst="rect">
                          <a:avLst/>
                        </a:prstGeom>
                        <a:noFill/>
                        <a:ln>
                          <a:noFill/>
                        </a:ln>
                      </wps:spPr>
                      <wps:txbx>
                        <w:txbxContent>
                          <w:tbl>
                            <w:tblPr>
                              <w:tblStyle w:val="4"/>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43"/>
                              <w:gridCol w:w="9915"/>
                              <w:gridCol w:w="197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 w:hRule="atLeast"/>
                              </w:trPr>
                              <w:tc>
                                <w:tcPr>
                                  <w:tcW w:w="1743" w:type="dxa"/>
                                </w:tcPr>
                                <w:p>
                                  <w:pPr>
                                    <w:pStyle w:val="8"/>
                                    <w:spacing w:before="63" w:line="438" w:lineRule="exact"/>
                                    <w:ind w:left="271"/>
                                    <w:rPr>
                                      <w:rFonts w:hint="eastAsia" w:ascii="Arial Unicode MS" w:eastAsia="Arial Unicode MS"/>
                                      <w:sz w:val="30"/>
                                    </w:rPr>
                                  </w:pPr>
                                  <w:r>
                                    <w:rPr>
                                      <w:rFonts w:hint="eastAsia" w:ascii="Arial Unicode MS" w:eastAsia="Arial Unicode MS"/>
                                      <w:sz w:val="30"/>
                                    </w:rPr>
                                    <w:t>惩戒措施</w:t>
                                  </w:r>
                                </w:p>
                              </w:tc>
                              <w:tc>
                                <w:tcPr>
                                  <w:tcW w:w="9915" w:type="dxa"/>
                                </w:tcPr>
                                <w:p>
                                  <w:pPr>
                                    <w:pStyle w:val="8"/>
                                    <w:spacing w:line="502" w:lineRule="exact"/>
                                    <w:ind w:left="3886" w:right="3878"/>
                                    <w:jc w:val="center"/>
                                    <w:rPr>
                                      <w:rFonts w:hint="eastAsia" w:ascii="Arial Unicode MS" w:eastAsia="Arial Unicode MS"/>
                                      <w:sz w:val="30"/>
                                    </w:rPr>
                                  </w:pPr>
                                  <w:r>
                                    <w:rPr>
                                      <w:rFonts w:hint="eastAsia" w:ascii="Arial Unicode MS" w:eastAsia="Arial Unicode MS"/>
                                      <w:sz w:val="30"/>
                                    </w:rPr>
                                    <w:t>法律及政策依据</w:t>
                                  </w:r>
                                </w:p>
                              </w:tc>
                              <w:tc>
                                <w:tcPr>
                                  <w:tcW w:w="1979" w:type="dxa"/>
                                </w:tcPr>
                                <w:p>
                                  <w:pPr>
                                    <w:pStyle w:val="8"/>
                                    <w:spacing w:line="502" w:lineRule="exact"/>
                                    <w:ind w:left="387"/>
                                    <w:rPr>
                                      <w:rFonts w:hint="eastAsia" w:ascii="Arial Unicode MS" w:eastAsia="Arial Unicode MS"/>
                                      <w:sz w:val="30"/>
                                    </w:rPr>
                                  </w:pPr>
                                  <w:r>
                                    <w:rPr>
                                      <w:rFonts w:hint="eastAsia" w:ascii="Arial Unicode MS" w:eastAsia="Arial Unicode MS"/>
                                      <w:sz w:val="30"/>
                                    </w:rPr>
                                    <w:t>实施部门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9" w:hRule="atLeast"/>
                              </w:trPr>
                              <w:tc>
                                <w:tcPr>
                                  <w:tcW w:w="1743" w:type="dxa"/>
                                </w:tcPr>
                                <w:p>
                                  <w:pPr>
                                    <w:pStyle w:val="8"/>
                                    <w:rPr>
                                      <w:rFonts w:ascii="Times New Roman"/>
                                      <w:sz w:val="20"/>
                                    </w:rPr>
                                  </w:pPr>
                                </w:p>
                              </w:tc>
                              <w:tc>
                                <w:tcPr>
                                  <w:tcW w:w="9915" w:type="dxa"/>
                                </w:tcPr>
                                <w:p>
                                  <w:pPr>
                                    <w:pStyle w:val="8"/>
                                    <w:numPr>
                                      <w:ilvl w:val="0"/>
                                      <w:numId w:val="5"/>
                                    </w:numPr>
                                    <w:tabs>
                                      <w:tab w:val="left" w:pos="750"/>
                                    </w:tabs>
                                    <w:spacing w:before="60" w:after="0" w:line="321" w:lineRule="auto"/>
                                    <w:ind w:left="13" w:right="3" w:firstLine="420"/>
                                    <w:jc w:val="left"/>
                                    <w:rPr>
                                      <w:sz w:val="21"/>
                                    </w:rPr>
                                  </w:pPr>
                                  <w:r>
                                    <w:rPr>
                                      <w:spacing w:val="-7"/>
                                      <w:w w:val="95"/>
                                      <w:sz w:val="21"/>
                                    </w:rPr>
                                    <w:t>警告。对院士的警告须由该院士所在学部常委会提出，经道德委员会会议审议通过，并报学部主席团</w:t>
                                  </w:r>
                                  <w:r>
                                    <w:rPr>
                                      <w:spacing w:val="-7"/>
                                      <w:sz w:val="21"/>
                                    </w:rPr>
                                    <w:t>批准。</w:t>
                                  </w:r>
                                </w:p>
                                <w:p>
                                  <w:pPr>
                                    <w:pStyle w:val="8"/>
                                    <w:numPr>
                                      <w:ilvl w:val="0"/>
                                      <w:numId w:val="5"/>
                                    </w:numPr>
                                    <w:tabs>
                                      <w:tab w:val="left" w:pos="750"/>
                                    </w:tabs>
                                    <w:spacing w:before="0" w:after="0" w:line="268" w:lineRule="exact"/>
                                    <w:ind w:left="749" w:right="0" w:hanging="317"/>
                                    <w:jc w:val="left"/>
                                    <w:rPr>
                                      <w:sz w:val="21"/>
                                    </w:rPr>
                                  </w:pPr>
                                  <w:r>
                                    <w:rPr>
                                      <w:sz w:val="21"/>
                                    </w:rPr>
                                    <w:t>撤销院士称号。根据</w:t>
                                  </w:r>
                                  <w:r>
                                    <w:rPr>
                                      <w:rFonts w:ascii="Times New Roman" w:hAnsi="Times New Roman" w:eastAsia="Times New Roman"/>
                                      <w:sz w:val="21"/>
                                    </w:rPr>
                                    <w:t>“</w:t>
                                  </w:r>
                                  <w:r>
                                    <w:rPr>
                                      <w:sz w:val="21"/>
                                    </w:rPr>
                                    <w:t>院士章程</w:t>
                                  </w:r>
                                  <w:r>
                                    <w:rPr>
                                      <w:rFonts w:ascii="Times New Roman" w:hAnsi="Times New Roman" w:eastAsia="Times New Roman"/>
                                      <w:sz w:val="21"/>
                                    </w:rPr>
                                    <w:t>”</w:t>
                                  </w:r>
                                  <w:r>
                                    <w:rPr>
                                      <w:sz w:val="21"/>
                                    </w:rPr>
                                    <w:t>第二章第九条规定需要除名的，按</w:t>
                                  </w:r>
                                  <w:r>
                                    <w:rPr>
                                      <w:rFonts w:ascii="Times New Roman" w:hAnsi="Times New Roman" w:eastAsia="Times New Roman"/>
                                      <w:sz w:val="21"/>
                                    </w:rPr>
                                    <w:t>“</w:t>
                                  </w:r>
                                  <w:r>
                                    <w:rPr>
                                      <w:sz w:val="21"/>
                                    </w:rPr>
                                    <w:t>院士章程</w:t>
                                  </w:r>
                                  <w:r>
                                    <w:rPr>
                                      <w:rFonts w:ascii="Times New Roman" w:hAnsi="Times New Roman" w:eastAsia="Times New Roman"/>
                                      <w:sz w:val="21"/>
                                    </w:rPr>
                                    <w:t>”</w:t>
                                  </w:r>
                                  <w:r>
                                    <w:rPr>
                                      <w:sz w:val="21"/>
                                    </w:rPr>
                                    <w:t>规定处理。</w:t>
                                  </w:r>
                                </w:p>
                                <w:p>
                                  <w:pPr>
                                    <w:pStyle w:val="8"/>
                                    <w:numPr>
                                      <w:ilvl w:val="0"/>
                                      <w:numId w:val="5"/>
                                    </w:numPr>
                                    <w:tabs>
                                      <w:tab w:val="left" w:pos="750"/>
                                    </w:tabs>
                                    <w:spacing w:before="91" w:after="0" w:line="321" w:lineRule="auto"/>
                                    <w:ind w:left="13" w:right="5" w:firstLine="420"/>
                                    <w:jc w:val="left"/>
                                    <w:rPr>
                                      <w:sz w:val="21"/>
                                    </w:rPr>
                                  </w:pPr>
                                  <w:r>
                                    <w:rPr>
                                      <w:spacing w:val="-5"/>
                                      <w:w w:val="95"/>
                                      <w:sz w:val="21"/>
                                    </w:rPr>
                                    <w:t>进行纪律教育的结果，原则上应通报院士所在单位，并向投诉人回复。被撤销院士称号的，通报全体</w:t>
                                  </w:r>
                                  <w:r>
                                    <w:rPr>
                                      <w:spacing w:val="-5"/>
                                      <w:sz w:val="21"/>
                                    </w:rPr>
                                    <w:t>院士和院士所在单位并视情况向社会公布。</w:t>
                                  </w:r>
                                </w:p>
                                <w:p>
                                  <w:pPr>
                                    <w:pStyle w:val="8"/>
                                    <w:spacing w:line="268" w:lineRule="exact"/>
                                    <w:ind w:left="13"/>
                                    <w:rPr>
                                      <w:b/>
                                      <w:sz w:val="21"/>
                                    </w:rPr>
                                  </w:pPr>
                                  <w:r>
                                    <w:rPr>
                                      <w:b/>
                                      <w:sz w:val="21"/>
                                    </w:rPr>
                                    <w:t>《中国工程院院士科学道德守则》</w:t>
                                  </w:r>
                                </w:p>
                                <w:p>
                                  <w:pPr>
                                    <w:pStyle w:val="8"/>
                                    <w:spacing w:line="360" w:lineRule="atLeast"/>
                                    <w:ind w:left="13" w:right="6" w:firstLine="420"/>
                                    <w:jc w:val="both"/>
                                    <w:rPr>
                                      <w:sz w:val="21"/>
                                    </w:rPr>
                                  </w:pPr>
                                  <w:r>
                                    <w:rPr>
                                      <w:sz w:val="21"/>
                                    </w:rPr>
                                    <w:t>维护院士荣誉和中国工程院形象是院士应尽的责任。当院士的个人行为有违科学道德、损害国家利益， 甚至触犯国家法律时，将视情节，根据《中国工程院章程》及相关规定，给予严肃处理，包括告诫谈话、内部批评、公开通报、取消院士称号。</w:t>
                                  </w:r>
                                </w:p>
                              </w:tc>
                              <w:tc>
                                <w:tcPr>
                                  <w:tcW w:w="1979" w:type="dxa"/>
                                </w:tcPr>
                                <w:p>
                                  <w:pPr>
                                    <w:pStyle w:val="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68" w:hRule="atLeast"/>
                              </w:trPr>
                              <w:tc>
                                <w:tcPr>
                                  <w:tcW w:w="1743" w:type="dxa"/>
                                </w:tcPr>
                                <w:p>
                                  <w:pPr>
                                    <w:pStyle w:val="8"/>
                                    <w:rPr>
                                      <w:sz w:val="20"/>
                                    </w:rPr>
                                  </w:pPr>
                                </w:p>
                                <w:p>
                                  <w:pPr>
                                    <w:pStyle w:val="8"/>
                                    <w:rPr>
                                      <w:sz w:val="20"/>
                                    </w:rPr>
                                  </w:pPr>
                                </w:p>
                                <w:p>
                                  <w:pPr>
                                    <w:pStyle w:val="8"/>
                                    <w:rPr>
                                      <w:sz w:val="20"/>
                                    </w:rPr>
                                  </w:pPr>
                                </w:p>
                                <w:p>
                                  <w:pPr>
                                    <w:pStyle w:val="8"/>
                                    <w:rPr>
                                      <w:sz w:val="20"/>
                                    </w:rPr>
                                  </w:pPr>
                                </w:p>
                                <w:p>
                                  <w:pPr>
                                    <w:pStyle w:val="8"/>
                                    <w:rPr>
                                      <w:sz w:val="20"/>
                                    </w:rPr>
                                  </w:pPr>
                                </w:p>
                                <w:p>
                                  <w:pPr>
                                    <w:pStyle w:val="8"/>
                                    <w:spacing w:before="5"/>
                                    <w:rPr>
                                      <w:sz w:val="16"/>
                                    </w:rPr>
                                  </w:pPr>
                                </w:p>
                                <w:p>
                                  <w:pPr>
                                    <w:pStyle w:val="8"/>
                                    <w:spacing w:line="278" w:lineRule="auto"/>
                                    <w:ind w:left="14" w:right="2"/>
                                    <w:jc w:val="both"/>
                                    <w:rPr>
                                      <w:sz w:val="21"/>
                                    </w:rPr>
                                  </w:pPr>
                                  <w:r>
                                    <w:rPr>
                                      <w:rFonts w:ascii="Times New Roman" w:eastAsia="Times New Roman"/>
                                      <w:sz w:val="21"/>
                                    </w:rPr>
                                    <w:t xml:space="preserve">11. </w:t>
                                  </w:r>
                                  <w:r>
                                    <w:rPr>
                                      <w:sz w:val="21"/>
                                    </w:rPr>
                                    <w:t>按程序及时撤销相关荣誉称号， 取消参加评优评先资格。</w:t>
                                  </w:r>
                                </w:p>
                              </w:tc>
                              <w:tc>
                                <w:tcPr>
                                  <w:tcW w:w="9915" w:type="dxa"/>
                                </w:tcPr>
                                <w:p>
                                  <w:pPr>
                                    <w:pStyle w:val="8"/>
                                    <w:spacing w:before="61" w:line="321" w:lineRule="auto"/>
                                    <w:ind w:left="13" w:right="394"/>
                                    <w:rPr>
                                      <w:b/>
                                      <w:sz w:val="21"/>
                                    </w:rPr>
                                  </w:pPr>
                                  <w:r>
                                    <w:rPr>
                                      <w:b/>
                                      <w:spacing w:val="-2"/>
                                      <w:w w:val="95"/>
                                      <w:sz w:val="21"/>
                                    </w:rPr>
                                    <w:t>《国务院关于建立完善守信联合激励和失信联合惩戒制度加快推进社会诚信建设的指导意见》</w:t>
                                  </w:r>
                                  <w:r>
                                    <w:rPr>
                                      <w:b/>
                                      <w:w w:val="95"/>
                                      <w:sz w:val="21"/>
                                    </w:rPr>
                                    <w:t>（</w:t>
                                  </w:r>
                                  <w:r>
                                    <w:rPr>
                                      <w:b/>
                                      <w:spacing w:val="-14"/>
                                      <w:w w:val="95"/>
                                      <w:sz w:val="21"/>
                                    </w:rPr>
                                    <w:t>国发〔</w:t>
                                  </w:r>
                                  <w:r>
                                    <w:rPr>
                                      <w:rFonts w:ascii="Times New Roman" w:eastAsia="Times New Roman"/>
                                      <w:b/>
                                      <w:w w:val="95"/>
                                      <w:sz w:val="21"/>
                                    </w:rPr>
                                    <w:t xml:space="preserve">2016      </w:t>
                                  </w:r>
                                  <w:r>
                                    <w:rPr>
                                      <w:rFonts w:ascii="Times New Roman" w:eastAsia="Times New Roman"/>
                                      <w:b/>
                                      <w:sz w:val="21"/>
                                    </w:rPr>
                                    <w:t>33</w:t>
                                  </w:r>
                                  <w:r>
                                    <w:rPr>
                                      <w:rFonts w:ascii="Times New Roman" w:eastAsia="Times New Roman"/>
                                      <w:b/>
                                      <w:spacing w:val="-1"/>
                                      <w:sz w:val="21"/>
                                    </w:rPr>
                                    <w:t xml:space="preserve"> </w:t>
                                  </w:r>
                                  <w:r>
                                    <w:rPr>
                                      <w:b/>
                                      <w:sz w:val="21"/>
                                    </w:rPr>
                                    <w:t>号）</w:t>
                                  </w:r>
                                </w:p>
                                <w:p>
                                  <w:pPr>
                                    <w:pStyle w:val="8"/>
                                    <w:spacing w:line="321" w:lineRule="auto"/>
                                    <w:ind w:left="13" w:right="20" w:firstLine="420"/>
                                    <w:rPr>
                                      <w:sz w:val="21"/>
                                    </w:rPr>
                                  </w:pPr>
                                  <w:r>
                                    <w:rPr>
                                      <w:w w:val="95"/>
                                      <w:sz w:val="21"/>
                                    </w:rPr>
                                    <w:t>（十）依法依规加强对失信行为的行政性约束和惩戒。对严重失信主体，各地区、各有关部门应将其列为重点监管对象，依法依规采取行政性约束和惩戒措施。从严审核行政许可审批项目，从严控制生产许可证</w:t>
                                  </w:r>
                                  <w:r>
                                    <w:rPr>
                                      <w:spacing w:val="-9"/>
                                      <w:sz w:val="21"/>
                                    </w:rPr>
                                    <w:t>发放，限制新增项目审批、核准，限制股票发行上市融资或发行债券，限制在全国股份转让系统挂牌、融资</w:t>
                                  </w:r>
                                  <w:r>
                                    <w:rPr>
                                      <w:spacing w:val="-9"/>
                                      <w:w w:val="95"/>
                                      <w:sz w:val="21"/>
                                    </w:rPr>
                                    <w:t>限制发起设立或参股金融机构以及小额贷款公司、融资担保公司、创业投资公司、互联网融资平台等机构，限制从事互联网信息服务等。严格限制申请财政性资金项目，限制参与有关公共资源交易活动，限制参与基础设施和公用事业特许经营。对严重失信企业及其法定代表人、主要负责人和对失信行为负有直接责任的注册执业人员等实施市场和行业禁入措施。及时撤销严重失信企业及其法定代表人、负责人、高级管理人员和</w:t>
                                  </w:r>
                                  <w:r>
                                    <w:rPr>
                                      <w:spacing w:val="-9"/>
                                      <w:sz w:val="21"/>
                                    </w:rPr>
                                    <w:t>对失信行为负有直接责任的董事、股东等人员的荣誉称号，取消参加评先评优资格。</w:t>
                                  </w:r>
                                </w:p>
                                <w:p>
                                  <w:pPr>
                                    <w:pStyle w:val="8"/>
                                    <w:spacing w:line="265" w:lineRule="exact"/>
                                    <w:ind w:left="13"/>
                                    <w:rPr>
                                      <w:b/>
                                      <w:sz w:val="21"/>
                                    </w:rPr>
                                  </w:pPr>
                                  <w:r>
                                    <w:rPr>
                                      <w:b/>
                                      <w:sz w:val="21"/>
                                    </w:rPr>
                                    <w:t>《国务院关于促进市场公平竞争维护市场正常秩序的若干意见》（国发〔</w:t>
                                  </w:r>
                                  <w:r>
                                    <w:rPr>
                                      <w:rFonts w:ascii="Times New Roman" w:eastAsia="Times New Roman"/>
                                      <w:b/>
                                      <w:sz w:val="21"/>
                                    </w:rPr>
                                    <w:t>2014</w:t>
                                  </w:r>
                                  <w:r>
                                    <w:rPr>
                                      <w:b/>
                                      <w:sz w:val="21"/>
                                    </w:rPr>
                                    <w:t>〕</w:t>
                                  </w:r>
                                  <w:r>
                                    <w:rPr>
                                      <w:rFonts w:ascii="Times New Roman" w:eastAsia="Times New Roman"/>
                                      <w:b/>
                                      <w:sz w:val="21"/>
                                    </w:rPr>
                                    <w:t xml:space="preserve">20 </w:t>
                                  </w:r>
                                  <w:r>
                                    <w:rPr>
                                      <w:b/>
                                      <w:sz w:val="21"/>
                                    </w:rPr>
                                    <w:t>号）</w:t>
                                  </w:r>
                                </w:p>
                                <w:p>
                                  <w:pPr>
                                    <w:pStyle w:val="8"/>
                                    <w:spacing w:line="360" w:lineRule="atLeast"/>
                                    <w:ind w:left="13" w:right="20" w:firstLine="420"/>
                                    <w:jc w:val="both"/>
                                    <w:rPr>
                                      <w:sz w:val="21"/>
                                    </w:rPr>
                                  </w:pPr>
                                  <w:r>
                                    <w:rPr>
                                      <w:w w:val="95"/>
                                      <w:sz w:val="21"/>
                                    </w:rPr>
                                    <w:t>（十五）建立健全守信激励和失信惩戒机制。将市场主体的信用信息作为实施行政管理的重要参考。根据市场主体信用状况实行分类分级、动态监管，建立健全经营异常名录制度，对违背市场竞争原则和侵犯消</w:t>
                                  </w:r>
                                  <w:r>
                                    <w:rPr>
                                      <w:sz w:val="21"/>
                                    </w:rPr>
                                    <w:t>费者、劳动者合法权益的市场主体建立</w:t>
                                  </w:r>
                                  <w:r>
                                    <w:rPr>
                                      <w:rFonts w:ascii="Times New Roman" w:hAnsi="Times New Roman" w:eastAsia="Times New Roman"/>
                                      <w:sz w:val="21"/>
                                    </w:rPr>
                                    <w:t>“</w:t>
                                  </w:r>
                                  <w:r>
                                    <w:rPr>
                                      <w:sz w:val="21"/>
                                    </w:rPr>
                                    <w:t>黑名单</w:t>
                                  </w:r>
                                  <w:r>
                                    <w:rPr>
                                      <w:rFonts w:ascii="Times New Roman" w:hAnsi="Times New Roman" w:eastAsia="Times New Roman"/>
                                      <w:sz w:val="21"/>
                                    </w:rPr>
                                    <w:t>”</w:t>
                                  </w:r>
                                  <w:r>
                                    <w:rPr>
                                      <w:sz w:val="21"/>
                                    </w:rPr>
                                    <w:t>制度。（工商总局牵头负责）对守信主体予以支持和激励，</w:t>
                                  </w:r>
                                </w:p>
                              </w:tc>
                              <w:tc>
                                <w:tcPr>
                                  <w:tcW w:w="1979" w:type="dxa"/>
                                </w:tcPr>
                                <w:p>
                                  <w:pPr>
                                    <w:pStyle w:val="8"/>
                                    <w:spacing w:before="61"/>
                                    <w:ind w:left="-122"/>
                                    <w:rPr>
                                      <w:b/>
                                      <w:sz w:val="21"/>
                                    </w:rPr>
                                  </w:pPr>
                                  <w:r>
                                    <w:rPr>
                                      <w:b/>
                                      <w:w w:val="99"/>
                                      <w:sz w:val="21"/>
                                    </w:rPr>
                                    <w:t>〕</w:t>
                                  </w:r>
                                </w:p>
                                <w:p>
                                  <w:pPr>
                                    <w:pStyle w:val="8"/>
                                    <w:rPr>
                                      <w:sz w:val="20"/>
                                    </w:rPr>
                                  </w:pPr>
                                </w:p>
                                <w:p>
                                  <w:pPr>
                                    <w:pStyle w:val="8"/>
                                    <w:rPr>
                                      <w:sz w:val="20"/>
                                    </w:rPr>
                                  </w:pPr>
                                </w:p>
                                <w:p>
                                  <w:pPr>
                                    <w:pStyle w:val="8"/>
                                    <w:rPr>
                                      <w:sz w:val="20"/>
                                    </w:rPr>
                                  </w:pPr>
                                </w:p>
                                <w:p>
                                  <w:pPr>
                                    <w:pStyle w:val="8"/>
                                    <w:rPr>
                                      <w:sz w:val="20"/>
                                    </w:rPr>
                                  </w:pPr>
                                </w:p>
                                <w:p>
                                  <w:pPr>
                                    <w:pStyle w:val="8"/>
                                    <w:spacing w:before="146" w:line="222" w:lineRule="exact"/>
                                    <w:ind w:left="-122"/>
                                    <w:rPr>
                                      <w:sz w:val="21"/>
                                    </w:rPr>
                                  </w:pPr>
                                  <w:r>
                                    <w:rPr>
                                      <w:w w:val="99"/>
                                      <w:sz w:val="21"/>
                                    </w:rPr>
                                    <w:t>，</w:t>
                                  </w:r>
                                </w:p>
                                <w:p>
                                  <w:pPr>
                                    <w:pStyle w:val="8"/>
                                    <w:spacing w:line="222" w:lineRule="exact"/>
                                    <w:ind w:left="15"/>
                                    <w:rPr>
                                      <w:sz w:val="21"/>
                                    </w:rPr>
                                  </w:pPr>
                                  <w:r>
                                    <w:rPr>
                                      <w:sz w:val="21"/>
                                    </w:rPr>
                                    <w:t>中央宣传部、中央文</w:t>
                                  </w:r>
                                </w:p>
                                <w:p>
                                  <w:pPr>
                                    <w:pStyle w:val="8"/>
                                    <w:spacing w:before="91" w:line="321" w:lineRule="auto"/>
                                    <w:ind w:left="15" w:right="2"/>
                                    <w:rPr>
                                      <w:sz w:val="21"/>
                                    </w:rPr>
                                  </w:pPr>
                                  <w:r>
                                    <w:rPr>
                                      <w:sz w:val="21"/>
                                    </w:rPr>
                                    <w:t>明办、人力资源社会保障部、全国总工会共青团中央、全国妇联、中国科协</w:t>
                                  </w:r>
                                </w:p>
                              </w:tc>
                            </w:tr>
                          </w:tbl>
                          <w:p>
                            <w:pPr>
                              <w:pStyle w:val="3"/>
                            </w:pPr>
                          </w:p>
                        </w:txbxContent>
                      </wps:txbx>
                      <wps:bodyPr lIns="0" tIns="0" rIns="0" bIns="0" upright="1"/>
                    </wps:wsp>
                  </a:graphicData>
                </a:graphic>
              </wp:anchor>
            </w:drawing>
          </mc:Choice>
          <mc:Fallback>
            <w:pict>
              <v:shape id="文本框 3" o:spid="_x0000_s1026" o:spt="202" type="#_x0000_t202" style="position:absolute;left:0pt;margin-left:101.85pt;margin-top:71.95pt;height:445pt;width:682.6pt;mso-position-horizontal-relative:page;mso-position-vertical-relative:page;z-index:251659264;mso-width-relative:page;mso-height-relative:page;" filled="f" stroked="f" coordsize="21600,21600" o:gfxdata="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BVUGZ7aAAAADQEAAA8AAAAA&#10;AAAAAQAgAAAAIgAAAGRycy9kb3ducmV2LnhtbFBLAQIUABQAAAAIAIdO4kChUC+roAEAACUDAAAO&#10;AAAAAAAAAAEAIAAAACkBAABkcnMvZTJvRG9jLnhtbFBLBQYAAAAABgAGAFkBAAA7BQAAAAA=&#10;">
                <v:fill on="f" focussize="0,0"/>
                <v:stroke on="f"/>
                <v:imagedata o:title=""/>
                <o:lock v:ext="edit" aspectratio="f"/>
                <v:textbox inset="0mm,0mm,0mm,0mm">
                  <w:txbxContent>
                    <w:tbl>
                      <w:tblPr>
                        <w:tblStyle w:val="4"/>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43"/>
                        <w:gridCol w:w="9915"/>
                        <w:gridCol w:w="197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 w:hRule="atLeast"/>
                        </w:trPr>
                        <w:tc>
                          <w:tcPr>
                            <w:tcW w:w="1743" w:type="dxa"/>
                          </w:tcPr>
                          <w:p>
                            <w:pPr>
                              <w:pStyle w:val="8"/>
                              <w:spacing w:before="63" w:line="438" w:lineRule="exact"/>
                              <w:ind w:left="271"/>
                              <w:rPr>
                                <w:rFonts w:hint="eastAsia" w:ascii="Arial Unicode MS" w:eastAsia="Arial Unicode MS"/>
                                <w:sz w:val="30"/>
                              </w:rPr>
                            </w:pPr>
                            <w:r>
                              <w:rPr>
                                <w:rFonts w:hint="eastAsia" w:ascii="Arial Unicode MS" w:eastAsia="Arial Unicode MS"/>
                                <w:sz w:val="30"/>
                              </w:rPr>
                              <w:t>惩戒措施</w:t>
                            </w:r>
                          </w:p>
                        </w:tc>
                        <w:tc>
                          <w:tcPr>
                            <w:tcW w:w="9915" w:type="dxa"/>
                          </w:tcPr>
                          <w:p>
                            <w:pPr>
                              <w:pStyle w:val="8"/>
                              <w:spacing w:line="502" w:lineRule="exact"/>
                              <w:ind w:left="3886" w:right="3878"/>
                              <w:jc w:val="center"/>
                              <w:rPr>
                                <w:rFonts w:hint="eastAsia" w:ascii="Arial Unicode MS" w:eastAsia="Arial Unicode MS"/>
                                <w:sz w:val="30"/>
                              </w:rPr>
                            </w:pPr>
                            <w:r>
                              <w:rPr>
                                <w:rFonts w:hint="eastAsia" w:ascii="Arial Unicode MS" w:eastAsia="Arial Unicode MS"/>
                                <w:sz w:val="30"/>
                              </w:rPr>
                              <w:t>法律及政策依据</w:t>
                            </w:r>
                          </w:p>
                        </w:tc>
                        <w:tc>
                          <w:tcPr>
                            <w:tcW w:w="1979" w:type="dxa"/>
                          </w:tcPr>
                          <w:p>
                            <w:pPr>
                              <w:pStyle w:val="8"/>
                              <w:spacing w:line="502" w:lineRule="exact"/>
                              <w:ind w:left="387"/>
                              <w:rPr>
                                <w:rFonts w:hint="eastAsia" w:ascii="Arial Unicode MS" w:eastAsia="Arial Unicode MS"/>
                                <w:sz w:val="30"/>
                              </w:rPr>
                            </w:pPr>
                            <w:r>
                              <w:rPr>
                                <w:rFonts w:hint="eastAsia" w:ascii="Arial Unicode MS" w:eastAsia="Arial Unicode MS"/>
                                <w:sz w:val="30"/>
                              </w:rPr>
                              <w:t>实施部门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9" w:hRule="atLeast"/>
                        </w:trPr>
                        <w:tc>
                          <w:tcPr>
                            <w:tcW w:w="1743" w:type="dxa"/>
                          </w:tcPr>
                          <w:p>
                            <w:pPr>
                              <w:pStyle w:val="8"/>
                              <w:rPr>
                                <w:rFonts w:ascii="Times New Roman"/>
                                <w:sz w:val="20"/>
                              </w:rPr>
                            </w:pPr>
                          </w:p>
                        </w:tc>
                        <w:tc>
                          <w:tcPr>
                            <w:tcW w:w="9915" w:type="dxa"/>
                          </w:tcPr>
                          <w:p>
                            <w:pPr>
                              <w:pStyle w:val="8"/>
                              <w:numPr>
                                <w:ilvl w:val="0"/>
                                <w:numId w:val="5"/>
                              </w:numPr>
                              <w:tabs>
                                <w:tab w:val="left" w:pos="750"/>
                              </w:tabs>
                              <w:spacing w:before="60" w:after="0" w:line="321" w:lineRule="auto"/>
                              <w:ind w:left="13" w:right="3" w:firstLine="420"/>
                              <w:jc w:val="left"/>
                              <w:rPr>
                                <w:sz w:val="21"/>
                              </w:rPr>
                            </w:pPr>
                            <w:r>
                              <w:rPr>
                                <w:spacing w:val="-7"/>
                                <w:w w:val="95"/>
                                <w:sz w:val="21"/>
                              </w:rPr>
                              <w:t>警告。对院士的警告须由该院士所在学部常委会提出，经道德委员会会议审议通过，并报学部主席团</w:t>
                            </w:r>
                            <w:r>
                              <w:rPr>
                                <w:spacing w:val="-7"/>
                                <w:sz w:val="21"/>
                              </w:rPr>
                              <w:t>批准。</w:t>
                            </w:r>
                          </w:p>
                          <w:p>
                            <w:pPr>
                              <w:pStyle w:val="8"/>
                              <w:numPr>
                                <w:ilvl w:val="0"/>
                                <w:numId w:val="5"/>
                              </w:numPr>
                              <w:tabs>
                                <w:tab w:val="left" w:pos="750"/>
                              </w:tabs>
                              <w:spacing w:before="0" w:after="0" w:line="268" w:lineRule="exact"/>
                              <w:ind w:left="749" w:right="0" w:hanging="317"/>
                              <w:jc w:val="left"/>
                              <w:rPr>
                                <w:sz w:val="21"/>
                              </w:rPr>
                            </w:pPr>
                            <w:r>
                              <w:rPr>
                                <w:sz w:val="21"/>
                              </w:rPr>
                              <w:t>撤销院士称号。根据</w:t>
                            </w:r>
                            <w:r>
                              <w:rPr>
                                <w:rFonts w:ascii="Times New Roman" w:hAnsi="Times New Roman" w:eastAsia="Times New Roman"/>
                                <w:sz w:val="21"/>
                              </w:rPr>
                              <w:t>“</w:t>
                            </w:r>
                            <w:r>
                              <w:rPr>
                                <w:sz w:val="21"/>
                              </w:rPr>
                              <w:t>院士章程</w:t>
                            </w:r>
                            <w:r>
                              <w:rPr>
                                <w:rFonts w:ascii="Times New Roman" w:hAnsi="Times New Roman" w:eastAsia="Times New Roman"/>
                                <w:sz w:val="21"/>
                              </w:rPr>
                              <w:t>”</w:t>
                            </w:r>
                            <w:r>
                              <w:rPr>
                                <w:sz w:val="21"/>
                              </w:rPr>
                              <w:t>第二章第九条规定需要除名的，按</w:t>
                            </w:r>
                            <w:r>
                              <w:rPr>
                                <w:rFonts w:ascii="Times New Roman" w:hAnsi="Times New Roman" w:eastAsia="Times New Roman"/>
                                <w:sz w:val="21"/>
                              </w:rPr>
                              <w:t>“</w:t>
                            </w:r>
                            <w:r>
                              <w:rPr>
                                <w:sz w:val="21"/>
                              </w:rPr>
                              <w:t>院士章程</w:t>
                            </w:r>
                            <w:r>
                              <w:rPr>
                                <w:rFonts w:ascii="Times New Roman" w:hAnsi="Times New Roman" w:eastAsia="Times New Roman"/>
                                <w:sz w:val="21"/>
                              </w:rPr>
                              <w:t>”</w:t>
                            </w:r>
                            <w:r>
                              <w:rPr>
                                <w:sz w:val="21"/>
                              </w:rPr>
                              <w:t>规定处理。</w:t>
                            </w:r>
                          </w:p>
                          <w:p>
                            <w:pPr>
                              <w:pStyle w:val="8"/>
                              <w:numPr>
                                <w:ilvl w:val="0"/>
                                <w:numId w:val="5"/>
                              </w:numPr>
                              <w:tabs>
                                <w:tab w:val="left" w:pos="750"/>
                              </w:tabs>
                              <w:spacing w:before="91" w:after="0" w:line="321" w:lineRule="auto"/>
                              <w:ind w:left="13" w:right="5" w:firstLine="420"/>
                              <w:jc w:val="left"/>
                              <w:rPr>
                                <w:sz w:val="21"/>
                              </w:rPr>
                            </w:pPr>
                            <w:r>
                              <w:rPr>
                                <w:spacing w:val="-5"/>
                                <w:w w:val="95"/>
                                <w:sz w:val="21"/>
                              </w:rPr>
                              <w:t>进行纪律教育的结果，原则上应通报院士所在单位，并向投诉人回复。被撤销院士称号的，通报全体</w:t>
                            </w:r>
                            <w:r>
                              <w:rPr>
                                <w:spacing w:val="-5"/>
                                <w:sz w:val="21"/>
                              </w:rPr>
                              <w:t>院士和院士所在单位并视情况向社会公布。</w:t>
                            </w:r>
                          </w:p>
                          <w:p>
                            <w:pPr>
                              <w:pStyle w:val="8"/>
                              <w:spacing w:line="268" w:lineRule="exact"/>
                              <w:ind w:left="13"/>
                              <w:rPr>
                                <w:b/>
                                <w:sz w:val="21"/>
                              </w:rPr>
                            </w:pPr>
                            <w:r>
                              <w:rPr>
                                <w:b/>
                                <w:sz w:val="21"/>
                              </w:rPr>
                              <w:t>《中国工程院院士科学道德守则》</w:t>
                            </w:r>
                          </w:p>
                          <w:p>
                            <w:pPr>
                              <w:pStyle w:val="8"/>
                              <w:spacing w:line="360" w:lineRule="atLeast"/>
                              <w:ind w:left="13" w:right="6" w:firstLine="420"/>
                              <w:jc w:val="both"/>
                              <w:rPr>
                                <w:sz w:val="21"/>
                              </w:rPr>
                            </w:pPr>
                            <w:r>
                              <w:rPr>
                                <w:sz w:val="21"/>
                              </w:rPr>
                              <w:t>维护院士荣誉和中国工程院形象是院士应尽的责任。当院士的个人行为有违科学道德、损害国家利益， 甚至触犯国家法律时，将视情节，根据《中国工程院章程》及相关规定，给予严肃处理，包括告诫谈话、内部批评、公开通报、取消院士称号。</w:t>
                            </w:r>
                          </w:p>
                        </w:tc>
                        <w:tc>
                          <w:tcPr>
                            <w:tcW w:w="1979" w:type="dxa"/>
                          </w:tcPr>
                          <w:p>
                            <w:pPr>
                              <w:pStyle w:val="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68" w:hRule="atLeast"/>
                        </w:trPr>
                        <w:tc>
                          <w:tcPr>
                            <w:tcW w:w="1743" w:type="dxa"/>
                          </w:tcPr>
                          <w:p>
                            <w:pPr>
                              <w:pStyle w:val="8"/>
                              <w:rPr>
                                <w:sz w:val="20"/>
                              </w:rPr>
                            </w:pPr>
                          </w:p>
                          <w:p>
                            <w:pPr>
                              <w:pStyle w:val="8"/>
                              <w:rPr>
                                <w:sz w:val="20"/>
                              </w:rPr>
                            </w:pPr>
                          </w:p>
                          <w:p>
                            <w:pPr>
                              <w:pStyle w:val="8"/>
                              <w:rPr>
                                <w:sz w:val="20"/>
                              </w:rPr>
                            </w:pPr>
                          </w:p>
                          <w:p>
                            <w:pPr>
                              <w:pStyle w:val="8"/>
                              <w:rPr>
                                <w:sz w:val="20"/>
                              </w:rPr>
                            </w:pPr>
                          </w:p>
                          <w:p>
                            <w:pPr>
                              <w:pStyle w:val="8"/>
                              <w:rPr>
                                <w:sz w:val="20"/>
                              </w:rPr>
                            </w:pPr>
                          </w:p>
                          <w:p>
                            <w:pPr>
                              <w:pStyle w:val="8"/>
                              <w:spacing w:before="5"/>
                              <w:rPr>
                                <w:sz w:val="16"/>
                              </w:rPr>
                            </w:pPr>
                          </w:p>
                          <w:p>
                            <w:pPr>
                              <w:pStyle w:val="8"/>
                              <w:spacing w:line="278" w:lineRule="auto"/>
                              <w:ind w:left="14" w:right="2"/>
                              <w:jc w:val="both"/>
                              <w:rPr>
                                <w:sz w:val="21"/>
                              </w:rPr>
                            </w:pPr>
                            <w:r>
                              <w:rPr>
                                <w:rFonts w:ascii="Times New Roman" w:eastAsia="Times New Roman"/>
                                <w:sz w:val="21"/>
                              </w:rPr>
                              <w:t xml:space="preserve">11. </w:t>
                            </w:r>
                            <w:r>
                              <w:rPr>
                                <w:sz w:val="21"/>
                              </w:rPr>
                              <w:t>按程序及时撤销相关荣誉称号， 取消参加评优评先资格。</w:t>
                            </w:r>
                          </w:p>
                        </w:tc>
                        <w:tc>
                          <w:tcPr>
                            <w:tcW w:w="9915" w:type="dxa"/>
                          </w:tcPr>
                          <w:p>
                            <w:pPr>
                              <w:pStyle w:val="8"/>
                              <w:spacing w:before="61" w:line="321" w:lineRule="auto"/>
                              <w:ind w:left="13" w:right="394"/>
                              <w:rPr>
                                <w:b/>
                                <w:sz w:val="21"/>
                              </w:rPr>
                            </w:pPr>
                            <w:r>
                              <w:rPr>
                                <w:b/>
                                <w:spacing w:val="-2"/>
                                <w:w w:val="95"/>
                                <w:sz w:val="21"/>
                              </w:rPr>
                              <w:t>《国务院关于建立完善守信联合激励和失信联合惩戒制度加快推进社会诚信建设的指导意见》</w:t>
                            </w:r>
                            <w:r>
                              <w:rPr>
                                <w:b/>
                                <w:w w:val="95"/>
                                <w:sz w:val="21"/>
                              </w:rPr>
                              <w:t>（</w:t>
                            </w:r>
                            <w:r>
                              <w:rPr>
                                <w:b/>
                                <w:spacing w:val="-14"/>
                                <w:w w:val="95"/>
                                <w:sz w:val="21"/>
                              </w:rPr>
                              <w:t>国发〔</w:t>
                            </w:r>
                            <w:r>
                              <w:rPr>
                                <w:rFonts w:ascii="Times New Roman" w:eastAsia="Times New Roman"/>
                                <w:b/>
                                <w:w w:val="95"/>
                                <w:sz w:val="21"/>
                              </w:rPr>
                              <w:t xml:space="preserve">2016      </w:t>
                            </w:r>
                            <w:r>
                              <w:rPr>
                                <w:rFonts w:ascii="Times New Roman" w:eastAsia="Times New Roman"/>
                                <w:b/>
                                <w:sz w:val="21"/>
                              </w:rPr>
                              <w:t>33</w:t>
                            </w:r>
                            <w:r>
                              <w:rPr>
                                <w:rFonts w:ascii="Times New Roman" w:eastAsia="Times New Roman"/>
                                <w:b/>
                                <w:spacing w:val="-1"/>
                                <w:sz w:val="21"/>
                              </w:rPr>
                              <w:t xml:space="preserve"> </w:t>
                            </w:r>
                            <w:r>
                              <w:rPr>
                                <w:b/>
                                <w:sz w:val="21"/>
                              </w:rPr>
                              <w:t>号）</w:t>
                            </w:r>
                          </w:p>
                          <w:p>
                            <w:pPr>
                              <w:pStyle w:val="8"/>
                              <w:spacing w:line="321" w:lineRule="auto"/>
                              <w:ind w:left="13" w:right="20" w:firstLine="420"/>
                              <w:rPr>
                                <w:sz w:val="21"/>
                              </w:rPr>
                            </w:pPr>
                            <w:r>
                              <w:rPr>
                                <w:w w:val="95"/>
                                <w:sz w:val="21"/>
                              </w:rPr>
                              <w:t>（十）依法依规加强对失信行为的行政性约束和惩戒。对严重失信主体，各地区、各有关部门应将其列为重点监管对象，依法依规采取行政性约束和惩戒措施。从严审核行政许可审批项目，从严控制生产许可证</w:t>
                            </w:r>
                            <w:r>
                              <w:rPr>
                                <w:spacing w:val="-9"/>
                                <w:sz w:val="21"/>
                              </w:rPr>
                              <w:t>发放，限制新增项目审批、核准，限制股票发行上市融资或发行债券，限制在全国股份转让系统挂牌、融资</w:t>
                            </w:r>
                            <w:r>
                              <w:rPr>
                                <w:spacing w:val="-9"/>
                                <w:w w:val="95"/>
                                <w:sz w:val="21"/>
                              </w:rPr>
                              <w:t>限制发起设立或参股金融机构以及小额贷款公司、融资担保公司、创业投资公司、互联网融资平台等机构，限制从事互联网信息服务等。严格限制申请财政性资金项目，限制参与有关公共资源交易活动，限制参与基础设施和公用事业特许经营。对严重失信企业及其法定代表人、主要负责人和对失信行为负有直接责任的注册执业人员等实施市场和行业禁入措施。及时撤销严重失信企业及其法定代表人、负责人、高级管理人员和</w:t>
                            </w:r>
                            <w:r>
                              <w:rPr>
                                <w:spacing w:val="-9"/>
                                <w:sz w:val="21"/>
                              </w:rPr>
                              <w:t>对失信行为负有直接责任的董事、股东等人员的荣誉称号，取消参加评先评优资格。</w:t>
                            </w:r>
                          </w:p>
                          <w:p>
                            <w:pPr>
                              <w:pStyle w:val="8"/>
                              <w:spacing w:line="265" w:lineRule="exact"/>
                              <w:ind w:left="13"/>
                              <w:rPr>
                                <w:b/>
                                <w:sz w:val="21"/>
                              </w:rPr>
                            </w:pPr>
                            <w:r>
                              <w:rPr>
                                <w:b/>
                                <w:sz w:val="21"/>
                              </w:rPr>
                              <w:t>《国务院关于促进市场公平竞争维护市场正常秩序的若干意见》（国发〔</w:t>
                            </w:r>
                            <w:r>
                              <w:rPr>
                                <w:rFonts w:ascii="Times New Roman" w:eastAsia="Times New Roman"/>
                                <w:b/>
                                <w:sz w:val="21"/>
                              </w:rPr>
                              <w:t>2014</w:t>
                            </w:r>
                            <w:r>
                              <w:rPr>
                                <w:b/>
                                <w:sz w:val="21"/>
                              </w:rPr>
                              <w:t>〕</w:t>
                            </w:r>
                            <w:r>
                              <w:rPr>
                                <w:rFonts w:ascii="Times New Roman" w:eastAsia="Times New Roman"/>
                                <w:b/>
                                <w:sz w:val="21"/>
                              </w:rPr>
                              <w:t xml:space="preserve">20 </w:t>
                            </w:r>
                            <w:r>
                              <w:rPr>
                                <w:b/>
                                <w:sz w:val="21"/>
                              </w:rPr>
                              <w:t>号）</w:t>
                            </w:r>
                          </w:p>
                          <w:p>
                            <w:pPr>
                              <w:pStyle w:val="8"/>
                              <w:spacing w:line="360" w:lineRule="atLeast"/>
                              <w:ind w:left="13" w:right="20" w:firstLine="420"/>
                              <w:jc w:val="both"/>
                              <w:rPr>
                                <w:sz w:val="21"/>
                              </w:rPr>
                            </w:pPr>
                            <w:r>
                              <w:rPr>
                                <w:w w:val="95"/>
                                <w:sz w:val="21"/>
                              </w:rPr>
                              <w:t>（十五）建立健全守信激励和失信惩戒机制。将市场主体的信用信息作为实施行政管理的重要参考。根据市场主体信用状况实行分类分级、动态监管，建立健全经营异常名录制度，对违背市场竞争原则和侵犯消</w:t>
                            </w:r>
                            <w:r>
                              <w:rPr>
                                <w:sz w:val="21"/>
                              </w:rPr>
                              <w:t>费者、劳动者合法权益的市场主体建立</w:t>
                            </w:r>
                            <w:r>
                              <w:rPr>
                                <w:rFonts w:ascii="Times New Roman" w:hAnsi="Times New Roman" w:eastAsia="Times New Roman"/>
                                <w:sz w:val="21"/>
                              </w:rPr>
                              <w:t>“</w:t>
                            </w:r>
                            <w:r>
                              <w:rPr>
                                <w:sz w:val="21"/>
                              </w:rPr>
                              <w:t>黑名单</w:t>
                            </w:r>
                            <w:r>
                              <w:rPr>
                                <w:rFonts w:ascii="Times New Roman" w:hAnsi="Times New Roman" w:eastAsia="Times New Roman"/>
                                <w:sz w:val="21"/>
                              </w:rPr>
                              <w:t>”</w:t>
                            </w:r>
                            <w:r>
                              <w:rPr>
                                <w:sz w:val="21"/>
                              </w:rPr>
                              <w:t>制度。（工商总局牵头负责）对守信主体予以支持和激励，</w:t>
                            </w:r>
                          </w:p>
                        </w:tc>
                        <w:tc>
                          <w:tcPr>
                            <w:tcW w:w="1979" w:type="dxa"/>
                          </w:tcPr>
                          <w:p>
                            <w:pPr>
                              <w:pStyle w:val="8"/>
                              <w:spacing w:before="61"/>
                              <w:ind w:left="-122"/>
                              <w:rPr>
                                <w:b/>
                                <w:sz w:val="21"/>
                              </w:rPr>
                            </w:pPr>
                            <w:r>
                              <w:rPr>
                                <w:b/>
                                <w:w w:val="99"/>
                                <w:sz w:val="21"/>
                              </w:rPr>
                              <w:t>〕</w:t>
                            </w:r>
                          </w:p>
                          <w:p>
                            <w:pPr>
                              <w:pStyle w:val="8"/>
                              <w:rPr>
                                <w:sz w:val="20"/>
                              </w:rPr>
                            </w:pPr>
                          </w:p>
                          <w:p>
                            <w:pPr>
                              <w:pStyle w:val="8"/>
                              <w:rPr>
                                <w:sz w:val="20"/>
                              </w:rPr>
                            </w:pPr>
                          </w:p>
                          <w:p>
                            <w:pPr>
                              <w:pStyle w:val="8"/>
                              <w:rPr>
                                <w:sz w:val="20"/>
                              </w:rPr>
                            </w:pPr>
                          </w:p>
                          <w:p>
                            <w:pPr>
                              <w:pStyle w:val="8"/>
                              <w:rPr>
                                <w:sz w:val="20"/>
                              </w:rPr>
                            </w:pPr>
                          </w:p>
                          <w:p>
                            <w:pPr>
                              <w:pStyle w:val="8"/>
                              <w:spacing w:before="146" w:line="222" w:lineRule="exact"/>
                              <w:ind w:left="-122"/>
                              <w:rPr>
                                <w:sz w:val="21"/>
                              </w:rPr>
                            </w:pPr>
                            <w:r>
                              <w:rPr>
                                <w:w w:val="99"/>
                                <w:sz w:val="21"/>
                              </w:rPr>
                              <w:t>，</w:t>
                            </w:r>
                          </w:p>
                          <w:p>
                            <w:pPr>
                              <w:pStyle w:val="8"/>
                              <w:spacing w:line="222" w:lineRule="exact"/>
                              <w:ind w:left="15"/>
                              <w:rPr>
                                <w:sz w:val="21"/>
                              </w:rPr>
                            </w:pPr>
                            <w:r>
                              <w:rPr>
                                <w:sz w:val="21"/>
                              </w:rPr>
                              <w:t>中央宣传部、中央文</w:t>
                            </w:r>
                          </w:p>
                          <w:p>
                            <w:pPr>
                              <w:pStyle w:val="8"/>
                              <w:spacing w:before="91" w:line="321" w:lineRule="auto"/>
                              <w:ind w:left="15" w:right="2"/>
                              <w:rPr>
                                <w:sz w:val="21"/>
                              </w:rPr>
                            </w:pPr>
                            <w:r>
                              <w:rPr>
                                <w:sz w:val="21"/>
                              </w:rPr>
                              <w:t>明办、人力资源社会保障部、全国总工会共青团中央、全国妇联、中国科协</w:t>
                            </w:r>
                          </w:p>
                        </w:tc>
                      </w:tr>
                    </w:tbl>
                    <w:p>
                      <w:pPr>
                        <w:pStyle w:val="3"/>
                      </w:pPr>
                    </w:p>
                  </w:txbxContent>
                </v:textbox>
              </v:shape>
            </w:pict>
          </mc:Fallback>
        </mc:AlternateContent>
      </w: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spacing w:before="8"/>
        <w:rPr>
          <w:rFonts w:ascii="Times New Roman"/>
          <w:sz w:val="23"/>
        </w:rPr>
      </w:pPr>
    </w:p>
    <w:p>
      <w:pPr>
        <w:spacing w:before="70"/>
        <w:ind w:left="0" w:right="107" w:firstLine="0"/>
        <w:jc w:val="right"/>
        <w:rPr>
          <w:sz w:val="21"/>
        </w:rPr>
      </w:pPr>
      <w:r>
        <w:rPr>
          <w:w w:val="99"/>
          <w:sz w:val="21"/>
        </w:rPr>
        <w:t>、</w:t>
      </w:r>
    </w:p>
    <w:p>
      <w:pPr>
        <w:spacing w:after="0"/>
        <w:jc w:val="right"/>
        <w:rPr>
          <w:sz w:val="21"/>
        </w:rPr>
        <w:sectPr>
          <w:pgSz w:w="16840" w:h="11910" w:orient="landscape"/>
          <w:pgMar w:top="1100" w:right="960" w:bottom="1160" w:left="1700" w:header="0" w:footer="979" w:gutter="0"/>
        </w:sectPr>
      </w:pPr>
    </w:p>
    <w:p>
      <w:pPr>
        <w:pStyle w:val="3"/>
        <w:rPr>
          <w:rFonts w:ascii="Times New Roman"/>
          <w:sz w:val="29"/>
        </w:rPr>
      </w:pPr>
    </w:p>
    <w:tbl>
      <w:tblPr>
        <w:tblStyle w:val="4"/>
        <w:tblW w:w="0" w:type="auto"/>
        <w:tblInd w:w="34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43"/>
        <w:gridCol w:w="9915"/>
        <w:gridCol w:w="197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 w:hRule="atLeast"/>
        </w:trPr>
        <w:tc>
          <w:tcPr>
            <w:tcW w:w="1743" w:type="dxa"/>
          </w:tcPr>
          <w:p>
            <w:pPr>
              <w:pStyle w:val="8"/>
              <w:spacing w:before="63" w:line="438" w:lineRule="exact"/>
              <w:ind w:left="271"/>
              <w:rPr>
                <w:rFonts w:hint="eastAsia" w:ascii="Arial Unicode MS" w:eastAsia="Arial Unicode MS"/>
                <w:sz w:val="30"/>
              </w:rPr>
            </w:pPr>
            <w:r>
              <w:rPr>
                <w:rFonts w:hint="eastAsia" w:ascii="Arial Unicode MS" w:eastAsia="Arial Unicode MS"/>
                <w:sz w:val="30"/>
              </w:rPr>
              <w:t>惩戒措施</w:t>
            </w:r>
          </w:p>
        </w:tc>
        <w:tc>
          <w:tcPr>
            <w:tcW w:w="9915" w:type="dxa"/>
          </w:tcPr>
          <w:p>
            <w:pPr>
              <w:pStyle w:val="8"/>
              <w:spacing w:line="502" w:lineRule="exact"/>
              <w:ind w:left="3886" w:right="3878"/>
              <w:jc w:val="center"/>
              <w:rPr>
                <w:rFonts w:hint="eastAsia" w:ascii="Arial Unicode MS" w:eastAsia="Arial Unicode MS"/>
                <w:sz w:val="30"/>
              </w:rPr>
            </w:pPr>
            <w:r>
              <w:rPr>
                <w:rFonts w:hint="eastAsia" w:ascii="Arial Unicode MS" w:eastAsia="Arial Unicode MS"/>
                <w:sz w:val="30"/>
              </w:rPr>
              <w:t>法律及政策依据</w:t>
            </w:r>
          </w:p>
        </w:tc>
        <w:tc>
          <w:tcPr>
            <w:tcW w:w="1979" w:type="dxa"/>
          </w:tcPr>
          <w:p>
            <w:pPr>
              <w:pStyle w:val="8"/>
              <w:spacing w:line="502" w:lineRule="exact"/>
              <w:ind w:left="387"/>
              <w:rPr>
                <w:rFonts w:hint="eastAsia" w:ascii="Arial Unicode MS" w:eastAsia="Arial Unicode MS"/>
                <w:sz w:val="30"/>
              </w:rPr>
            </w:pPr>
            <w:r>
              <w:rPr>
                <w:rFonts w:hint="eastAsia" w:ascii="Arial Unicode MS" w:eastAsia="Arial Unicode MS"/>
                <w:sz w:val="30"/>
              </w:rPr>
              <w:t>实施部门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29" w:hRule="atLeast"/>
        </w:trPr>
        <w:tc>
          <w:tcPr>
            <w:tcW w:w="1743" w:type="dxa"/>
          </w:tcPr>
          <w:p>
            <w:pPr>
              <w:pStyle w:val="8"/>
              <w:rPr>
                <w:rFonts w:ascii="Times New Roman"/>
                <w:sz w:val="20"/>
              </w:rPr>
            </w:pPr>
          </w:p>
        </w:tc>
        <w:tc>
          <w:tcPr>
            <w:tcW w:w="9915" w:type="dxa"/>
          </w:tcPr>
          <w:p>
            <w:pPr>
              <w:pStyle w:val="8"/>
              <w:spacing w:before="60" w:line="321" w:lineRule="auto"/>
              <w:ind w:left="13" w:right="20"/>
              <w:jc w:val="both"/>
              <w:rPr>
                <w:sz w:val="21"/>
              </w:rPr>
            </w:pPr>
            <w:r>
              <w:rPr>
                <w:w w:val="95"/>
                <w:sz w:val="21"/>
              </w:rPr>
              <w:t>对失信主体在经营、投融资、取得政府供应土地、进出口、出入境、注册新公司、工程招投标、政府采购、获得荣誉、安全许可、生产许可、从业任职资格、资质审核等方面依法予以限制或禁止，对严重违法失信主</w:t>
            </w:r>
            <w:r>
              <w:rPr>
                <w:sz w:val="21"/>
              </w:rPr>
              <w:t>体实行市场禁入制度。（各相关市场监管部门按职责分工分别负责）</w:t>
            </w:r>
          </w:p>
          <w:p>
            <w:pPr>
              <w:pStyle w:val="8"/>
              <w:spacing w:line="267" w:lineRule="exact"/>
              <w:ind w:left="13"/>
              <w:rPr>
                <w:b/>
                <w:sz w:val="21"/>
              </w:rPr>
            </w:pPr>
            <w:r>
              <w:rPr>
                <w:b/>
                <w:sz w:val="21"/>
              </w:rPr>
              <w:t>《关于印发</w:t>
            </w:r>
            <w:r>
              <w:rPr>
                <w:rFonts w:ascii="Times New Roman" w:eastAsia="Times New Roman"/>
                <w:b/>
                <w:sz w:val="21"/>
              </w:rPr>
              <w:t>&lt;</w:t>
            </w:r>
            <w:r>
              <w:rPr>
                <w:b/>
                <w:sz w:val="21"/>
              </w:rPr>
              <w:t>全国道德模范荣誉称号管理暂行办法</w:t>
            </w:r>
            <w:r>
              <w:rPr>
                <w:rFonts w:ascii="Times New Roman" w:eastAsia="Times New Roman"/>
                <w:b/>
                <w:sz w:val="21"/>
              </w:rPr>
              <w:t>&gt;</w:t>
            </w:r>
            <w:r>
              <w:rPr>
                <w:b/>
                <w:sz w:val="21"/>
              </w:rPr>
              <w:t>的通知》</w:t>
            </w:r>
          </w:p>
          <w:p>
            <w:pPr>
              <w:pStyle w:val="8"/>
              <w:spacing w:before="91" w:line="321" w:lineRule="auto"/>
              <w:ind w:left="13" w:right="3" w:firstLine="420"/>
              <w:rPr>
                <w:sz w:val="21"/>
              </w:rPr>
            </w:pPr>
            <w:r>
              <w:rPr>
                <w:spacing w:val="-8"/>
                <w:sz w:val="21"/>
              </w:rPr>
              <w:t>第七条 全国道德模范及提名奖获得者产生道德滑坡，有下列情形之一的，所在属地管理责任部门向中央文明办提交调查报告，经中央文明办批准后撤销荣誉称号，收回奖章和证书。</w:t>
            </w:r>
          </w:p>
          <w:p>
            <w:pPr>
              <w:pStyle w:val="8"/>
              <w:spacing w:line="268" w:lineRule="exact"/>
              <w:ind w:left="433"/>
              <w:rPr>
                <w:sz w:val="21"/>
              </w:rPr>
            </w:pPr>
            <w:r>
              <w:rPr>
                <w:sz w:val="21"/>
              </w:rPr>
              <w:t>（三）生产经营活动严重失信的；</w:t>
            </w:r>
          </w:p>
          <w:p>
            <w:pPr>
              <w:pStyle w:val="8"/>
              <w:spacing w:before="91"/>
              <w:ind w:left="433"/>
              <w:rPr>
                <w:sz w:val="21"/>
              </w:rPr>
            </w:pPr>
            <w:r>
              <w:rPr>
                <w:sz w:val="21"/>
              </w:rPr>
              <w:t>（四）违反环境保护、计划生育、民族团结和税务、工商、安全生产政策法规的。</w:t>
            </w:r>
          </w:p>
          <w:p>
            <w:pPr>
              <w:pStyle w:val="8"/>
              <w:spacing w:before="91"/>
              <w:ind w:left="13"/>
              <w:rPr>
                <w:b/>
                <w:sz w:val="21"/>
              </w:rPr>
            </w:pPr>
            <w:r>
              <w:rPr>
                <w:b/>
                <w:sz w:val="21"/>
              </w:rPr>
              <w:t>《全国五一劳动奖状、全国五一劳动奖章、全国工人先锋号评选管理工作暂行办法》</w:t>
            </w:r>
          </w:p>
          <w:p>
            <w:pPr>
              <w:pStyle w:val="8"/>
              <w:spacing w:before="91" w:line="321" w:lineRule="auto"/>
              <w:ind w:left="13" w:right="20" w:firstLine="420"/>
              <w:jc w:val="both"/>
              <w:rPr>
                <w:sz w:val="21"/>
              </w:rPr>
            </w:pPr>
            <w:r>
              <w:rPr>
                <w:sz w:val="21"/>
              </w:rPr>
              <w:t>第七条 评选全国五一劳动奖状、全国五一劳动奖章、全国工人先锋号要面向基层、面向一线职工，坚持公开、公平、公正的原则，严格推荐评选审批程序，接受群众监督。</w:t>
            </w:r>
          </w:p>
          <w:p>
            <w:pPr>
              <w:pStyle w:val="8"/>
              <w:spacing w:line="321" w:lineRule="auto"/>
              <w:ind w:left="13" w:right="20" w:firstLine="420"/>
              <w:jc w:val="both"/>
              <w:rPr>
                <w:sz w:val="21"/>
              </w:rPr>
            </w:pPr>
            <w:r>
              <w:rPr>
                <w:w w:val="95"/>
                <w:sz w:val="21"/>
              </w:rPr>
              <w:t>（四）有拖欠职工工资，欠缴职工养老、工伤、医疗、失业、生育保险，违反国家计划生育政策，未组建工会，未建立职代会和集体合同制度，劳动关系不和谐，能源消耗超标，环境污染严重等情形之一的企业和企业负责人当年不得申报全国五一劳动奖状、全国五一劳动奖章。发生安全生产事故、严重职业危害或群</w:t>
            </w:r>
            <w:r>
              <w:rPr>
                <w:sz w:val="21"/>
              </w:rPr>
              <w:t>体性事件的企业和企业负责人自事发起三年内不得申报全国五一劳动奖状、全国五一劳动奖章。</w:t>
            </w:r>
          </w:p>
        </w:tc>
        <w:tc>
          <w:tcPr>
            <w:tcW w:w="1979" w:type="dxa"/>
          </w:tcPr>
          <w:p>
            <w:pPr>
              <w:pStyle w:val="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8" w:hRule="atLeast"/>
        </w:trPr>
        <w:tc>
          <w:tcPr>
            <w:tcW w:w="1743" w:type="dxa"/>
          </w:tcPr>
          <w:p>
            <w:pPr>
              <w:pStyle w:val="8"/>
              <w:rPr>
                <w:rFonts w:ascii="Times New Roman"/>
                <w:sz w:val="22"/>
              </w:rPr>
            </w:pPr>
          </w:p>
          <w:p>
            <w:pPr>
              <w:pStyle w:val="8"/>
              <w:spacing w:before="163"/>
              <w:ind w:left="14"/>
              <w:rPr>
                <w:sz w:val="21"/>
              </w:rPr>
            </w:pPr>
            <w:r>
              <w:rPr>
                <w:rFonts w:ascii="Times New Roman" w:eastAsia="Times New Roman"/>
                <w:sz w:val="21"/>
              </w:rPr>
              <w:t>12.</w:t>
            </w:r>
            <w:r>
              <w:rPr>
                <w:position w:val="1"/>
                <w:sz w:val="21"/>
              </w:rPr>
              <w:t>依法限制招录</w:t>
            </w:r>
          </w:p>
          <w:p>
            <w:pPr>
              <w:pStyle w:val="8"/>
              <w:spacing w:before="91" w:line="321" w:lineRule="auto"/>
              <w:ind w:left="14" w:right="38"/>
              <w:rPr>
                <w:sz w:val="21"/>
              </w:rPr>
            </w:pPr>
            <w:r>
              <w:rPr>
                <w:sz w:val="21"/>
              </w:rPr>
              <w:t>（聘）</w:t>
            </w:r>
            <w:r>
              <w:rPr>
                <w:spacing w:val="-3"/>
                <w:sz w:val="21"/>
              </w:rPr>
              <w:t>为公务员或</w:t>
            </w:r>
            <w:r>
              <w:rPr>
                <w:sz w:val="21"/>
              </w:rPr>
              <w:t>事业单位工作人 员。</w:t>
            </w:r>
          </w:p>
        </w:tc>
        <w:tc>
          <w:tcPr>
            <w:tcW w:w="9915" w:type="dxa"/>
          </w:tcPr>
          <w:p>
            <w:pPr>
              <w:pStyle w:val="8"/>
              <w:spacing w:before="61"/>
              <w:ind w:left="13"/>
              <w:rPr>
                <w:b/>
                <w:sz w:val="21"/>
              </w:rPr>
            </w:pPr>
            <w:r>
              <w:rPr>
                <w:b/>
                <w:sz w:val="21"/>
              </w:rPr>
              <w:t>《中华人民共和国公务员法》</w:t>
            </w:r>
          </w:p>
          <w:p>
            <w:pPr>
              <w:pStyle w:val="8"/>
              <w:tabs>
                <w:tab w:val="left" w:pos="1485"/>
              </w:tabs>
              <w:spacing w:before="91"/>
              <w:ind w:left="433"/>
              <w:rPr>
                <w:sz w:val="21"/>
              </w:rPr>
            </w:pPr>
            <w:r>
              <w:rPr>
                <w:sz w:val="21"/>
              </w:rPr>
              <w:t>第十一条</w:t>
            </w:r>
            <w:r>
              <w:rPr>
                <w:sz w:val="21"/>
              </w:rPr>
              <w:tab/>
            </w:r>
            <w:r>
              <w:rPr>
                <w:sz w:val="21"/>
              </w:rPr>
              <w:t>公务员应当具备下列条件：</w:t>
            </w:r>
          </w:p>
          <w:p>
            <w:pPr>
              <w:pStyle w:val="8"/>
              <w:spacing w:before="91"/>
              <w:ind w:left="433"/>
              <w:rPr>
                <w:sz w:val="21"/>
              </w:rPr>
            </w:pPr>
            <w:r>
              <w:rPr>
                <w:sz w:val="21"/>
              </w:rPr>
              <w:t>（一）具有中华人民共和国国籍；</w:t>
            </w:r>
          </w:p>
          <w:p>
            <w:pPr>
              <w:pStyle w:val="8"/>
              <w:spacing w:before="91"/>
              <w:ind w:left="433"/>
              <w:rPr>
                <w:sz w:val="21"/>
              </w:rPr>
            </w:pPr>
            <w:r>
              <w:rPr>
                <w:sz w:val="21"/>
              </w:rPr>
              <w:t>（二）年满十八周岁；</w:t>
            </w:r>
          </w:p>
          <w:p>
            <w:pPr>
              <w:pStyle w:val="8"/>
              <w:spacing w:before="91"/>
              <w:ind w:left="433"/>
              <w:rPr>
                <w:sz w:val="21"/>
              </w:rPr>
            </w:pPr>
            <w:r>
              <w:rPr>
                <w:sz w:val="21"/>
              </w:rPr>
              <w:t>（三）拥护中华人民共和国宪法；</w:t>
            </w:r>
          </w:p>
          <w:p>
            <w:pPr>
              <w:pStyle w:val="8"/>
              <w:spacing w:before="91"/>
              <w:ind w:left="433"/>
              <w:rPr>
                <w:sz w:val="21"/>
              </w:rPr>
            </w:pPr>
            <w:r>
              <w:rPr>
                <w:sz w:val="21"/>
              </w:rPr>
              <w:t>（四）具有良好的品行；</w:t>
            </w:r>
          </w:p>
          <w:p>
            <w:pPr>
              <w:pStyle w:val="8"/>
              <w:spacing w:before="91"/>
              <w:ind w:left="433"/>
              <w:rPr>
                <w:sz w:val="21"/>
              </w:rPr>
            </w:pPr>
            <w:r>
              <w:rPr>
                <w:sz w:val="21"/>
              </w:rPr>
              <w:t>（五）具有正常履行职责的身体条件；</w:t>
            </w:r>
          </w:p>
          <w:p>
            <w:pPr>
              <w:pStyle w:val="8"/>
              <w:spacing w:before="90"/>
              <w:ind w:left="433"/>
              <w:rPr>
                <w:sz w:val="21"/>
              </w:rPr>
            </w:pPr>
            <w:r>
              <w:rPr>
                <w:sz w:val="21"/>
              </w:rPr>
              <w:t>（六）具有符合职位要求的文化程度和工作能力；</w:t>
            </w:r>
          </w:p>
        </w:tc>
        <w:tc>
          <w:tcPr>
            <w:tcW w:w="1979" w:type="dxa"/>
          </w:tcPr>
          <w:p>
            <w:pPr>
              <w:pStyle w:val="8"/>
              <w:rPr>
                <w:rFonts w:ascii="Times New Roman"/>
                <w:sz w:val="20"/>
              </w:rPr>
            </w:pPr>
          </w:p>
          <w:p>
            <w:pPr>
              <w:pStyle w:val="8"/>
              <w:rPr>
                <w:rFonts w:ascii="Times New Roman"/>
                <w:sz w:val="20"/>
              </w:rPr>
            </w:pPr>
          </w:p>
          <w:p>
            <w:pPr>
              <w:pStyle w:val="8"/>
              <w:rPr>
                <w:rFonts w:ascii="Times New Roman"/>
                <w:sz w:val="20"/>
              </w:rPr>
            </w:pPr>
          </w:p>
          <w:p>
            <w:pPr>
              <w:pStyle w:val="8"/>
              <w:spacing w:before="6"/>
              <w:rPr>
                <w:rFonts w:ascii="Times New Roman"/>
                <w:sz w:val="23"/>
              </w:rPr>
            </w:pPr>
          </w:p>
          <w:p>
            <w:pPr>
              <w:pStyle w:val="8"/>
              <w:spacing w:line="321" w:lineRule="auto"/>
              <w:ind w:left="15" w:right="2"/>
              <w:jc w:val="both"/>
              <w:rPr>
                <w:sz w:val="21"/>
              </w:rPr>
            </w:pPr>
            <w:r>
              <w:rPr>
                <w:sz w:val="21"/>
              </w:rPr>
              <w:t>中央组织部、人力资源社会保障部等有关部门</w:t>
            </w:r>
          </w:p>
        </w:tc>
      </w:tr>
    </w:tbl>
    <w:p>
      <w:pPr>
        <w:spacing w:after="0" w:line="321" w:lineRule="auto"/>
        <w:jc w:val="both"/>
        <w:rPr>
          <w:sz w:val="21"/>
        </w:rPr>
        <w:sectPr>
          <w:pgSz w:w="16840" w:h="11910" w:orient="landscape"/>
          <w:pgMar w:top="1100" w:right="960" w:bottom="1160" w:left="1700" w:header="0" w:footer="979" w:gutter="0"/>
        </w:sectPr>
      </w:pPr>
    </w:p>
    <w:p>
      <w:pPr>
        <w:pStyle w:val="3"/>
        <w:rPr>
          <w:rFonts w:ascii="Times New Roman"/>
          <w:sz w:val="29"/>
        </w:rPr>
      </w:pPr>
    </w:p>
    <w:tbl>
      <w:tblPr>
        <w:tblStyle w:val="4"/>
        <w:tblW w:w="0" w:type="auto"/>
        <w:tblInd w:w="34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43"/>
        <w:gridCol w:w="9915"/>
        <w:gridCol w:w="197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 w:hRule="atLeast"/>
        </w:trPr>
        <w:tc>
          <w:tcPr>
            <w:tcW w:w="1743" w:type="dxa"/>
          </w:tcPr>
          <w:p>
            <w:pPr>
              <w:pStyle w:val="8"/>
              <w:spacing w:before="63" w:line="438" w:lineRule="exact"/>
              <w:ind w:left="271"/>
              <w:rPr>
                <w:rFonts w:hint="eastAsia" w:ascii="Arial Unicode MS" w:eastAsia="Arial Unicode MS"/>
                <w:sz w:val="30"/>
              </w:rPr>
            </w:pPr>
            <w:r>
              <w:rPr>
                <w:rFonts w:hint="eastAsia" w:ascii="Arial Unicode MS" w:eastAsia="Arial Unicode MS"/>
                <w:sz w:val="30"/>
              </w:rPr>
              <w:t>惩戒措施</w:t>
            </w:r>
          </w:p>
        </w:tc>
        <w:tc>
          <w:tcPr>
            <w:tcW w:w="9915" w:type="dxa"/>
          </w:tcPr>
          <w:p>
            <w:pPr>
              <w:pStyle w:val="8"/>
              <w:spacing w:line="502" w:lineRule="exact"/>
              <w:ind w:left="3886" w:right="3878"/>
              <w:jc w:val="center"/>
              <w:rPr>
                <w:rFonts w:hint="eastAsia" w:ascii="Arial Unicode MS" w:eastAsia="Arial Unicode MS"/>
                <w:sz w:val="30"/>
              </w:rPr>
            </w:pPr>
            <w:r>
              <w:rPr>
                <w:rFonts w:hint="eastAsia" w:ascii="Arial Unicode MS" w:eastAsia="Arial Unicode MS"/>
                <w:sz w:val="30"/>
              </w:rPr>
              <w:t>法律及政策依据</w:t>
            </w:r>
          </w:p>
        </w:tc>
        <w:tc>
          <w:tcPr>
            <w:tcW w:w="1979" w:type="dxa"/>
          </w:tcPr>
          <w:p>
            <w:pPr>
              <w:pStyle w:val="8"/>
              <w:spacing w:line="502" w:lineRule="exact"/>
              <w:ind w:left="387"/>
              <w:rPr>
                <w:rFonts w:hint="eastAsia" w:ascii="Arial Unicode MS" w:eastAsia="Arial Unicode MS"/>
                <w:sz w:val="30"/>
              </w:rPr>
            </w:pPr>
            <w:r>
              <w:rPr>
                <w:rFonts w:hint="eastAsia" w:ascii="Arial Unicode MS" w:eastAsia="Arial Unicode MS"/>
                <w:sz w:val="30"/>
              </w:rPr>
              <w:t>实施部门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08" w:hRule="atLeast"/>
        </w:trPr>
        <w:tc>
          <w:tcPr>
            <w:tcW w:w="1743" w:type="dxa"/>
          </w:tcPr>
          <w:p>
            <w:pPr>
              <w:pStyle w:val="8"/>
              <w:rPr>
                <w:rFonts w:ascii="Times New Roman"/>
                <w:sz w:val="20"/>
              </w:rPr>
            </w:pPr>
          </w:p>
        </w:tc>
        <w:tc>
          <w:tcPr>
            <w:tcW w:w="9915" w:type="dxa"/>
          </w:tcPr>
          <w:p>
            <w:pPr>
              <w:pStyle w:val="8"/>
              <w:spacing w:before="60"/>
              <w:ind w:left="433"/>
              <w:rPr>
                <w:sz w:val="21"/>
              </w:rPr>
            </w:pPr>
            <w:r>
              <w:rPr>
                <w:sz w:val="21"/>
              </w:rPr>
              <w:t>（七）法律规定的其他条件。</w:t>
            </w:r>
          </w:p>
          <w:p>
            <w:pPr>
              <w:pStyle w:val="8"/>
              <w:tabs>
                <w:tab w:val="left" w:pos="1485"/>
              </w:tabs>
              <w:spacing w:before="91"/>
              <w:ind w:left="433"/>
              <w:rPr>
                <w:sz w:val="21"/>
              </w:rPr>
            </w:pPr>
            <w:r>
              <w:rPr>
                <w:sz w:val="21"/>
              </w:rPr>
              <w:t>第十二条</w:t>
            </w:r>
            <w:r>
              <w:rPr>
                <w:sz w:val="21"/>
              </w:rPr>
              <w:tab/>
            </w:r>
            <w:r>
              <w:rPr>
                <w:sz w:val="21"/>
              </w:rPr>
              <w:t>公务员应当履行下列义务：</w:t>
            </w:r>
          </w:p>
          <w:p>
            <w:pPr>
              <w:pStyle w:val="8"/>
              <w:spacing w:before="91"/>
              <w:ind w:left="433"/>
              <w:rPr>
                <w:sz w:val="21"/>
              </w:rPr>
            </w:pPr>
            <w:r>
              <w:rPr>
                <w:sz w:val="21"/>
              </w:rPr>
              <w:t>（一）模范遵守宪法和法律；</w:t>
            </w:r>
          </w:p>
          <w:p>
            <w:pPr>
              <w:pStyle w:val="8"/>
              <w:spacing w:before="91"/>
              <w:ind w:left="433"/>
              <w:rPr>
                <w:sz w:val="21"/>
              </w:rPr>
            </w:pPr>
            <w:r>
              <w:rPr>
                <w:sz w:val="21"/>
              </w:rPr>
              <w:t>（二）按照规定的权限和程序认真履行职责，努力提高工作效率；</w:t>
            </w:r>
          </w:p>
          <w:p>
            <w:pPr>
              <w:pStyle w:val="8"/>
              <w:spacing w:before="91"/>
              <w:ind w:left="433"/>
              <w:rPr>
                <w:sz w:val="21"/>
              </w:rPr>
            </w:pPr>
            <w:r>
              <w:rPr>
                <w:sz w:val="21"/>
              </w:rPr>
              <w:t>（三）全心全意为人民服务，接受人民监督；</w:t>
            </w:r>
          </w:p>
          <w:p>
            <w:pPr>
              <w:pStyle w:val="8"/>
              <w:spacing w:before="91"/>
              <w:ind w:left="433"/>
              <w:rPr>
                <w:sz w:val="21"/>
              </w:rPr>
            </w:pPr>
            <w:r>
              <w:rPr>
                <w:sz w:val="21"/>
              </w:rPr>
              <w:t>（四）维护国家的安全、荣誉和利益；</w:t>
            </w:r>
          </w:p>
          <w:p>
            <w:pPr>
              <w:pStyle w:val="8"/>
              <w:spacing w:before="91"/>
              <w:ind w:left="433"/>
              <w:rPr>
                <w:sz w:val="21"/>
              </w:rPr>
            </w:pPr>
            <w:r>
              <w:rPr>
                <w:sz w:val="21"/>
              </w:rPr>
              <w:t>（五）忠于职守，勤勉尽责，服从和执行上级依法作出的决定和命令；</w:t>
            </w:r>
          </w:p>
          <w:p>
            <w:pPr>
              <w:pStyle w:val="8"/>
              <w:spacing w:before="91"/>
              <w:ind w:left="433"/>
              <w:rPr>
                <w:sz w:val="21"/>
              </w:rPr>
            </w:pPr>
            <w:r>
              <w:rPr>
                <w:sz w:val="21"/>
              </w:rPr>
              <w:t>（六）保守国家秘密和工作秘密；</w:t>
            </w:r>
          </w:p>
          <w:p>
            <w:pPr>
              <w:pStyle w:val="8"/>
              <w:spacing w:before="91"/>
              <w:ind w:left="433"/>
              <w:rPr>
                <w:sz w:val="21"/>
              </w:rPr>
            </w:pPr>
            <w:r>
              <w:rPr>
                <w:sz w:val="21"/>
              </w:rPr>
              <w:t>（七）遵守纪律，恪守职业道德，模范遵守社会公德；</w:t>
            </w:r>
          </w:p>
          <w:p>
            <w:pPr>
              <w:pStyle w:val="8"/>
              <w:spacing w:before="91"/>
              <w:ind w:left="433"/>
              <w:rPr>
                <w:sz w:val="21"/>
              </w:rPr>
            </w:pPr>
            <w:r>
              <w:rPr>
                <w:w w:val="95"/>
                <w:sz w:val="21"/>
              </w:rPr>
              <w:t>（八）清正廉洁，公道正派；</w:t>
            </w:r>
          </w:p>
          <w:p>
            <w:pPr>
              <w:pStyle w:val="8"/>
              <w:spacing w:before="90"/>
              <w:ind w:left="433"/>
              <w:rPr>
                <w:sz w:val="21"/>
              </w:rPr>
            </w:pPr>
            <w:r>
              <w:rPr>
                <w:w w:val="95"/>
                <w:sz w:val="21"/>
              </w:rPr>
              <w:t>（九）法律规定的其他义务。</w:t>
            </w:r>
          </w:p>
          <w:p>
            <w:pPr>
              <w:pStyle w:val="8"/>
              <w:spacing w:before="91"/>
              <w:ind w:left="433"/>
              <w:rPr>
                <w:sz w:val="21"/>
              </w:rPr>
            </w:pPr>
            <w:r>
              <w:rPr>
                <w:sz w:val="21"/>
              </w:rPr>
              <w:t>第二十四条 下列人员不得录用为公务员：</w:t>
            </w:r>
          </w:p>
          <w:p>
            <w:pPr>
              <w:pStyle w:val="8"/>
              <w:spacing w:before="91"/>
              <w:ind w:left="433"/>
              <w:rPr>
                <w:sz w:val="21"/>
              </w:rPr>
            </w:pPr>
            <w:r>
              <w:rPr>
                <w:sz w:val="21"/>
              </w:rPr>
              <w:t>（一）曾因犯罪受过刑事处罚的；</w:t>
            </w:r>
          </w:p>
          <w:p>
            <w:pPr>
              <w:pStyle w:val="8"/>
              <w:spacing w:before="91"/>
              <w:ind w:left="433"/>
              <w:rPr>
                <w:sz w:val="21"/>
              </w:rPr>
            </w:pPr>
            <w:r>
              <w:rPr>
                <w:sz w:val="21"/>
              </w:rPr>
              <w:t>（二）曾被开除公职的；</w:t>
            </w:r>
          </w:p>
          <w:p>
            <w:pPr>
              <w:pStyle w:val="8"/>
              <w:spacing w:before="91" w:line="321" w:lineRule="auto"/>
              <w:ind w:left="433" w:right="4640"/>
              <w:rPr>
                <w:sz w:val="21"/>
              </w:rPr>
            </w:pPr>
            <w:r>
              <w:rPr>
                <w:w w:val="95"/>
                <w:sz w:val="21"/>
              </w:rPr>
              <w:t xml:space="preserve">（三）有法律规定不得录用为公务员的其他情形的。 </w:t>
            </w:r>
            <w:r>
              <w:rPr>
                <w:sz w:val="21"/>
              </w:rPr>
              <w:t>第二十一条</w:t>
            </w:r>
          </w:p>
          <w:p>
            <w:pPr>
              <w:pStyle w:val="8"/>
              <w:spacing w:line="321" w:lineRule="auto"/>
              <w:ind w:left="13" w:right="5" w:firstLine="420"/>
              <w:rPr>
                <w:sz w:val="21"/>
              </w:rPr>
            </w:pPr>
            <w:r>
              <w:rPr>
                <w:spacing w:val="-8"/>
                <w:sz w:val="21"/>
              </w:rPr>
              <w:t>第一款 录用担任主任科员以下及其相当职务层次的非领导职务公务员，采取公开考试、严格考察、平等竞争、择优录取的办法。</w:t>
            </w:r>
          </w:p>
          <w:p>
            <w:pPr>
              <w:pStyle w:val="8"/>
              <w:spacing w:line="268" w:lineRule="exact"/>
              <w:ind w:left="13"/>
              <w:rPr>
                <w:b/>
                <w:sz w:val="21"/>
              </w:rPr>
            </w:pPr>
            <w:r>
              <w:rPr>
                <w:b/>
                <w:sz w:val="21"/>
              </w:rPr>
              <w:t>《事业单位公开招聘人员暂行规定》</w:t>
            </w:r>
          </w:p>
          <w:p>
            <w:pPr>
              <w:pStyle w:val="8"/>
              <w:spacing w:before="90"/>
              <w:ind w:left="433"/>
              <w:rPr>
                <w:sz w:val="21"/>
              </w:rPr>
            </w:pPr>
            <w:r>
              <w:rPr>
                <w:sz w:val="21"/>
              </w:rPr>
              <w:t>第九条 应聘人员必须具备下列条件：</w:t>
            </w:r>
          </w:p>
          <w:p>
            <w:pPr>
              <w:pStyle w:val="8"/>
              <w:spacing w:before="91"/>
              <w:ind w:left="330"/>
              <w:rPr>
                <w:sz w:val="21"/>
              </w:rPr>
            </w:pPr>
            <w:r>
              <w:rPr>
                <w:sz w:val="21"/>
              </w:rPr>
              <w:t>（一）具有中华人民共和国国籍；</w:t>
            </w:r>
          </w:p>
          <w:p>
            <w:pPr>
              <w:pStyle w:val="8"/>
              <w:spacing w:before="91"/>
              <w:ind w:left="330"/>
              <w:rPr>
                <w:sz w:val="21"/>
              </w:rPr>
            </w:pPr>
            <w:r>
              <w:rPr>
                <w:w w:val="95"/>
                <w:sz w:val="21"/>
              </w:rPr>
              <w:t>（二）遵守宪法和法律；</w:t>
            </w:r>
          </w:p>
          <w:p>
            <w:pPr>
              <w:pStyle w:val="8"/>
              <w:spacing w:before="91"/>
              <w:ind w:left="330"/>
              <w:rPr>
                <w:sz w:val="21"/>
              </w:rPr>
            </w:pPr>
            <w:r>
              <w:rPr>
                <w:w w:val="95"/>
                <w:sz w:val="21"/>
              </w:rPr>
              <w:t>（三）具有良好的品行；</w:t>
            </w:r>
          </w:p>
        </w:tc>
        <w:tc>
          <w:tcPr>
            <w:tcW w:w="1979" w:type="dxa"/>
          </w:tcPr>
          <w:p>
            <w:pPr>
              <w:pStyle w:val="8"/>
              <w:rPr>
                <w:rFonts w:ascii="Times New Roman"/>
                <w:sz w:val="20"/>
              </w:rPr>
            </w:pPr>
          </w:p>
        </w:tc>
      </w:tr>
    </w:tbl>
    <w:p>
      <w:pPr>
        <w:spacing w:after="0"/>
        <w:rPr>
          <w:rFonts w:ascii="Times New Roman"/>
          <w:sz w:val="20"/>
        </w:rPr>
        <w:sectPr>
          <w:pgSz w:w="16840" w:h="11910" w:orient="landscape"/>
          <w:pgMar w:top="1100" w:right="960" w:bottom="1160" w:left="1700" w:header="0" w:footer="979" w:gutter="0"/>
        </w:sectPr>
      </w:pPr>
    </w:p>
    <w:p>
      <w:pPr>
        <w:pStyle w:val="3"/>
        <w:rPr>
          <w:rFonts w:ascii="Times New Roman"/>
          <w:sz w:val="29"/>
        </w:rPr>
      </w:pPr>
    </w:p>
    <w:tbl>
      <w:tblPr>
        <w:tblStyle w:val="4"/>
        <w:tblW w:w="0" w:type="auto"/>
        <w:tblInd w:w="34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43"/>
        <w:gridCol w:w="9915"/>
        <w:gridCol w:w="197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 w:hRule="atLeast"/>
        </w:trPr>
        <w:tc>
          <w:tcPr>
            <w:tcW w:w="1743" w:type="dxa"/>
          </w:tcPr>
          <w:p>
            <w:pPr>
              <w:pStyle w:val="8"/>
              <w:spacing w:before="63" w:line="438" w:lineRule="exact"/>
              <w:ind w:left="271"/>
              <w:rPr>
                <w:rFonts w:hint="eastAsia" w:ascii="Arial Unicode MS" w:eastAsia="Arial Unicode MS"/>
                <w:sz w:val="30"/>
              </w:rPr>
            </w:pPr>
            <w:r>
              <w:rPr>
                <w:rFonts w:hint="eastAsia" w:ascii="Arial Unicode MS" w:eastAsia="Arial Unicode MS"/>
                <w:sz w:val="30"/>
              </w:rPr>
              <w:t>惩戒措施</w:t>
            </w:r>
          </w:p>
        </w:tc>
        <w:tc>
          <w:tcPr>
            <w:tcW w:w="9915" w:type="dxa"/>
          </w:tcPr>
          <w:p>
            <w:pPr>
              <w:pStyle w:val="8"/>
              <w:spacing w:line="502" w:lineRule="exact"/>
              <w:ind w:left="3886" w:right="3878"/>
              <w:jc w:val="center"/>
              <w:rPr>
                <w:rFonts w:hint="eastAsia" w:ascii="Arial Unicode MS" w:eastAsia="Arial Unicode MS"/>
                <w:sz w:val="30"/>
              </w:rPr>
            </w:pPr>
            <w:r>
              <w:rPr>
                <w:rFonts w:hint="eastAsia" w:ascii="Arial Unicode MS" w:eastAsia="Arial Unicode MS"/>
                <w:sz w:val="30"/>
              </w:rPr>
              <w:t>法律及政策依据</w:t>
            </w:r>
          </w:p>
        </w:tc>
        <w:tc>
          <w:tcPr>
            <w:tcW w:w="1979" w:type="dxa"/>
          </w:tcPr>
          <w:p>
            <w:pPr>
              <w:pStyle w:val="8"/>
              <w:spacing w:line="502" w:lineRule="exact"/>
              <w:ind w:left="232" w:right="226"/>
              <w:jc w:val="center"/>
              <w:rPr>
                <w:rFonts w:hint="eastAsia" w:ascii="Arial Unicode MS" w:eastAsia="Arial Unicode MS"/>
                <w:sz w:val="30"/>
              </w:rPr>
            </w:pPr>
            <w:r>
              <w:rPr>
                <w:rFonts w:hint="eastAsia" w:ascii="Arial Unicode MS" w:eastAsia="Arial Unicode MS"/>
                <w:sz w:val="30"/>
              </w:rPr>
              <w:t>实施部门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10" w:hRule="atLeast"/>
        </w:trPr>
        <w:tc>
          <w:tcPr>
            <w:tcW w:w="1743" w:type="dxa"/>
          </w:tcPr>
          <w:p>
            <w:pPr>
              <w:pStyle w:val="8"/>
              <w:rPr>
                <w:rFonts w:ascii="Times New Roman"/>
                <w:sz w:val="20"/>
              </w:rPr>
            </w:pPr>
          </w:p>
        </w:tc>
        <w:tc>
          <w:tcPr>
            <w:tcW w:w="9915" w:type="dxa"/>
          </w:tcPr>
          <w:p>
            <w:pPr>
              <w:pStyle w:val="8"/>
              <w:spacing w:before="60"/>
              <w:ind w:left="330"/>
              <w:rPr>
                <w:sz w:val="21"/>
              </w:rPr>
            </w:pPr>
            <w:r>
              <w:rPr>
                <w:sz w:val="21"/>
              </w:rPr>
              <w:t>（四）岗位所需的专业或技能条件；</w:t>
            </w:r>
          </w:p>
          <w:p>
            <w:pPr>
              <w:pStyle w:val="8"/>
              <w:spacing w:before="91"/>
              <w:ind w:left="330"/>
              <w:rPr>
                <w:sz w:val="21"/>
              </w:rPr>
            </w:pPr>
            <w:r>
              <w:rPr>
                <w:sz w:val="21"/>
              </w:rPr>
              <w:t>（五）适应岗位要求的身体条件；</w:t>
            </w:r>
          </w:p>
          <w:p>
            <w:pPr>
              <w:pStyle w:val="8"/>
              <w:spacing w:before="91"/>
              <w:ind w:left="330"/>
              <w:rPr>
                <w:sz w:val="21"/>
              </w:rPr>
            </w:pPr>
            <w:r>
              <w:rPr>
                <w:sz w:val="21"/>
              </w:rPr>
              <w:t>（六）岗位所需要的其他条件。</w:t>
            </w:r>
          </w:p>
        </w:tc>
        <w:tc>
          <w:tcPr>
            <w:tcW w:w="1979" w:type="dxa"/>
          </w:tcPr>
          <w:p>
            <w:pPr>
              <w:pStyle w:val="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9" w:hRule="atLeast"/>
        </w:trPr>
        <w:tc>
          <w:tcPr>
            <w:tcW w:w="1743" w:type="dxa"/>
          </w:tcPr>
          <w:p>
            <w:pPr>
              <w:pStyle w:val="8"/>
              <w:rPr>
                <w:rFonts w:ascii="Times New Roman"/>
                <w:sz w:val="20"/>
              </w:rPr>
            </w:pPr>
          </w:p>
          <w:p>
            <w:pPr>
              <w:pStyle w:val="8"/>
              <w:spacing w:before="2"/>
              <w:rPr>
                <w:rFonts w:ascii="Times New Roman"/>
                <w:sz w:val="16"/>
              </w:rPr>
            </w:pPr>
          </w:p>
          <w:p>
            <w:pPr>
              <w:pStyle w:val="8"/>
              <w:spacing w:line="321" w:lineRule="auto"/>
              <w:ind w:left="14" w:right="38"/>
              <w:rPr>
                <w:sz w:val="21"/>
              </w:rPr>
            </w:pPr>
            <w:r>
              <w:rPr>
                <w:rFonts w:ascii="Times New Roman" w:eastAsia="Times New Roman"/>
                <w:sz w:val="21"/>
              </w:rPr>
              <w:t>13.</w:t>
            </w:r>
            <w:r>
              <w:rPr>
                <w:position w:val="1"/>
                <w:sz w:val="21"/>
              </w:rPr>
              <w:t>失信责任主体</w:t>
            </w:r>
            <w:r>
              <w:rPr>
                <w:spacing w:val="-2"/>
                <w:sz w:val="21"/>
              </w:rPr>
              <w:t>是个人的，依法限制登记为事业单位法定代表人。失信</w:t>
            </w:r>
            <w:r>
              <w:rPr>
                <w:sz w:val="21"/>
              </w:rPr>
              <w:t>责任主体是机构</w:t>
            </w:r>
            <w:r>
              <w:rPr>
                <w:spacing w:val="-2"/>
                <w:sz w:val="21"/>
              </w:rPr>
              <w:t>的，该机构法定代表人依法限制登记为事业单位法定代</w:t>
            </w:r>
            <w:r>
              <w:rPr>
                <w:sz w:val="21"/>
              </w:rPr>
              <w:t>表人。</w:t>
            </w:r>
          </w:p>
        </w:tc>
        <w:tc>
          <w:tcPr>
            <w:tcW w:w="9915" w:type="dxa"/>
          </w:tcPr>
          <w:p>
            <w:pPr>
              <w:pStyle w:val="8"/>
              <w:spacing w:before="61" w:line="321" w:lineRule="auto"/>
              <w:ind w:left="13" w:right="60"/>
              <w:rPr>
                <w:b/>
                <w:sz w:val="21"/>
              </w:rPr>
            </w:pPr>
            <w:r>
              <w:rPr>
                <w:b/>
                <w:spacing w:val="-6"/>
                <w:w w:val="95"/>
                <w:sz w:val="21"/>
              </w:rPr>
              <w:t>《中央编办关于批转〈事业单位、社会团体及企业等组织利用国有资产举办事业单位设立登记办法</w:t>
            </w:r>
            <w:r>
              <w:rPr>
                <w:b/>
                <w:w w:val="95"/>
                <w:sz w:val="21"/>
              </w:rPr>
              <w:t>（试行）</w:t>
            </w:r>
            <w:r>
              <w:rPr>
                <w:b/>
                <w:sz w:val="21"/>
              </w:rPr>
              <w:t>的通知》</w:t>
            </w:r>
          </w:p>
          <w:p>
            <w:pPr>
              <w:pStyle w:val="8"/>
              <w:spacing w:line="268" w:lineRule="exact"/>
              <w:ind w:left="433"/>
              <w:rPr>
                <w:sz w:val="21"/>
              </w:rPr>
            </w:pPr>
            <w:r>
              <w:rPr>
                <w:sz w:val="21"/>
              </w:rPr>
              <w:t>第四条 登记事项要求：</w:t>
            </w:r>
          </w:p>
          <w:p>
            <w:pPr>
              <w:pStyle w:val="8"/>
              <w:spacing w:before="91" w:line="321" w:lineRule="auto"/>
              <w:ind w:left="13" w:right="20" w:firstLine="420"/>
              <w:rPr>
                <w:sz w:val="21"/>
              </w:rPr>
            </w:pPr>
            <w:r>
              <w:rPr>
                <w:w w:val="95"/>
                <w:sz w:val="21"/>
              </w:rPr>
              <w:t>（四）法定代表人。应当是具有完全民事行为能力的中国公民，且为该单位主要行政负责人，年龄一般</w:t>
            </w:r>
            <w:r>
              <w:rPr>
                <w:spacing w:val="-15"/>
                <w:sz w:val="21"/>
              </w:rPr>
              <w:t xml:space="preserve">不超过 </w:t>
            </w:r>
            <w:r>
              <w:rPr>
                <w:rFonts w:ascii="Times New Roman" w:eastAsia="Times New Roman"/>
                <w:sz w:val="21"/>
              </w:rPr>
              <w:t>70</w:t>
            </w:r>
            <w:r>
              <w:rPr>
                <w:rFonts w:ascii="Times New Roman" w:eastAsia="Times New Roman"/>
                <w:spacing w:val="-5"/>
                <w:sz w:val="21"/>
              </w:rPr>
              <w:t xml:space="preserve"> </w:t>
            </w:r>
            <w:r>
              <w:rPr>
                <w:sz w:val="21"/>
              </w:rPr>
              <w:t>周岁，无不良信用记录。担任过其他机构法定代表人的，在任职期间，该机构无不良信用记录。</w:t>
            </w:r>
          </w:p>
          <w:p>
            <w:pPr>
              <w:pStyle w:val="8"/>
              <w:spacing w:line="268" w:lineRule="exact"/>
              <w:ind w:left="493"/>
              <w:rPr>
                <w:sz w:val="21"/>
              </w:rPr>
            </w:pPr>
            <w:r>
              <w:rPr>
                <w:sz w:val="21"/>
              </w:rPr>
              <w:t>党政机关领导干部在职或退休后拟担任法定代表人的，应当符合干部管理有关规定。</w:t>
            </w:r>
          </w:p>
          <w:p>
            <w:pPr>
              <w:pStyle w:val="8"/>
              <w:spacing w:before="91"/>
              <w:ind w:left="13"/>
              <w:rPr>
                <w:b/>
                <w:sz w:val="21"/>
              </w:rPr>
            </w:pPr>
            <w:r>
              <w:rPr>
                <w:b/>
                <w:sz w:val="21"/>
              </w:rPr>
              <w:t>《事业单位登记管理暂行条例实施细则》</w:t>
            </w:r>
          </w:p>
          <w:p>
            <w:pPr>
              <w:pStyle w:val="8"/>
              <w:spacing w:before="91"/>
              <w:ind w:left="433"/>
              <w:rPr>
                <w:sz w:val="21"/>
              </w:rPr>
            </w:pPr>
            <w:r>
              <w:rPr>
                <w:sz w:val="21"/>
              </w:rPr>
              <w:t>第三十一条 事业单位法定代表人应当具备下列条件：</w:t>
            </w:r>
          </w:p>
          <w:p>
            <w:pPr>
              <w:pStyle w:val="8"/>
              <w:spacing w:before="91"/>
              <w:ind w:left="433"/>
              <w:rPr>
                <w:sz w:val="21"/>
              </w:rPr>
            </w:pPr>
            <w:r>
              <w:rPr>
                <w:sz w:val="21"/>
              </w:rPr>
              <w:t>（一）具有完全民事行为能力的自然人；</w:t>
            </w:r>
          </w:p>
          <w:p>
            <w:pPr>
              <w:pStyle w:val="8"/>
              <w:spacing w:before="91"/>
              <w:ind w:left="433"/>
              <w:rPr>
                <w:sz w:val="21"/>
              </w:rPr>
            </w:pPr>
            <w:r>
              <w:rPr>
                <w:sz w:val="21"/>
              </w:rPr>
              <w:t>（二）该事业单位的主要行政负责人。</w:t>
            </w:r>
          </w:p>
          <w:p>
            <w:pPr>
              <w:pStyle w:val="8"/>
              <w:spacing w:before="91"/>
              <w:ind w:left="539"/>
              <w:rPr>
                <w:sz w:val="21"/>
              </w:rPr>
            </w:pPr>
            <w:r>
              <w:rPr>
                <w:sz w:val="21"/>
              </w:rPr>
              <w:t>违反法律、法规和政策规定产生的事业单位主要行政负责人，不得担任事业单位法定代表人。</w:t>
            </w:r>
          </w:p>
        </w:tc>
        <w:tc>
          <w:tcPr>
            <w:tcW w:w="1979" w:type="dxa"/>
          </w:tcPr>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spacing w:before="11"/>
              <w:rPr>
                <w:rFonts w:ascii="Times New Roman"/>
                <w:sz w:val="16"/>
              </w:rPr>
            </w:pPr>
          </w:p>
          <w:p>
            <w:pPr>
              <w:pStyle w:val="8"/>
              <w:ind w:left="230" w:right="226"/>
              <w:jc w:val="center"/>
              <w:rPr>
                <w:sz w:val="21"/>
              </w:rPr>
            </w:pPr>
            <w:r>
              <w:rPr>
                <w:sz w:val="21"/>
              </w:rPr>
              <w:t>中央编办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8" w:hRule="atLeast"/>
        </w:trPr>
        <w:tc>
          <w:tcPr>
            <w:tcW w:w="1743" w:type="dxa"/>
          </w:tcPr>
          <w:p>
            <w:pPr>
              <w:pStyle w:val="8"/>
              <w:rPr>
                <w:rFonts w:ascii="Times New Roman"/>
                <w:sz w:val="20"/>
              </w:rPr>
            </w:pPr>
          </w:p>
          <w:p>
            <w:pPr>
              <w:pStyle w:val="8"/>
              <w:rPr>
                <w:rFonts w:ascii="Times New Roman"/>
                <w:sz w:val="20"/>
              </w:rPr>
            </w:pPr>
          </w:p>
          <w:p>
            <w:pPr>
              <w:pStyle w:val="8"/>
              <w:spacing w:before="3"/>
              <w:rPr>
                <w:rFonts w:ascii="Times New Roman"/>
                <w:sz w:val="27"/>
              </w:rPr>
            </w:pPr>
          </w:p>
          <w:p>
            <w:pPr>
              <w:pStyle w:val="8"/>
              <w:spacing w:before="1" w:line="321" w:lineRule="auto"/>
              <w:ind w:left="14" w:right="38"/>
              <w:rPr>
                <w:sz w:val="21"/>
              </w:rPr>
            </w:pPr>
            <w:r>
              <w:rPr>
                <w:rFonts w:ascii="Times New Roman" w:eastAsia="Times New Roman"/>
                <w:sz w:val="21"/>
              </w:rPr>
              <w:t>14.</w:t>
            </w:r>
            <w:r>
              <w:rPr>
                <w:position w:val="1"/>
                <w:sz w:val="21"/>
              </w:rPr>
              <w:t>暂停审批其新</w:t>
            </w:r>
            <w:r>
              <w:rPr>
                <w:spacing w:val="-2"/>
                <w:sz w:val="21"/>
              </w:rPr>
              <w:t>的重大项目申报， 核减、停止拨付或</w:t>
            </w:r>
            <w:r>
              <w:rPr>
                <w:sz w:val="21"/>
              </w:rPr>
              <w:t>收回政府补贴资 金。</w:t>
            </w:r>
          </w:p>
        </w:tc>
        <w:tc>
          <w:tcPr>
            <w:tcW w:w="9915" w:type="dxa"/>
          </w:tcPr>
          <w:p>
            <w:pPr>
              <w:pStyle w:val="8"/>
              <w:spacing w:before="62" w:line="321" w:lineRule="auto"/>
              <w:ind w:left="13" w:right="110"/>
              <w:jc w:val="both"/>
              <w:rPr>
                <w:b/>
                <w:sz w:val="21"/>
              </w:rPr>
            </w:pPr>
            <w:r>
              <w:rPr>
                <w:b/>
                <w:spacing w:val="-2"/>
                <w:w w:val="95"/>
                <w:sz w:val="21"/>
              </w:rPr>
              <w:t>《国务院关于建立完善守信联合激励和失信联合惩戒制度加快推进社会诚信建设的指导意见》</w:t>
            </w:r>
            <w:r>
              <w:rPr>
                <w:b/>
                <w:w w:val="95"/>
                <w:sz w:val="21"/>
              </w:rPr>
              <w:t>（</w:t>
            </w:r>
            <w:r>
              <w:rPr>
                <w:b/>
                <w:spacing w:val="-14"/>
                <w:w w:val="95"/>
                <w:sz w:val="21"/>
              </w:rPr>
              <w:t>国发〔</w:t>
            </w:r>
            <w:r>
              <w:rPr>
                <w:rFonts w:ascii="Times New Roman" w:eastAsia="Times New Roman"/>
                <w:b/>
                <w:w w:val="95"/>
                <w:sz w:val="21"/>
              </w:rPr>
              <w:t xml:space="preserve">2016      </w:t>
            </w:r>
            <w:r>
              <w:rPr>
                <w:rFonts w:ascii="Times New Roman" w:eastAsia="Times New Roman"/>
                <w:b/>
                <w:sz w:val="21"/>
              </w:rPr>
              <w:t>33</w:t>
            </w:r>
            <w:r>
              <w:rPr>
                <w:rFonts w:ascii="Times New Roman" w:eastAsia="Times New Roman"/>
                <w:b/>
                <w:spacing w:val="-1"/>
                <w:sz w:val="21"/>
              </w:rPr>
              <w:t xml:space="preserve"> </w:t>
            </w:r>
            <w:r>
              <w:rPr>
                <w:b/>
                <w:sz w:val="21"/>
              </w:rPr>
              <w:t>号）</w:t>
            </w:r>
          </w:p>
          <w:p>
            <w:pPr>
              <w:pStyle w:val="8"/>
              <w:spacing w:line="321" w:lineRule="auto"/>
              <w:ind w:left="13" w:right="-29" w:firstLine="420"/>
              <w:jc w:val="both"/>
              <w:rPr>
                <w:sz w:val="21"/>
              </w:rPr>
            </w:pPr>
            <w:r>
              <w:rPr>
                <w:sz w:val="21"/>
              </w:rPr>
              <w:t>（十）依法依规加强对失信行为的行政性约束和惩戒。对严重失信主体，各地区、各有关部门应将其列为重点监管对象，依法依规采取行政性约束和惩戒措施。从严审核行政许可审批项目，从严控制生产许可证</w:t>
            </w:r>
            <w:r>
              <w:rPr>
                <w:spacing w:val="-11"/>
                <w:w w:val="95"/>
                <w:sz w:val="21"/>
              </w:rPr>
              <w:t xml:space="preserve">发放，限制新增项目审批、核准，限制股票发行上市融资或发行债券，限制在全国股份转让系统挂牌、融资，           </w:t>
            </w:r>
            <w:r>
              <w:rPr>
                <w:sz w:val="21"/>
              </w:rPr>
              <w:t>限制发起设立或参股金融机构以及小额贷款公司、融资担保公司、创业投资公司、互联网融资平台等机构， 限制从事互联网信息服务等。严格限制申请财政性资金项目，限制参与有关公共资源交易活动，限制参与基础设施和公用事业特许经营。对严重失信企业及其法定代表人、主要负责人和对失信行为负有直接责任的注</w:t>
            </w:r>
          </w:p>
          <w:p>
            <w:pPr>
              <w:pStyle w:val="8"/>
              <w:spacing w:line="266" w:lineRule="exact"/>
              <w:ind w:left="13"/>
              <w:rPr>
                <w:sz w:val="21"/>
              </w:rPr>
            </w:pPr>
            <w:r>
              <w:rPr>
                <w:w w:val="95"/>
                <w:sz w:val="21"/>
              </w:rPr>
              <w:t>册执业人员等实施市场和行业禁入措施。及时撤销严重失信企业及其法定代表人、负责人、高级管理人员和</w:t>
            </w:r>
          </w:p>
        </w:tc>
        <w:tc>
          <w:tcPr>
            <w:tcW w:w="1979" w:type="dxa"/>
          </w:tcPr>
          <w:p>
            <w:pPr>
              <w:pStyle w:val="8"/>
              <w:spacing w:before="59"/>
              <w:ind w:left="-122"/>
              <w:rPr>
                <w:b/>
                <w:sz w:val="21"/>
              </w:rPr>
            </w:pPr>
            <w:r>
              <w:rPr>
                <w:b/>
                <w:w w:val="99"/>
                <w:sz w:val="21"/>
              </w:rPr>
              <w:t>〕</w:t>
            </w:r>
          </w:p>
          <w:p>
            <w:pPr>
              <w:pStyle w:val="8"/>
              <w:rPr>
                <w:rFonts w:ascii="Times New Roman"/>
                <w:sz w:val="20"/>
              </w:rPr>
            </w:pPr>
          </w:p>
          <w:p>
            <w:pPr>
              <w:pStyle w:val="8"/>
              <w:rPr>
                <w:rFonts w:ascii="Times New Roman"/>
                <w:sz w:val="20"/>
              </w:rPr>
            </w:pPr>
          </w:p>
          <w:p>
            <w:pPr>
              <w:pStyle w:val="8"/>
              <w:rPr>
                <w:rFonts w:ascii="Times New Roman"/>
                <w:sz w:val="20"/>
              </w:rPr>
            </w:pPr>
          </w:p>
          <w:p>
            <w:pPr>
              <w:pStyle w:val="8"/>
              <w:spacing w:before="121" w:line="321" w:lineRule="auto"/>
              <w:ind w:left="15" w:right="62"/>
              <w:jc w:val="both"/>
              <w:rPr>
                <w:sz w:val="21"/>
              </w:rPr>
            </w:pPr>
            <w:r>
              <w:rPr>
                <w:sz w:val="21"/>
              </w:rPr>
              <w:t>国家发展改革委、财政部、人力资源社会保障部、国资委</w:t>
            </w:r>
          </w:p>
        </w:tc>
      </w:tr>
    </w:tbl>
    <w:p>
      <w:pPr>
        <w:spacing w:after="0" w:line="321" w:lineRule="auto"/>
        <w:jc w:val="both"/>
        <w:rPr>
          <w:sz w:val="21"/>
        </w:rPr>
        <w:sectPr>
          <w:pgSz w:w="16840" w:h="11910" w:orient="landscape"/>
          <w:pgMar w:top="1100" w:right="960" w:bottom="1160" w:left="1700" w:header="0" w:footer="979" w:gutter="0"/>
        </w:sectPr>
      </w:pPr>
    </w:p>
    <w:p>
      <w:pPr>
        <w:pStyle w:val="3"/>
        <w:rPr>
          <w:rFonts w:ascii="Times New Roman"/>
          <w:sz w:val="29"/>
        </w:rPr>
      </w:pPr>
    </w:p>
    <w:tbl>
      <w:tblPr>
        <w:tblStyle w:val="4"/>
        <w:tblW w:w="0" w:type="auto"/>
        <w:tblInd w:w="34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43"/>
        <w:gridCol w:w="9915"/>
        <w:gridCol w:w="197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 w:hRule="atLeast"/>
        </w:trPr>
        <w:tc>
          <w:tcPr>
            <w:tcW w:w="1743" w:type="dxa"/>
          </w:tcPr>
          <w:p>
            <w:pPr>
              <w:pStyle w:val="8"/>
              <w:spacing w:before="63" w:line="438" w:lineRule="exact"/>
              <w:ind w:left="271"/>
              <w:rPr>
                <w:rFonts w:hint="eastAsia" w:ascii="Arial Unicode MS" w:eastAsia="Arial Unicode MS"/>
                <w:sz w:val="30"/>
              </w:rPr>
            </w:pPr>
            <w:r>
              <w:rPr>
                <w:rFonts w:hint="eastAsia" w:ascii="Arial Unicode MS" w:eastAsia="Arial Unicode MS"/>
                <w:sz w:val="30"/>
              </w:rPr>
              <w:t>惩戒措施</w:t>
            </w:r>
          </w:p>
        </w:tc>
        <w:tc>
          <w:tcPr>
            <w:tcW w:w="9915" w:type="dxa"/>
          </w:tcPr>
          <w:p>
            <w:pPr>
              <w:pStyle w:val="8"/>
              <w:spacing w:line="502" w:lineRule="exact"/>
              <w:ind w:left="3886" w:right="3878"/>
              <w:jc w:val="center"/>
              <w:rPr>
                <w:rFonts w:hint="eastAsia" w:ascii="Arial Unicode MS" w:eastAsia="Arial Unicode MS"/>
                <w:sz w:val="30"/>
              </w:rPr>
            </w:pPr>
            <w:r>
              <w:rPr>
                <w:rFonts w:hint="eastAsia" w:ascii="Arial Unicode MS" w:eastAsia="Arial Unicode MS"/>
                <w:sz w:val="30"/>
              </w:rPr>
              <w:t>法律及政策依据</w:t>
            </w:r>
          </w:p>
        </w:tc>
        <w:tc>
          <w:tcPr>
            <w:tcW w:w="1979" w:type="dxa"/>
          </w:tcPr>
          <w:p>
            <w:pPr>
              <w:pStyle w:val="8"/>
              <w:spacing w:line="502" w:lineRule="exact"/>
              <w:ind w:left="387"/>
              <w:rPr>
                <w:rFonts w:hint="eastAsia" w:ascii="Arial Unicode MS" w:eastAsia="Arial Unicode MS"/>
                <w:sz w:val="30"/>
              </w:rPr>
            </w:pPr>
            <w:r>
              <w:rPr>
                <w:rFonts w:hint="eastAsia" w:ascii="Arial Unicode MS" w:eastAsia="Arial Unicode MS"/>
                <w:sz w:val="30"/>
              </w:rPr>
              <w:t>实施部门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9" w:hRule="atLeast"/>
        </w:trPr>
        <w:tc>
          <w:tcPr>
            <w:tcW w:w="1743" w:type="dxa"/>
          </w:tcPr>
          <w:p>
            <w:pPr>
              <w:pStyle w:val="8"/>
              <w:rPr>
                <w:rFonts w:ascii="Times New Roman"/>
                <w:sz w:val="20"/>
              </w:rPr>
            </w:pPr>
          </w:p>
        </w:tc>
        <w:tc>
          <w:tcPr>
            <w:tcW w:w="9915" w:type="dxa"/>
          </w:tcPr>
          <w:p>
            <w:pPr>
              <w:pStyle w:val="8"/>
              <w:spacing w:before="60"/>
              <w:ind w:left="13"/>
              <w:rPr>
                <w:sz w:val="21"/>
              </w:rPr>
            </w:pPr>
            <w:r>
              <w:rPr>
                <w:sz w:val="21"/>
              </w:rPr>
              <w:t>对失信行为负有直接责任的董事、股东等人员的荣誉称号，取消参加评先评优资格。</w:t>
            </w:r>
          </w:p>
          <w:p>
            <w:pPr>
              <w:pStyle w:val="8"/>
              <w:spacing w:before="91"/>
              <w:ind w:left="13"/>
              <w:rPr>
                <w:b/>
                <w:sz w:val="21"/>
              </w:rPr>
            </w:pPr>
            <w:r>
              <w:rPr>
                <w:b/>
                <w:sz w:val="21"/>
              </w:rPr>
              <w:t>《国家高新技术产业发展项目管理暂行办法》</w:t>
            </w:r>
          </w:p>
          <w:p>
            <w:pPr>
              <w:pStyle w:val="8"/>
              <w:spacing w:before="91"/>
              <w:ind w:left="426"/>
              <w:rPr>
                <w:sz w:val="21"/>
              </w:rPr>
            </w:pPr>
            <w:r>
              <w:rPr>
                <w:sz w:val="21"/>
              </w:rPr>
              <w:t>第十条 申请国家高技术项目应具备以下基本条件：</w:t>
            </w:r>
          </w:p>
          <w:p>
            <w:pPr>
              <w:pStyle w:val="8"/>
              <w:spacing w:before="91"/>
              <w:ind w:left="433"/>
              <w:rPr>
                <w:sz w:val="21"/>
              </w:rPr>
            </w:pPr>
            <w:r>
              <w:rPr>
                <w:sz w:val="21"/>
              </w:rPr>
              <w:t>（一）符合国家发展改革委项目公告或通知的要求；</w:t>
            </w:r>
          </w:p>
          <w:p>
            <w:pPr>
              <w:pStyle w:val="8"/>
              <w:spacing w:before="91" w:line="321" w:lineRule="auto"/>
              <w:ind w:left="13" w:right="20" w:firstLine="420"/>
              <w:rPr>
                <w:sz w:val="21"/>
              </w:rPr>
            </w:pPr>
            <w:r>
              <w:rPr>
                <w:w w:val="95"/>
                <w:sz w:val="21"/>
              </w:rPr>
              <w:t>（二）符合国家产业政策和节能、降耗、环保、安全等要求，项目方案合理可行，具有较好的社会经济</w:t>
            </w:r>
            <w:r>
              <w:rPr>
                <w:sz w:val="21"/>
              </w:rPr>
              <w:t>效益。</w:t>
            </w:r>
          </w:p>
          <w:p>
            <w:pPr>
              <w:pStyle w:val="8"/>
              <w:spacing w:line="321" w:lineRule="auto"/>
              <w:ind w:left="13" w:right="3" w:firstLine="420"/>
              <w:rPr>
                <w:sz w:val="21"/>
              </w:rPr>
            </w:pPr>
            <w:r>
              <w:rPr>
                <w:spacing w:val="-8"/>
                <w:sz w:val="21"/>
              </w:rPr>
              <w:t>第三十九条 项目单位有下列行为之一的，国家发展改革委可以责令其限期整改，核减、停止拨付或收回国家补贴资金，并可视情节轻重提请或移交有关机关依法追究有关责任人的行政或法律责任：</w:t>
            </w:r>
          </w:p>
          <w:p>
            <w:pPr>
              <w:pStyle w:val="8"/>
              <w:spacing w:line="268" w:lineRule="exact"/>
              <w:ind w:left="433"/>
              <w:rPr>
                <w:sz w:val="21"/>
              </w:rPr>
            </w:pPr>
            <w:r>
              <w:rPr>
                <w:w w:val="95"/>
                <w:sz w:val="21"/>
              </w:rPr>
              <w:t>（一）提供虚假情况，骗取国家补贴资金的；</w:t>
            </w:r>
          </w:p>
          <w:p>
            <w:pPr>
              <w:pStyle w:val="8"/>
              <w:spacing w:before="90"/>
              <w:ind w:left="433"/>
              <w:rPr>
                <w:sz w:val="21"/>
              </w:rPr>
            </w:pPr>
            <w:r>
              <w:rPr>
                <w:w w:val="95"/>
                <w:sz w:val="21"/>
              </w:rPr>
              <w:t>（二）转移、侵占或者挪用国家补贴资金的；</w:t>
            </w:r>
          </w:p>
          <w:p>
            <w:pPr>
              <w:pStyle w:val="8"/>
              <w:spacing w:before="91"/>
              <w:ind w:left="433"/>
              <w:rPr>
                <w:sz w:val="21"/>
              </w:rPr>
            </w:pPr>
            <w:r>
              <w:rPr>
                <w:sz w:val="21"/>
              </w:rPr>
              <w:t>（三）擅自改变项目总体目标和主要建设内容的；</w:t>
            </w:r>
          </w:p>
          <w:p>
            <w:pPr>
              <w:pStyle w:val="8"/>
              <w:spacing w:before="91"/>
              <w:ind w:left="433"/>
              <w:rPr>
                <w:sz w:val="21"/>
              </w:rPr>
            </w:pPr>
            <w:r>
              <w:rPr>
                <w:sz w:val="21"/>
              </w:rPr>
              <w:t>（四）无违规行为，但无正当理由未按要求完成项目总体目标延期两年未验收的；</w:t>
            </w:r>
          </w:p>
          <w:p>
            <w:pPr>
              <w:pStyle w:val="8"/>
              <w:spacing w:before="90"/>
              <w:ind w:left="433"/>
              <w:rPr>
                <w:sz w:val="21"/>
              </w:rPr>
            </w:pPr>
            <w:r>
              <w:rPr>
                <w:sz w:val="21"/>
              </w:rPr>
              <w:t>（五）其他违反国家法律法规和本办法规定的行为。</w:t>
            </w:r>
          </w:p>
        </w:tc>
        <w:tc>
          <w:tcPr>
            <w:tcW w:w="1979" w:type="dxa"/>
          </w:tcPr>
          <w:p>
            <w:pPr>
              <w:pStyle w:val="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28" w:hRule="atLeast"/>
        </w:trPr>
        <w:tc>
          <w:tcPr>
            <w:tcW w:w="1743" w:type="dxa"/>
          </w:tcPr>
          <w:p>
            <w:pPr>
              <w:pStyle w:val="8"/>
              <w:rPr>
                <w:rFonts w:ascii="Times New Roman"/>
                <w:sz w:val="20"/>
              </w:rPr>
            </w:pPr>
          </w:p>
          <w:p>
            <w:pPr>
              <w:pStyle w:val="8"/>
              <w:rPr>
                <w:rFonts w:ascii="Times New Roman"/>
                <w:sz w:val="20"/>
              </w:rPr>
            </w:pPr>
          </w:p>
          <w:p>
            <w:pPr>
              <w:pStyle w:val="8"/>
              <w:spacing w:before="129" w:line="278" w:lineRule="auto"/>
              <w:ind w:left="14" w:right="2"/>
              <w:jc w:val="both"/>
              <w:rPr>
                <w:sz w:val="21"/>
              </w:rPr>
            </w:pPr>
            <w:r>
              <w:rPr>
                <w:rFonts w:ascii="Times New Roman" w:eastAsia="Times New Roman"/>
                <w:sz w:val="21"/>
              </w:rPr>
              <w:t xml:space="preserve">15. </w:t>
            </w:r>
            <w:r>
              <w:rPr>
                <w:sz w:val="21"/>
              </w:rPr>
              <w:t>将失信信息作为证券公司、保险公司、基金管理公司、期货公司的董事、监事和高级管理人员及分支机构负责人任职审批或备案的参考。</w:t>
            </w:r>
          </w:p>
        </w:tc>
        <w:tc>
          <w:tcPr>
            <w:tcW w:w="9915" w:type="dxa"/>
          </w:tcPr>
          <w:p>
            <w:pPr>
              <w:pStyle w:val="8"/>
              <w:spacing w:before="61"/>
              <w:ind w:left="13"/>
              <w:rPr>
                <w:b/>
                <w:sz w:val="21"/>
              </w:rPr>
            </w:pPr>
            <w:r>
              <w:rPr>
                <w:b/>
                <w:sz w:val="21"/>
              </w:rPr>
              <w:t>《中华人民共和国公司法》</w:t>
            </w:r>
          </w:p>
          <w:p>
            <w:pPr>
              <w:pStyle w:val="8"/>
              <w:spacing w:before="91"/>
              <w:ind w:left="433"/>
              <w:rPr>
                <w:sz w:val="21"/>
              </w:rPr>
            </w:pPr>
            <w:r>
              <w:rPr>
                <w:sz w:val="21"/>
              </w:rPr>
              <w:t>第一百四十六条 有下列情形之一的，不得担任公司的董事、监事、高级管理人员：</w:t>
            </w:r>
          </w:p>
          <w:p>
            <w:pPr>
              <w:pStyle w:val="8"/>
              <w:spacing w:before="91" w:line="321" w:lineRule="auto"/>
              <w:ind w:left="13" w:right="20" w:firstLine="420"/>
              <w:rPr>
                <w:sz w:val="21"/>
              </w:rPr>
            </w:pPr>
            <w:r>
              <w:rPr>
                <w:w w:val="95"/>
                <w:sz w:val="21"/>
              </w:rPr>
              <w:t>（四）担任因违法被吊销营业执照、责令关闭的公司、企业的法定代表人，并负有个人责任的，自该公</w:t>
            </w:r>
            <w:r>
              <w:rPr>
                <w:sz w:val="21"/>
              </w:rPr>
              <w:t>司、企业被吊销营业执照之日起未逾三年。</w:t>
            </w:r>
          </w:p>
          <w:p>
            <w:pPr>
              <w:pStyle w:val="8"/>
              <w:spacing w:line="268" w:lineRule="exact"/>
              <w:ind w:left="13"/>
              <w:rPr>
                <w:b/>
                <w:sz w:val="21"/>
              </w:rPr>
            </w:pPr>
            <w:r>
              <w:rPr>
                <w:rFonts w:hint="eastAsia" w:ascii="仿宋" w:eastAsia="仿宋"/>
                <w:sz w:val="21"/>
              </w:rPr>
              <w:t>《</w:t>
            </w:r>
            <w:r>
              <w:rPr>
                <w:b/>
                <w:sz w:val="21"/>
              </w:rPr>
              <w:t>中华人民共和国保险法》</w:t>
            </w:r>
          </w:p>
          <w:p>
            <w:pPr>
              <w:pStyle w:val="8"/>
              <w:spacing w:before="91" w:line="321" w:lineRule="auto"/>
              <w:ind w:left="13" w:right="111" w:firstLine="420"/>
              <w:rPr>
                <w:sz w:val="21"/>
              </w:rPr>
            </w:pPr>
            <w:r>
              <w:rPr>
                <w:spacing w:val="-13"/>
                <w:sz w:val="21"/>
              </w:rPr>
              <w:t>第八十一条 保险公司的董事、监事和高级管理人员，应当品行良好，熟悉与保险有关的法律、行政法规具有履行职责所需的经营管理能力，并在任职前取得保险监督管理机构核准的任职资格。</w:t>
            </w:r>
          </w:p>
          <w:p>
            <w:pPr>
              <w:pStyle w:val="8"/>
              <w:spacing w:line="268" w:lineRule="exact"/>
              <w:ind w:left="13"/>
              <w:rPr>
                <w:b/>
                <w:sz w:val="21"/>
              </w:rPr>
            </w:pPr>
            <w:r>
              <w:rPr>
                <w:b/>
                <w:sz w:val="21"/>
              </w:rPr>
              <w:t>《证券公司董事、监事和高级管理人员任职资格监管办法》</w:t>
            </w:r>
          </w:p>
          <w:p>
            <w:pPr>
              <w:pStyle w:val="8"/>
              <w:spacing w:before="91"/>
              <w:ind w:left="433"/>
              <w:rPr>
                <w:sz w:val="21"/>
              </w:rPr>
            </w:pPr>
            <w:r>
              <w:rPr>
                <w:sz w:val="21"/>
              </w:rPr>
              <w:t>第八条 取得证券公司董事、监事、高管人员和分支机构负责人任职资格，应当具备以下基本条件：</w:t>
            </w:r>
          </w:p>
          <w:p>
            <w:pPr>
              <w:pStyle w:val="8"/>
              <w:spacing w:before="91"/>
              <w:ind w:left="433"/>
              <w:rPr>
                <w:sz w:val="21"/>
              </w:rPr>
            </w:pPr>
            <w:r>
              <w:rPr>
                <w:sz w:val="21"/>
              </w:rPr>
              <w:t>（一）正直诚实，品行良好。</w:t>
            </w:r>
          </w:p>
        </w:tc>
        <w:tc>
          <w:tcPr>
            <w:tcW w:w="1979" w:type="dxa"/>
          </w:tcPr>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spacing w:before="2"/>
              <w:rPr>
                <w:rFonts w:ascii="Times New Roman"/>
                <w:sz w:val="26"/>
              </w:rPr>
            </w:pPr>
          </w:p>
          <w:p>
            <w:pPr>
              <w:pStyle w:val="8"/>
              <w:spacing w:line="225" w:lineRule="exact"/>
              <w:ind w:left="147"/>
              <w:rPr>
                <w:sz w:val="21"/>
              </w:rPr>
            </w:pPr>
            <w:r>
              <w:rPr>
                <w:sz w:val="21"/>
              </w:rPr>
              <w:t>证监会、银保监会</w:t>
            </w:r>
          </w:p>
          <w:p>
            <w:pPr>
              <w:pStyle w:val="8"/>
              <w:spacing w:line="225" w:lineRule="exact"/>
              <w:ind w:left="-122"/>
              <w:rPr>
                <w:sz w:val="21"/>
              </w:rPr>
            </w:pPr>
            <w:r>
              <w:rPr>
                <w:w w:val="99"/>
                <w:sz w:val="21"/>
              </w:rPr>
              <w:t>，</w:t>
            </w:r>
          </w:p>
        </w:tc>
      </w:tr>
    </w:tbl>
    <w:p>
      <w:pPr>
        <w:spacing w:after="0" w:line="225" w:lineRule="exact"/>
        <w:rPr>
          <w:sz w:val="21"/>
        </w:rPr>
        <w:sectPr>
          <w:footerReference r:id="rId6" w:type="default"/>
          <w:pgSz w:w="16840" w:h="11910" w:orient="landscape"/>
          <w:pgMar w:top="1100" w:right="960" w:bottom="1160" w:left="1700" w:header="0" w:footer="979" w:gutter="0"/>
          <w:pgNumType w:start="20"/>
        </w:sectPr>
      </w:pPr>
    </w:p>
    <w:p>
      <w:pPr>
        <w:pStyle w:val="3"/>
        <w:rPr>
          <w:rFonts w:ascii="Times New Roman"/>
          <w:sz w:val="29"/>
        </w:rPr>
      </w:pPr>
    </w:p>
    <w:tbl>
      <w:tblPr>
        <w:tblStyle w:val="4"/>
        <w:tblW w:w="0" w:type="auto"/>
        <w:tblInd w:w="34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43"/>
        <w:gridCol w:w="9915"/>
        <w:gridCol w:w="197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 w:hRule="atLeast"/>
        </w:trPr>
        <w:tc>
          <w:tcPr>
            <w:tcW w:w="1743" w:type="dxa"/>
          </w:tcPr>
          <w:p>
            <w:pPr>
              <w:pStyle w:val="8"/>
              <w:spacing w:before="63" w:line="438" w:lineRule="exact"/>
              <w:ind w:left="271"/>
              <w:rPr>
                <w:rFonts w:hint="eastAsia" w:ascii="Arial Unicode MS" w:eastAsia="Arial Unicode MS"/>
                <w:sz w:val="30"/>
              </w:rPr>
            </w:pPr>
            <w:r>
              <w:rPr>
                <w:rFonts w:hint="eastAsia" w:ascii="Arial Unicode MS" w:eastAsia="Arial Unicode MS"/>
                <w:sz w:val="30"/>
              </w:rPr>
              <w:t>惩戒措施</w:t>
            </w:r>
          </w:p>
        </w:tc>
        <w:tc>
          <w:tcPr>
            <w:tcW w:w="9915" w:type="dxa"/>
          </w:tcPr>
          <w:p>
            <w:pPr>
              <w:pStyle w:val="8"/>
              <w:spacing w:line="502" w:lineRule="exact"/>
              <w:ind w:left="3886" w:right="3878"/>
              <w:jc w:val="center"/>
              <w:rPr>
                <w:rFonts w:hint="eastAsia" w:ascii="Arial Unicode MS" w:eastAsia="Arial Unicode MS"/>
                <w:sz w:val="30"/>
              </w:rPr>
            </w:pPr>
            <w:r>
              <w:rPr>
                <w:rFonts w:hint="eastAsia" w:ascii="Arial Unicode MS" w:eastAsia="Arial Unicode MS"/>
                <w:sz w:val="30"/>
              </w:rPr>
              <w:t>法律及政策依据</w:t>
            </w:r>
          </w:p>
        </w:tc>
        <w:tc>
          <w:tcPr>
            <w:tcW w:w="1979" w:type="dxa"/>
          </w:tcPr>
          <w:p>
            <w:pPr>
              <w:pStyle w:val="8"/>
              <w:spacing w:line="502" w:lineRule="exact"/>
              <w:ind w:left="387"/>
              <w:rPr>
                <w:rFonts w:hint="eastAsia" w:ascii="Arial Unicode MS" w:eastAsia="Arial Unicode MS"/>
                <w:sz w:val="30"/>
              </w:rPr>
            </w:pPr>
            <w:r>
              <w:rPr>
                <w:rFonts w:hint="eastAsia" w:ascii="Arial Unicode MS" w:eastAsia="Arial Unicode MS"/>
                <w:sz w:val="30"/>
              </w:rPr>
              <w:t>实施部门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08" w:hRule="atLeast"/>
        </w:trPr>
        <w:tc>
          <w:tcPr>
            <w:tcW w:w="1743" w:type="dxa"/>
          </w:tcPr>
          <w:p>
            <w:pPr>
              <w:pStyle w:val="8"/>
              <w:rPr>
                <w:rFonts w:ascii="Times New Roman"/>
                <w:sz w:val="20"/>
              </w:rPr>
            </w:pPr>
          </w:p>
        </w:tc>
        <w:tc>
          <w:tcPr>
            <w:tcW w:w="9915" w:type="dxa"/>
          </w:tcPr>
          <w:p>
            <w:pPr>
              <w:pStyle w:val="8"/>
              <w:spacing w:before="60"/>
              <w:ind w:left="13"/>
              <w:rPr>
                <w:b/>
                <w:sz w:val="21"/>
              </w:rPr>
            </w:pPr>
            <w:r>
              <w:rPr>
                <w:b/>
                <w:sz w:val="21"/>
              </w:rPr>
              <w:t>《中华人民共和国证券投资基金法》</w:t>
            </w:r>
          </w:p>
          <w:p>
            <w:pPr>
              <w:pStyle w:val="8"/>
              <w:spacing w:before="91" w:line="321" w:lineRule="auto"/>
              <w:ind w:left="13" w:right="3" w:firstLine="420"/>
              <w:rPr>
                <w:sz w:val="21"/>
              </w:rPr>
            </w:pPr>
            <w:r>
              <w:rPr>
                <w:spacing w:val="-8"/>
                <w:sz w:val="21"/>
              </w:rPr>
              <w:t>第十五条 有下列情形之一的，不得担任公开募集基金的基金管理人的董事、监事、高级管理人员和其他从业人员：</w:t>
            </w:r>
          </w:p>
          <w:p>
            <w:pPr>
              <w:pStyle w:val="8"/>
              <w:spacing w:line="321" w:lineRule="auto"/>
              <w:ind w:left="13" w:right="20" w:firstLine="420"/>
              <w:rPr>
                <w:sz w:val="21"/>
              </w:rPr>
            </w:pPr>
            <w:r>
              <w:rPr>
                <w:w w:val="95"/>
                <w:sz w:val="21"/>
              </w:rPr>
              <w:t>（二）对所任职的公司、企业因经营不善破产清算或者因违法被吊销营业执照负有个人责任的董事、监</w:t>
            </w:r>
            <w:r>
              <w:rPr>
                <w:sz w:val="21"/>
              </w:rPr>
              <w:t>事、厂长、高级管理人员，自该公司、企业破产清算终结或者被吊销营业执照之日起未逾五年的。</w:t>
            </w:r>
          </w:p>
          <w:p>
            <w:pPr>
              <w:pStyle w:val="8"/>
              <w:spacing w:line="268" w:lineRule="exact"/>
              <w:ind w:left="13"/>
              <w:rPr>
                <w:b/>
                <w:sz w:val="21"/>
              </w:rPr>
            </w:pPr>
            <w:r>
              <w:rPr>
                <w:b/>
                <w:sz w:val="21"/>
              </w:rPr>
              <w:t>《证券投资基金行业高级管理人员任职管理办法》</w:t>
            </w:r>
          </w:p>
          <w:p>
            <w:pPr>
              <w:pStyle w:val="8"/>
              <w:tabs>
                <w:tab w:val="left" w:pos="1273"/>
              </w:tabs>
              <w:spacing w:before="90" w:line="321" w:lineRule="auto"/>
              <w:ind w:left="13" w:right="20" w:firstLine="420"/>
              <w:rPr>
                <w:sz w:val="21"/>
              </w:rPr>
            </w:pPr>
            <w:r>
              <w:rPr>
                <w:sz w:val="21"/>
              </w:rPr>
              <w:t>第四条</w:t>
            </w:r>
            <w:r>
              <w:rPr>
                <w:sz w:val="21"/>
              </w:rPr>
              <w:tab/>
            </w:r>
            <w:r>
              <w:rPr>
                <w:w w:val="95"/>
                <w:sz w:val="21"/>
              </w:rPr>
              <w:t>高级管理人员应当遵守法律、行政法规和中国证监会的规定，遵守公司章程和行业规范，恪守</w:t>
            </w:r>
            <w:r>
              <w:rPr>
                <w:sz w:val="21"/>
              </w:rPr>
              <w:t>诚信，审慎勤勉，忠实尽责，维护基金份额持有人的合法权益。</w:t>
            </w:r>
          </w:p>
          <w:p>
            <w:pPr>
              <w:pStyle w:val="8"/>
              <w:spacing w:line="268" w:lineRule="exact"/>
              <w:ind w:left="13"/>
              <w:rPr>
                <w:b/>
                <w:sz w:val="21"/>
              </w:rPr>
            </w:pPr>
            <w:r>
              <w:rPr>
                <w:b/>
                <w:sz w:val="21"/>
              </w:rPr>
              <w:t>《期货公司董事、监事和高级管理人员任职资格管理办法》</w:t>
            </w:r>
          </w:p>
          <w:p>
            <w:pPr>
              <w:pStyle w:val="8"/>
              <w:spacing w:before="91" w:line="321" w:lineRule="auto"/>
              <w:ind w:left="13" w:right="5" w:firstLine="420"/>
              <w:rPr>
                <w:sz w:val="21"/>
              </w:rPr>
            </w:pPr>
            <w:r>
              <w:rPr>
                <w:spacing w:val="-9"/>
                <w:sz w:val="21"/>
              </w:rPr>
              <w:t>第六条 申请期货公司董事、监事和高级管理人员的任职资格，应当具有诚实守信的品质、良好的职业道德和履行职责所必需的经营管理能力。</w:t>
            </w:r>
          </w:p>
          <w:p>
            <w:pPr>
              <w:pStyle w:val="8"/>
              <w:spacing w:line="268" w:lineRule="exact"/>
              <w:ind w:left="13"/>
              <w:rPr>
                <w:b/>
                <w:sz w:val="21"/>
              </w:rPr>
            </w:pPr>
            <w:r>
              <w:rPr>
                <w:b/>
                <w:sz w:val="21"/>
              </w:rPr>
              <w:t>《证券业从业人员资格管理办法》</w:t>
            </w:r>
          </w:p>
          <w:p>
            <w:pPr>
              <w:pStyle w:val="8"/>
              <w:tabs>
                <w:tab w:val="left" w:pos="1273"/>
              </w:tabs>
              <w:spacing w:before="91"/>
              <w:ind w:left="433"/>
              <w:rPr>
                <w:sz w:val="21"/>
              </w:rPr>
            </w:pPr>
            <w:r>
              <w:rPr>
                <w:sz w:val="21"/>
              </w:rPr>
              <w:t>第十条</w:t>
            </w:r>
            <w:r>
              <w:rPr>
                <w:sz w:val="21"/>
              </w:rPr>
              <w:tab/>
            </w:r>
            <w:r>
              <w:rPr>
                <w:sz w:val="21"/>
              </w:rPr>
              <w:t>取得从业资格的人员，符合下列条件的，可以通过机构申请执业证书：</w:t>
            </w:r>
          </w:p>
          <w:p>
            <w:pPr>
              <w:pStyle w:val="8"/>
              <w:spacing w:before="91"/>
              <w:ind w:left="433"/>
              <w:rPr>
                <w:sz w:val="21"/>
              </w:rPr>
            </w:pPr>
            <w:r>
              <w:rPr>
                <w:sz w:val="21"/>
              </w:rPr>
              <w:t>（五）品行端正，具有良好的职业道德。</w:t>
            </w:r>
          </w:p>
          <w:p>
            <w:pPr>
              <w:pStyle w:val="8"/>
              <w:spacing w:before="91"/>
              <w:ind w:left="13"/>
              <w:rPr>
                <w:b/>
                <w:sz w:val="21"/>
              </w:rPr>
            </w:pPr>
            <w:r>
              <w:rPr>
                <w:b/>
                <w:sz w:val="21"/>
              </w:rPr>
              <w:t>《期货从业人员管理办法》</w:t>
            </w:r>
          </w:p>
          <w:p>
            <w:pPr>
              <w:pStyle w:val="8"/>
              <w:tabs>
                <w:tab w:val="left" w:pos="1273"/>
              </w:tabs>
              <w:spacing w:before="91" w:line="321" w:lineRule="auto"/>
              <w:ind w:left="13" w:right="20" w:firstLine="420"/>
              <w:rPr>
                <w:sz w:val="21"/>
              </w:rPr>
            </w:pPr>
            <w:r>
              <w:rPr>
                <w:sz w:val="21"/>
              </w:rPr>
              <w:t>第十条</w:t>
            </w:r>
            <w:r>
              <w:rPr>
                <w:sz w:val="21"/>
              </w:rPr>
              <w:tab/>
            </w:r>
            <w:r>
              <w:rPr>
                <w:w w:val="95"/>
                <w:sz w:val="21"/>
              </w:rPr>
              <w:t>机构任用具有从业资格考试合格证明且符合下列条件的人员从事期货业务的，应当为其办理从</w:t>
            </w:r>
            <w:r>
              <w:rPr>
                <w:sz w:val="21"/>
              </w:rPr>
              <w:t>业资格申请：</w:t>
            </w:r>
          </w:p>
          <w:p>
            <w:pPr>
              <w:pStyle w:val="8"/>
              <w:spacing w:line="268" w:lineRule="exact"/>
              <w:ind w:left="433"/>
              <w:rPr>
                <w:sz w:val="21"/>
              </w:rPr>
            </w:pPr>
            <w:r>
              <w:rPr>
                <w:sz w:val="21"/>
              </w:rPr>
              <w:t>（一）品行端正，具有良好的职业道德。</w:t>
            </w:r>
          </w:p>
          <w:p>
            <w:pPr>
              <w:pStyle w:val="8"/>
              <w:spacing w:before="90"/>
              <w:ind w:left="13"/>
              <w:rPr>
                <w:b/>
                <w:sz w:val="21"/>
              </w:rPr>
            </w:pPr>
            <w:r>
              <w:rPr>
                <w:b/>
                <w:sz w:val="21"/>
              </w:rPr>
              <w:t>《私募投资基金监督管理暂行办法》</w:t>
            </w:r>
          </w:p>
          <w:p>
            <w:pPr>
              <w:pStyle w:val="8"/>
              <w:spacing w:before="91" w:line="321" w:lineRule="auto"/>
              <w:ind w:left="13" w:right="3" w:firstLine="420"/>
              <w:jc w:val="both"/>
              <w:rPr>
                <w:sz w:val="21"/>
              </w:rPr>
            </w:pPr>
            <w:r>
              <w:rPr>
                <w:spacing w:val="-5"/>
                <w:sz w:val="21"/>
              </w:rPr>
              <w:t>第四条 私募基金管理人和从事私募基金托管业务的机构</w:t>
            </w:r>
            <w:r>
              <w:rPr>
                <w:sz w:val="21"/>
              </w:rPr>
              <w:t>（以下简称私募基金托管人</w:t>
            </w:r>
            <w:r>
              <w:rPr>
                <w:spacing w:val="-29"/>
                <w:sz w:val="21"/>
              </w:rPr>
              <w:t>）</w:t>
            </w:r>
            <w:r>
              <w:rPr>
                <w:spacing w:val="-6"/>
                <w:sz w:val="21"/>
              </w:rPr>
              <w:t>管理、运用私募基金财产，从事私募基金销售业务的机构（以下简称私募基金销售机构）及其他私募服务机构从事私募基金服务活动，应当恪尽职守，履行诚实信用、谨慎勤勉的义务。</w:t>
            </w:r>
          </w:p>
          <w:p>
            <w:pPr>
              <w:pStyle w:val="8"/>
              <w:spacing w:line="267" w:lineRule="exact"/>
              <w:ind w:left="433"/>
              <w:rPr>
                <w:sz w:val="21"/>
              </w:rPr>
            </w:pPr>
            <w:r>
              <w:rPr>
                <w:sz w:val="21"/>
              </w:rPr>
              <w:t>私募基金从业人员应当遵守法律、行政法规，恪守职业道德和行为规范。</w:t>
            </w:r>
          </w:p>
        </w:tc>
        <w:tc>
          <w:tcPr>
            <w:tcW w:w="1979" w:type="dxa"/>
          </w:tcPr>
          <w:p>
            <w:pPr>
              <w:pStyle w:val="8"/>
              <w:rPr>
                <w:rFonts w:ascii="Times New Roman"/>
                <w:sz w:val="20"/>
              </w:rPr>
            </w:pPr>
          </w:p>
        </w:tc>
      </w:tr>
    </w:tbl>
    <w:p>
      <w:pPr>
        <w:spacing w:after="0"/>
        <w:rPr>
          <w:rFonts w:ascii="Times New Roman"/>
          <w:sz w:val="20"/>
        </w:rPr>
        <w:sectPr>
          <w:pgSz w:w="16840" w:h="11910" w:orient="landscape"/>
          <w:pgMar w:top="1100" w:right="960" w:bottom="1160" w:left="1700" w:header="0" w:footer="979" w:gutter="0"/>
        </w:sectPr>
      </w:pPr>
    </w:p>
    <w:p>
      <w:pPr>
        <w:pStyle w:val="3"/>
        <w:rPr>
          <w:rFonts w:ascii="Times New Roman"/>
          <w:sz w:val="29"/>
        </w:rPr>
      </w:pPr>
    </w:p>
    <w:tbl>
      <w:tblPr>
        <w:tblStyle w:val="4"/>
        <w:tblW w:w="0" w:type="auto"/>
        <w:tblInd w:w="34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43"/>
        <w:gridCol w:w="9915"/>
        <w:gridCol w:w="197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 w:hRule="atLeast"/>
        </w:trPr>
        <w:tc>
          <w:tcPr>
            <w:tcW w:w="1743" w:type="dxa"/>
          </w:tcPr>
          <w:p>
            <w:pPr>
              <w:pStyle w:val="8"/>
              <w:spacing w:before="63" w:line="438" w:lineRule="exact"/>
              <w:ind w:left="271"/>
              <w:rPr>
                <w:rFonts w:hint="eastAsia" w:ascii="Arial Unicode MS" w:eastAsia="Arial Unicode MS"/>
                <w:sz w:val="30"/>
              </w:rPr>
            </w:pPr>
            <w:r>
              <w:rPr>
                <w:rFonts w:hint="eastAsia" w:ascii="Arial Unicode MS" w:eastAsia="Arial Unicode MS"/>
                <w:sz w:val="30"/>
              </w:rPr>
              <w:t>惩戒措施</w:t>
            </w:r>
          </w:p>
        </w:tc>
        <w:tc>
          <w:tcPr>
            <w:tcW w:w="9915" w:type="dxa"/>
          </w:tcPr>
          <w:p>
            <w:pPr>
              <w:pStyle w:val="8"/>
              <w:spacing w:line="502" w:lineRule="exact"/>
              <w:ind w:left="3886" w:right="3878"/>
              <w:jc w:val="center"/>
              <w:rPr>
                <w:rFonts w:hint="eastAsia" w:ascii="Arial Unicode MS" w:eastAsia="Arial Unicode MS"/>
                <w:sz w:val="30"/>
              </w:rPr>
            </w:pPr>
            <w:r>
              <w:rPr>
                <w:rFonts w:hint="eastAsia" w:ascii="Arial Unicode MS" w:eastAsia="Arial Unicode MS"/>
                <w:sz w:val="30"/>
              </w:rPr>
              <w:t>法律及政策依据</w:t>
            </w:r>
          </w:p>
        </w:tc>
        <w:tc>
          <w:tcPr>
            <w:tcW w:w="1979" w:type="dxa"/>
          </w:tcPr>
          <w:p>
            <w:pPr>
              <w:pStyle w:val="8"/>
              <w:spacing w:line="502" w:lineRule="exact"/>
              <w:ind w:left="387"/>
              <w:rPr>
                <w:rFonts w:hint="eastAsia" w:ascii="Arial Unicode MS" w:eastAsia="Arial Unicode MS"/>
                <w:sz w:val="30"/>
              </w:rPr>
            </w:pPr>
            <w:r>
              <w:rPr>
                <w:rFonts w:hint="eastAsia" w:ascii="Arial Unicode MS" w:eastAsia="Arial Unicode MS"/>
                <w:sz w:val="30"/>
              </w:rPr>
              <w:t>实施部门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08" w:hRule="atLeast"/>
        </w:trPr>
        <w:tc>
          <w:tcPr>
            <w:tcW w:w="1743" w:type="dxa"/>
          </w:tcPr>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spacing w:before="3"/>
              <w:rPr>
                <w:rFonts w:ascii="Times New Roman"/>
                <w:sz w:val="28"/>
              </w:rPr>
            </w:pPr>
          </w:p>
          <w:p>
            <w:pPr>
              <w:pStyle w:val="8"/>
              <w:spacing w:line="321" w:lineRule="auto"/>
              <w:ind w:left="14" w:right="38"/>
              <w:rPr>
                <w:sz w:val="21"/>
              </w:rPr>
            </w:pPr>
            <w:r>
              <w:rPr>
                <w:rFonts w:ascii="Times New Roman" w:eastAsia="Times New Roman"/>
                <w:sz w:val="21"/>
              </w:rPr>
              <w:t>16.</w:t>
            </w:r>
            <w:r>
              <w:rPr>
                <w:position w:val="1"/>
                <w:sz w:val="21"/>
              </w:rPr>
              <w:t>将失信信息作</w:t>
            </w:r>
            <w:r>
              <w:rPr>
                <w:sz w:val="21"/>
              </w:rPr>
              <w:t>为证券公司、保险公司、基金管理公司及期货公司的设立及股权或实际控制人变更审批或备案，私募投资基金管理人登记、重大事项变更以及基金备案的参考。</w:t>
            </w:r>
          </w:p>
        </w:tc>
        <w:tc>
          <w:tcPr>
            <w:tcW w:w="9915" w:type="dxa"/>
          </w:tcPr>
          <w:p>
            <w:pPr>
              <w:pStyle w:val="8"/>
              <w:spacing w:before="60"/>
              <w:ind w:left="13"/>
              <w:rPr>
                <w:b/>
                <w:sz w:val="21"/>
              </w:rPr>
            </w:pPr>
            <w:r>
              <w:rPr>
                <w:b/>
                <w:sz w:val="21"/>
              </w:rPr>
              <w:t>《证券法》</w:t>
            </w:r>
          </w:p>
          <w:p>
            <w:pPr>
              <w:pStyle w:val="8"/>
              <w:spacing w:before="91"/>
              <w:ind w:left="433"/>
              <w:rPr>
                <w:sz w:val="21"/>
              </w:rPr>
            </w:pPr>
            <w:r>
              <w:rPr>
                <w:sz w:val="21"/>
              </w:rPr>
              <w:t>第一百二十四条 设立证券公司，应当具备下列条件：</w:t>
            </w:r>
          </w:p>
          <w:p>
            <w:pPr>
              <w:pStyle w:val="8"/>
              <w:spacing w:before="91"/>
              <w:ind w:left="453"/>
              <w:rPr>
                <w:sz w:val="21"/>
              </w:rPr>
            </w:pPr>
            <w:r>
              <w:rPr>
                <w:sz w:val="21"/>
              </w:rPr>
              <w:t>（一）有符合法律、行政法规规定的公司章程；</w:t>
            </w:r>
          </w:p>
          <w:p>
            <w:pPr>
              <w:pStyle w:val="8"/>
              <w:spacing w:before="91" w:line="321" w:lineRule="auto"/>
              <w:ind w:left="13" w:right="20" w:firstLine="420"/>
              <w:rPr>
                <w:sz w:val="21"/>
              </w:rPr>
            </w:pPr>
            <w:r>
              <w:rPr>
                <w:w w:val="95"/>
                <w:sz w:val="21"/>
              </w:rPr>
              <w:t>（二）主要股东具有持续盈利能力，信誉良好，最近三年无重大违法违规记录，净资产不低于人民币二</w:t>
            </w:r>
            <w:r>
              <w:rPr>
                <w:sz w:val="21"/>
              </w:rPr>
              <w:t>亿元；</w:t>
            </w:r>
          </w:p>
          <w:p>
            <w:pPr>
              <w:pStyle w:val="8"/>
              <w:spacing w:line="268" w:lineRule="exact"/>
              <w:ind w:left="433"/>
              <w:rPr>
                <w:sz w:val="21"/>
              </w:rPr>
            </w:pPr>
            <w:r>
              <w:rPr>
                <w:sz w:val="21"/>
              </w:rPr>
              <w:t>（三）有符合本法规定的注册资本；</w:t>
            </w:r>
          </w:p>
          <w:p>
            <w:pPr>
              <w:pStyle w:val="8"/>
              <w:spacing w:before="91"/>
              <w:ind w:left="433"/>
              <w:rPr>
                <w:sz w:val="21"/>
              </w:rPr>
            </w:pPr>
            <w:r>
              <w:rPr>
                <w:sz w:val="21"/>
              </w:rPr>
              <w:t>（四）董事、监事、高级管理人员具备任职资格，从业人员具有证券从业资格；</w:t>
            </w:r>
          </w:p>
          <w:p>
            <w:pPr>
              <w:pStyle w:val="8"/>
              <w:spacing w:before="91"/>
              <w:ind w:left="433"/>
              <w:rPr>
                <w:sz w:val="21"/>
              </w:rPr>
            </w:pPr>
            <w:r>
              <w:rPr>
                <w:sz w:val="21"/>
              </w:rPr>
              <w:t>（五）有完善的风险管理与内部控制制度；</w:t>
            </w:r>
          </w:p>
          <w:p>
            <w:pPr>
              <w:pStyle w:val="8"/>
              <w:spacing w:before="91"/>
              <w:ind w:left="433"/>
              <w:rPr>
                <w:sz w:val="21"/>
              </w:rPr>
            </w:pPr>
            <w:r>
              <w:rPr>
                <w:sz w:val="21"/>
              </w:rPr>
              <w:t>（六）有合格的经营场所和业务设施；</w:t>
            </w:r>
          </w:p>
          <w:p>
            <w:pPr>
              <w:pStyle w:val="8"/>
              <w:spacing w:before="91"/>
              <w:ind w:left="433"/>
              <w:rPr>
                <w:sz w:val="21"/>
              </w:rPr>
            </w:pPr>
            <w:r>
              <w:rPr>
                <w:sz w:val="21"/>
              </w:rPr>
              <w:t>（七）法律、行政法规规定的和经国务院批准的国务院证券监督管理机构规定的其他条件。</w:t>
            </w:r>
          </w:p>
          <w:p>
            <w:pPr>
              <w:pStyle w:val="8"/>
              <w:spacing w:before="91"/>
              <w:ind w:left="13"/>
              <w:rPr>
                <w:b/>
                <w:sz w:val="21"/>
              </w:rPr>
            </w:pPr>
            <w:r>
              <w:rPr>
                <w:b/>
                <w:sz w:val="21"/>
              </w:rPr>
              <w:t>《中华人民共和国保险法》</w:t>
            </w:r>
          </w:p>
          <w:p>
            <w:pPr>
              <w:pStyle w:val="8"/>
              <w:spacing w:before="91"/>
              <w:ind w:left="433"/>
              <w:rPr>
                <w:sz w:val="21"/>
              </w:rPr>
            </w:pPr>
            <w:r>
              <w:rPr>
                <w:sz w:val="21"/>
              </w:rPr>
              <w:t>第六十八条 设立保险公司应当具备下列条件：</w:t>
            </w:r>
          </w:p>
          <w:p>
            <w:pPr>
              <w:pStyle w:val="8"/>
              <w:spacing w:before="90" w:line="321" w:lineRule="auto"/>
              <w:ind w:left="13" w:right="20" w:firstLine="420"/>
              <w:rPr>
                <w:sz w:val="21"/>
              </w:rPr>
            </w:pPr>
            <w:r>
              <w:rPr>
                <w:w w:val="95"/>
                <w:sz w:val="21"/>
              </w:rPr>
              <w:t>（一）主要股东具有持续盈利能力，信誉良好，最近三年内无重大违法违规记录，净资产不低于人民币</w:t>
            </w:r>
            <w:r>
              <w:rPr>
                <w:sz w:val="21"/>
              </w:rPr>
              <w:t>二亿元。</w:t>
            </w:r>
          </w:p>
          <w:p>
            <w:pPr>
              <w:pStyle w:val="8"/>
              <w:spacing w:line="268" w:lineRule="exact"/>
              <w:ind w:left="13"/>
              <w:rPr>
                <w:b/>
                <w:sz w:val="21"/>
              </w:rPr>
            </w:pPr>
            <w:r>
              <w:rPr>
                <w:b/>
                <w:sz w:val="21"/>
              </w:rPr>
              <w:t>《证券投资基金法》</w:t>
            </w:r>
          </w:p>
          <w:p>
            <w:pPr>
              <w:pStyle w:val="8"/>
              <w:spacing w:before="91"/>
              <w:ind w:left="433"/>
              <w:rPr>
                <w:sz w:val="21"/>
              </w:rPr>
            </w:pPr>
            <w:r>
              <w:rPr>
                <w:sz w:val="21"/>
              </w:rPr>
              <w:t>第十三条 设立基金管理公司，应当具备下列条件，并经国务院证券监督管理机构批准：</w:t>
            </w:r>
          </w:p>
          <w:p>
            <w:pPr>
              <w:pStyle w:val="8"/>
              <w:spacing w:before="91"/>
              <w:ind w:left="433"/>
              <w:rPr>
                <w:sz w:val="21"/>
              </w:rPr>
            </w:pPr>
            <w:r>
              <w:rPr>
                <w:sz w:val="21"/>
              </w:rPr>
              <w:t>（一）有符合本法和《中华人民共和国公司法》规定的章程；</w:t>
            </w:r>
          </w:p>
          <w:p>
            <w:pPr>
              <w:pStyle w:val="8"/>
              <w:spacing w:before="91"/>
              <w:ind w:left="433"/>
              <w:rPr>
                <w:sz w:val="21"/>
              </w:rPr>
            </w:pPr>
            <w:r>
              <w:rPr>
                <w:sz w:val="21"/>
              </w:rPr>
              <w:t>（二）注册资本不低于一亿元人民币，且必须为实缴货币资本；</w:t>
            </w:r>
          </w:p>
          <w:p>
            <w:pPr>
              <w:pStyle w:val="8"/>
              <w:spacing w:before="91" w:line="321" w:lineRule="auto"/>
              <w:ind w:left="13" w:right="20" w:firstLine="420"/>
              <w:rPr>
                <w:sz w:val="21"/>
              </w:rPr>
            </w:pPr>
            <w:r>
              <w:rPr>
                <w:w w:val="95"/>
                <w:sz w:val="21"/>
              </w:rPr>
              <w:t>（三）主要股东具有从事证券经营、证券投资咨询、信托资产管理或者其他金融资产管理的较好的经营</w:t>
            </w:r>
            <w:r>
              <w:rPr>
                <w:sz w:val="21"/>
              </w:rPr>
              <w:t>业绩和良好的社会信誉，最近三年没有违法记录，注册资本不低于三亿元人民币；</w:t>
            </w:r>
          </w:p>
          <w:p>
            <w:pPr>
              <w:pStyle w:val="8"/>
              <w:spacing w:line="268" w:lineRule="exact"/>
              <w:ind w:left="433"/>
              <w:rPr>
                <w:sz w:val="21"/>
              </w:rPr>
            </w:pPr>
            <w:r>
              <w:rPr>
                <w:sz w:val="21"/>
              </w:rPr>
              <w:t>（四）取得基金从业资格的人员达到法定人数；</w:t>
            </w:r>
          </w:p>
          <w:p>
            <w:pPr>
              <w:pStyle w:val="8"/>
              <w:spacing w:before="91"/>
              <w:ind w:left="433"/>
              <w:rPr>
                <w:sz w:val="21"/>
              </w:rPr>
            </w:pPr>
            <w:r>
              <w:rPr>
                <w:sz w:val="21"/>
              </w:rPr>
              <w:t>（五）有符合要求的营业场所、安全防范设施和与基金管理业务有关的其他设施；</w:t>
            </w:r>
          </w:p>
          <w:p>
            <w:pPr>
              <w:pStyle w:val="8"/>
              <w:spacing w:before="91"/>
              <w:ind w:left="433"/>
              <w:rPr>
                <w:sz w:val="21"/>
              </w:rPr>
            </w:pPr>
            <w:r>
              <w:rPr>
                <w:sz w:val="21"/>
              </w:rPr>
              <w:t>（六）有完善的内部稽核监控制度和风险控制制度；</w:t>
            </w:r>
          </w:p>
        </w:tc>
        <w:tc>
          <w:tcPr>
            <w:tcW w:w="1979" w:type="dxa"/>
          </w:tcPr>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spacing w:before="7"/>
              <w:rPr>
                <w:rFonts w:ascii="Times New Roman"/>
                <w:sz w:val="29"/>
              </w:rPr>
            </w:pPr>
          </w:p>
          <w:p>
            <w:pPr>
              <w:pStyle w:val="8"/>
              <w:ind w:left="15"/>
              <w:rPr>
                <w:sz w:val="21"/>
              </w:rPr>
            </w:pPr>
            <w:r>
              <w:rPr>
                <w:sz w:val="21"/>
              </w:rPr>
              <w:t>证监会、银保监会</w:t>
            </w:r>
          </w:p>
        </w:tc>
      </w:tr>
    </w:tbl>
    <w:p>
      <w:pPr>
        <w:spacing w:after="0"/>
        <w:rPr>
          <w:sz w:val="21"/>
        </w:rPr>
        <w:sectPr>
          <w:pgSz w:w="16840" w:h="11910" w:orient="landscape"/>
          <w:pgMar w:top="1100" w:right="960" w:bottom="1160" w:left="1700" w:header="0" w:footer="979" w:gutter="0"/>
        </w:sectPr>
      </w:pPr>
    </w:p>
    <w:p>
      <w:pPr>
        <w:pStyle w:val="3"/>
        <w:rPr>
          <w:rFonts w:ascii="Times New Roman"/>
          <w:sz w:val="29"/>
        </w:rPr>
      </w:pPr>
    </w:p>
    <w:tbl>
      <w:tblPr>
        <w:tblStyle w:val="4"/>
        <w:tblW w:w="0" w:type="auto"/>
        <w:tblInd w:w="34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43"/>
        <w:gridCol w:w="9915"/>
        <w:gridCol w:w="197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 w:hRule="atLeast"/>
        </w:trPr>
        <w:tc>
          <w:tcPr>
            <w:tcW w:w="1743" w:type="dxa"/>
          </w:tcPr>
          <w:p>
            <w:pPr>
              <w:pStyle w:val="8"/>
              <w:spacing w:before="63" w:line="438" w:lineRule="exact"/>
              <w:ind w:left="271"/>
              <w:rPr>
                <w:rFonts w:hint="eastAsia" w:ascii="Arial Unicode MS" w:eastAsia="Arial Unicode MS"/>
                <w:sz w:val="30"/>
              </w:rPr>
            </w:pPr>
            <w:r>
              <w:rPr>
                <w:rFonts w:hint="eastAsia" w:ascii="Arial Unicode MS" w:eastAsia="Arial Unicode MS"/>
                <w:sz w:val="30"/>
              </w:rPr>
              <w:t>惩戒措施</w:t>
            </w:r>
          </w:p>
        </w:tc>
        <w:tc>
          <w:tcPr>
            <w:tcW w:w="9915" w:type="dxa"/>
          </w:tcPr>
          <w:p>
            <w:pPr>
              <w:pStyle w:val="8"/>
              <w:spacing w:line="502" w:lineRule="exact"/>
              <w:ind w:left="3886" w:right="3878"/>
              <w:jc w:val="center"/>
              <w:rPr>
                <w:rFonts w:hint="eastAsia" w:ascii="Arial Unicode MS" w:eastAsia="Arial Unicode MS"/>
                <w:sz w:val="30"/>
              </w:rPr>
            </w:pPr>
            <w:r>
              <w:rPr>
                <w:rFonts w:hint="eastAsia" w:ascii="Arial Unicode MS" w:eastAsia="Arial Unicode MS"/>
                <w:sz w:val="30"/>
              </w:rPr>
              <w:t>法律及政策依据</w:t>
            </w:r>
          </w:p>
        </w:tc>
        <w:tc>
          <w:tcPr>
            <w:tcW w:w="1979" w:type="dxa"/>
          </w:tcPr>
          <w:p>
            <w:pPr>
              <w:pStyle w:val="8"/>
              <w:spacing w:line="502" w:lineRule="exact"/>
              <w:ind w:left="387"/>
              <w:rPr>
                <w:rFonts w:hint="eastAsia" w:ascii="Arial Unicode MS" w:eastAsia="Arial Unicode MS"/>
                <w:sz w:val="30"/>
              </w:rPr>
            </w:pPr>
            <w:r>
              <w:rPr>
                <w:rFonts w:hint="eastAsia" w:ascii="Arial Unicode MS" w:eastAsia="Arial Unicode MS"/>
                <w:sz w:val="30"/>
              </w:rPr>
              <w:t>实施部门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08" w:hRule="atLeast"/>
        </w:trPr>
        <w:tc>
          <w:tcPr>
            <w:tcW w:w="1743" w:type="dxa"/>
          </w:tcPr>
          <w:p>
            <w:pPr>
              <w:pStyle w:val="8"/>
              <w:rPr>
                <w:rFonts w:ascii="Times New Roman"/>
                <w:sz w:val="20"/>
              </w:rPr>
            </w:pPr>
          </w:p>
        </w:tc>
        <w:tc>
          <w:tcPr>
            <w:tcW w:w="9915" w:type="dxa"/>
          </w:tcPr>
          <w:p>
            <w:pPr>
              <w:pStyle w:val="8"/>
              <w:spacing w:before="60"/>
              <w:ind w:left="433"/>
              <w:rPr>
                <w:sz w:val="21"/>
              </w:rPr>
            </w:pPr>
            <w:r>
              <w:rPr>
                <w:sz w:val="21"/>
              </w:rPr>
              <w:t>（七）法律、行政法规规定的和经国务院批准的国务院证券监督管理机构规定的其他条件。</w:t>
            </w:r>
          </w:p>
          <w:p>
            <w:pPr>
              <w:pStyle w:val="8"/>
              <w:spacing w:before="91"/>
              <w:ind w:left="13"/>
              <w:rPr>
                <w:b/>
                <w:sz w:val="21"/>
              </w:rPr>
            </w:pPr>
            <w:r>
              <w:rPr>
                <w:b/>
                <w:sz w:val="21"/>
              </w:rPr>
              <w:t>《期货交易管理条例》</w:t>
            </w:r>
          </w:p>
          <w:p>
            <w:pPr>
              <w:pStyle w:val="8"/>
              <w:spacing w:before="91"/>
              <w:ind w:left="433"/>
              <w:rPr>
                <w:sz w:val="21"/>
              </w:rPr>
            </w:pPr>
            <w:r>
              <w:rPr>
                <w:sz w:val="21"/>
              </w:rPr>
              <w:t>第十六条 申请设立期货公司，应当符合《中华人民共和国公司法》的规定，并具备下列条件：</w:t>
            </w:r>
          </w:p>
          <w:p>
            <w:pPr>
              <w:pStyle w:val="8"/>
              <w:spacing w:before="91"/>
              <w:ind w:left="433"/>
              <w:rPr>
                <w:sz w:val="21"/>
              </w:rPr>
            </w:pPr>
            <w:r>
              <w:rPr>
                <w:sz w:val="21"/>
              </w:rPr>
              <w:t xml:space="preserve">（一）注册资本最低限额为人民币 </w:t>
            </w:r>
            <w:r>
              <w:rPr>
                <w:rFonts w:ascii="Times New Roman" w:eastAsia="Times New Roman"/>
                <w:sz w:val="21"/>
              </w:rPr>
              <w:t xml:space="preserve">3000 </w:t>
            </w:r>
            <w:r>
              <w:rPr>
                <w:sz w:val="21"/>
              </w:rPr>
              <w:t>万元；</w:t>
            </w:r>
          </w:p>
          <w:p>
            <w:pPr>
              <w:pStyle w:val="8"/>
              <w:spacing w:before="91"/>
              <w:ind w:left="433"/>
              <w:rPr>
                <w:sz w:val="21"/>
              </w:rPr>
            </w:pPr>
            <w:r>
              <w:rPr>
                <w:sz w:val="21"/>
              </w:rPr>
              <w:t>（二）董事、监事、高级管理人员具备任职资格，从业人员具有期货从业资格；</w:t>
            </w:r>
          </w:p>
          <w:p>
            <w:pPr>
              <w:pStyle w:val="8"/>
              <w:spacing w:before="91"/>
              <w:ind w:left="433"/>
              <w:rPr>
                <w:sz w:val="21"/>
              </w:rPr>
            </w:pPr>
            <w:r>
              <w:rPr>
                <w:sz w:val="21"/>
              </w:rPr>
              <w:t>（三）有符合法律、行政法规规定的公司章程；</w:t>
            </w:r>
          </w:p>
          <w:p>
            <w:pPr>
              <w:pStyle w:val="8"/>
              <w:spacing w:before="91"/>
              <w:ind w:left="433"/>
              <w:rPr>
                <w:sz w:val="21"/>
              </w:rPr>
            </w:pPr>
            <w:r>
              <w:rPr>
                <w:sz w:val="21"/>
              </w:rPr>
              <w:t xml:space="preserve">（四）主要股东以及实际控制人具有持续盈利能力，信誉良好，最近 </w:t>
            </w:r>
            <w:r>
              <w:rPr>
                <w:rFonts w:ascii="Times New Roman" w:eastAsia="Times New Roman"/>
                <w:sz w:val="21"/>
              </w:rPr>
              <w:t xml:space="preserve">3 </w:t>
            </w:r>
            <w:r>
              <w:rPr>
                <w:sz w:val="21"/>
              </w:rPr>
              <w:t>年无重大违法违规记录；</w:t>
            </w:r>
          </w:p>
          <w:p>
            <w:pPr>
              <w:pStyle w:val="8"/>
              <w:spacing w:before="91"/>
              <w:ind w:left="433"/>
              <w:rPr>
                <w:sz w:val="21"/>
              </w:rPr>
            </w:pPr>
            <w:r>
              <w:rPr>
                <w:sz w:val="21"/>
              </w:rPr>
              <w:t>（五）有合格的经营场所和业务设施；</w:t>
            </w:r>
          </w:p>
          <w:p>
            <w:pPr>
              <w:pStyle w:val="8"/>
              <w:spacing w:before="91"/>
              <w:ind w:left="433"/>
              <w:rPr>
                <w:sz w:val="21"/>
              </w:rPr>
            </w:pPr>
            <w:r>
              <w:rPr>
                <w:sz w:val="21"/>
              </w:rPr>
              <w:t>（六）有健全的风险管理和内部控制制度；</w:t>
            </w:r>
          </w:p>
          <w:p>
            <w:pPr>
              <w:pStyle w:val="8"/>
              <w:spacing w:before="91"/>
              <w:ind w:left="433"/>
              <w:rPr>
                <w:sz w:val="21"/>
              </w:rPr>
            </w:pPr>
            <w:r>
              <w:rPr>
                <w:sz w:val="21"/>
              </w:rPr>
              <w:t>（七）国务院期货监督管理机构规定的其他条件。</w:t>
            </w:r>
          </w:p>
          <w:p>
            <w:pPr>
              <w:pStyle w:val="8"/>
              <w:spacing w:before="90"/>
              <w:ind w:left="13"/>
              <w:rPr>
                <w:b/>
                <w:sz w:val="21"/>
              </w:rPr>
            </w:pPr>
            <w:r>
              <w:rPr>
                <w:b/>
                <w:sz w:val="21"/>
              </w:rPr>
              <w:t>《证券投资基金管理公司管理办法》</w:t>
            </w:r>
          </w:p>
          <w:p>
            <w:pPr>
              <w:pStyle w:val="8"/>
              <w:spacing w:before="91" w:line="321" w:lineRule="auto"/>
              <w:ind w:left="13" w:right="111" w:firstLine="420"/>
              <w:rPr>
                <w:sz w:val="21"/>
              </w:rPr>
            </w:pPr>
            <w:r>
              <w:rPr>
                <w:spacing w:val="-15"/>
                <w:sz w:val="21"/>
              </w:rPr>
              <w:t>第七条 申请设立基金管理公司，出资或者持有股份占基金管理公司注册资本的比例</w:t>
            </w:r>
            <w:r>
              <w:rPr>
                <w:sz w:val="21"/>
              </w:rPr>
              <w:t>（以下简称持股比例</w:t>
            </w:r>
            <w:r>
              <w:rPr>
                <w:spacing w:val="-27"/>
                <w:sz w:val="21"/>
              </w:rPr>
              <w:t>在</w:t>
            </w:r>
            <w:r>
              <w:rPr>
                <w:rFonts w:ascii="Times New Roman" w:eastAsia="Times New Roman"/>
                <w:sz w:val="21"/>
              </w:rPr>
              <w:t>5%</w:t>
            </w:r>
            <w:r>
              <w:rPr>
                <w:sz w:val="21"/>
              </w:rPr>
              <w:t>以上的股东，应当具备下列条件：</w:t>
            </w:r>
          </w:p>
          <w:p>
            <w:pPr>
              <w:pStyle w:val="8"/>
              <w:spacing w:line="268" w:lineRule="exact"/>
              <w:ind w:left="433"/>
              <w:rPr>
                <w:sz w:val="21"/>
              </w:rPr>
            </w:pPr>
            <w:r>
              <w:rPr>
                <w:sz w:val="21"/>
              </w:rPr>
              <w:t xml:space="preserve">（一）注册资本、净资产不低于 </w:t>
            </w:r>
            <w:r>
              <w:rPr>
                <w:rFonts w:ascii="Times New Roman" w:eastAsia="Times New Roman"/>
                <w:sz w:val="21"/>
              </w:rPr>
              <w:t xml:space="preserve">1 </w:t>
            </w:r>
            <w:r>
              <w:rPr>
                <w:sz w:val="21"/>
              </w:rPr>
              <w:t>亿元人民币，资产质量良好；</w:t>
            </w:r>
          </w:p>
          <w:p>
            <w:pPr>
              <w:pStyle w:val="8"/>
              <w:spacing w:before="91"/>
              <w:ind w:left="433"/>
              <w:rPr>
                <w:sz w:val="21"/>
              </w:rPr>
            </w:pPr>
            <w:r>
              <w:rPr>
                <w:sz w:val="21"/>
              </w:rPr>
              <w:t xml:space="preserve">（二）持续经营 </w:t>
            </w:r>
            <w:r>
              <w:rPr>
                <w:rFonts w:ascii="Times New Roman" w:eastAsia="Times New Roman"/>
                <w:sz w:val="21"/>
              </w:rPr>
              <w:t xml:space="preserve">3 </w:t>
            </w:r>
            <w:r>
              <w:rPr>
                <w:sz w:val="21"/>
              </w:rPr>
              <w:t>个以上完整的会计年度，公司治理健全，内部监控制度完善；</w:t>
            </w:r>
          </w:p>
          <w:p>
            <w:pPr>
              <w:pStyle w:val="8"/>
              <w:spacing w:before="91"/>
              <w:ind w:left="433"/>
              <w:rPr>
                <w:sz w:val="21"/>
              </w:rPr>
            </w:pPr>
            <w:r>
              <w:rPr>
                <w:sz w:val="21"/>
              </w:rPr>
              <w:t xml:space="preserve">（三）最近 </w:t>
            </w:r>
            <w:r>
              <w:rPr>
                <w:rFonts w:ascii="Times New Roman" w:eastAsia="Times New Roman"/>
                <w:sz w:val="21"/>
              </w:rPr>
              <w:t xml:space="preserve">3 </w:t>
            </w:r>
            <w:r>
              <w:rPr>
                <w:sz w:val="21"/>
              </w:rPr>
              <w:t>年没有因违法违规行为受到行政处罚或者刑事处罚；</w:t>
            </w:r>
          </w:p>
          <w:p>
            <w:pPr>
              <w:pStyle w:val="8"/>
              <w:spacing w:before="91"/>
              <w:ind w:left="433"/>
              <w:rPr>
                <w:sz w:val="21"/>
              </w:rPr>
            </w:pPr>
            <w:r>
              <w:rPr>
                <w:sz w:val="21"/>
              </w:rPr>
              <w:t>（四）没有挪用客户资产等损害客户利益的行为；</w:t>
            </w:r>
          </w:p>
          <w:p>
            <w:pPr>
              <w:pStyle w:val="8"/>
              <w:spacing w:before="91"/>
              <w:ind w:left="433"/>
              <w:rPr>
                <w:sz w:val="21"/>
              </w:rPr>
            </w:pPr>
            <w:r>
              <w:rPr>
                <w:sz w:val="21"/>
              </w:rPr>
              <w:t>（五）没有因违法违规行为正在被监管机构调查，或者正处于整改期间；</w:t>
            </w:r>
          </w:p>
          <w:p>
            <w:pPr>
              <w:pStyle w:val="8"/>
              <w:spacing w:before="91" w:line="321" w:lineRule="auto"/>
              <w:ind w:left="13" w:right="20" w:firstLine="420"/>
              <w:rPr>
                <w:sz w:val="21"/>
              </w:rPr>
            </w:pPr>
            <w:r>
              <w:rPr>
                <w:sz w:val="21"/>
              </w:rPr>
              <w:t>（六）</w:t>
            </w:r>
            <w:r>
              <w:rPr>
                <w:spacing w:val="-5"/>
                <w:sz w:val="21"/>
              </w:rPr>
              <w:t xml:space="preserve">具有良好的社会信誉，最近 </w:t>
            </w:r>
            <w:r>
              <w:rPr>
                <w:rFonts w:ascii="Times New Roman" w:eastAsia="Times New Roman"/>
                <w:sz w:val="21"/>
              </w:rPr>
              <w:t xml:space="preserve">3 </w:t>
            </w:r>
            <w:r>
              <w:rPr>
                <w:sz w:val="21"/>
              </w:rPr>
              <w:t>年在金融监管、税务、工商等行政机关，以及自律管理、商业银行等机构无不良记录。</w:t>
            </w:r>
          </w:p>
          <w:p>
            <w:pPr>
              <w:pStyle w:val="8"/>
              <w:spacing w:line="268" w:lineRule="exact"/>
              <w:ind w:left="13"/>
              <w:rPr>
                <w:b/>
                <w:sz w:val="21"/>
              </w:rPr>
            </w:pPr>
            <w:r>
              <w:rPr>
                <w:b/>
                <w:sz w:val="21"/>
              </w:rPr>
              <w:t>《期货公司监督管理办法》</w:t>
            </w:r>
          </w:p>
          <w:p>
            <w:pPr>
              <w:pStyle w:val="8"/>
              <w:spacing w:before="91"/>
              <w:ind w:left="433"/>
              <w:rPr>
                <w:sz w:val="21"/>
              </w:rPr>
            </w:pPr>
            <w:r>
              <w:rPr>
                <w:sz w:val="21"/>
              </w:rPr>
              <w:t xml:space="preserve">第七条 持有 </w:t>
            </w:r>
            <w:r>
              <w:rPr>
                <w:rFonts w:ascii="Times New Roman" w:eastAsia="Times New Roman"/>
                <w:sz w:val="21"/>
              </w:rPr>
              <w:t>5%</w:t>
            </w:r>
            <w:r>
              <w:rPr>
                <w:sz w:val="21"/>
              </w:rPr>
              <w:t>以上股权的股东为法人或者其他组织的，应当具备下列条件：</w:t>
            </w:r>
          </w:p>
          <w:p>
            <w:pPr>
              <w:pStyle w:val="8"/>
              <w:spacing w:before="91"/>
              <w:ind w:left="433"/>
              <w:rPr>
                <w:sz w:val="21"/>
              </w:rPr>
            </w:pPr>
            <w:r>
              <w:rPr>
                <w:sz w:val="21"/>
              </w:rPr>
              <w:t xml:space="preserve">（一）实收资本和净资产均不低于人民币 </w:t>
            </w:r>
            <w:r>
              <w:rPr>
                <w:rFonts w:ascii="Times New Roman" w:eastAsia="Times New Roman"/>
                <w:sz w:val="21"/>
              </w:rPr>
              <w:t xml:space="preserve">3000 </w:t>
            </w:r>
            <w:r>
              <w:rPr>
                <w:sz w:val="21"/>
              </w:rPr>
              <w:t>万元；</w:t>
            </w:r>
          </w:p>
        </w:tc>
        <w:tc>
          <w:tcPr>
            <w:tcW w:w="1979" w:type="dxa"/>
          </w:tcPr>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spacing w:before="7"/>
              <w:rPr>
                <w:rFonts w:ascii="Times New Roman"/>
                <w:sz w:val="29"/>
              </w:rPr>
            </w:pPr>
          </w:p>
          <w:p>
            <w:pPr>
              <w:pStyle w:val="8"/>
              <w:ind w:left="-122"/>
              <w:rPr>
                <w:sz w:val="21"/>
              </w:rPr>
            </w:pPr>
            <w:r>
              <w:rPr>
                <w:w w:val="99"/>
                <w:sz w:val="21"/>
              </w:rPr>
              <w:t>）</w:t>
            </w:r>
          </w:p>
        </w:tc>
      </w:tr>
    </w:tbl>
    <w:p>
      <w:pPr>
        <w:spacing w:after="0"/>
        <w:rPr>
          <w:sz w:val="21"/>
        </w:rPr>
        <w:sectPr>
          <w:pgSz w:w="16840" w:h="11910" w:orient="landscape"/>
          <w:pgMar w:top="1100" w:right="960" w:bottom="1160" w:left="1700" w:header="0" w:footer="979" w:gutter="0"/>
        </w:sectPr>
      </w:pPr>
    </w:p>
    <w:p>
      <w:pPr>
        <w:pStyle w:val="3"/>
        <w:rPr>
          <w:rFonts w:ascii="Times New Roman"/>
          <w:sz w:val="29"/>
        </w:rPr>
      </w:pPr>
    </w:p>
    <w:tbl>
      <w:tblPr>
        <w:tblStyle w:val="4"/>
        <w:tblW w:w="0" w:type="auto"/>
        <w:tblInd w:w="34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43"/>
        <w:gridCol w:w="9915"/>
        <w:gridCol w:w="197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 w:hRule="atLeast"/>
        </w:trPr>
        <w:tc>
          <w:tcPr>
            <w:tcW w:w="1743" w:type="dxa"/>
          </w:tcPr>
          <w:p>
            <w:pPr>
              <w:pStyle w:val="8"/>
              <w:spacing w:before="63" w:line="438" w:lineRule="exact"/>
              <w:ind w:left="271"/>
              <w:rPr>
                <w:rFonts w:hint="eastAsia" w:ascii="Arial Unicode MS" w:eastAsia="Arial Unicode MS"/>
                <w:sz w:val="30"/>
              </w:rPr>
            </w:pPr>
            <w:r>
              <w:rPr>
                <w:rFonts w:hint="eastAsia" w:ascii="Arial Unicode MS" w:eastAsia="Arial Unicode MS"/>
                <w:sz w:val="30"/>
              </w:rPr>
              <w:t>惩戒措施</w:t>
            </w:r>
          </w:p>
        </w:tc>
        <w:tc>
          <w:tcPr>
            <w:tcW w:w="9915" w:type="dxa"/>
          </w:tcPr>
          <w:p>
            <w:pPr>
              <w:pStyle w:val="8"/>
              <w:spacing w:line="502" w:lineRule="exact"/>
              <w:ind w:left="3886" w:right="3878"/>
              <w:jc w:val="center"/>
              <w:rPr>
                <w:rFonts w:hint="eastAsia" w:ascii="Arial Unicode MS" w:eastAsia="Arial Unicode MS"/>
                <w:sz w:val="30"/>
              </w:rPr>
            </w:pPr>
            <w:r>
              <w:rPr>
                <w:rFonts w:hint="eastAsia" w:ascii="Arial Unicode MS" w:eastAsia="Arial Unicode MS"/>
                <w:sz w:val="30"/>
              </w:rPr>
              <w:t>法律及政策依据</w:t>
            </w:r>
          </w:p>
        </w:tc>
        <w:tc>
          <w:tcPr>
            <w:tcW w:w="1979" w:type="dxa"/>
          </w:tcPr>
          <w:p>
            <w:pPr>
              <w:pStyle w:val="8"/>
              <w:spacing w:line="502" w:lineRule="exact"/>
              <w:ind w:left="387"/>
              <w:rPr>
                <w:rFonts w:hint="eastAsia" w:ascii="Arial Unicode MS" w:eastAsia="Arial Unicode MS"/>
                <w:sz w:val="30"/>
              </w:rPr>
            </w:pPr>
            <w:r>
              <w:rPr>
                <w:rFonts w:hint="eastAsia" w:ascii="Arial Unicode MS" w:eastAsia="Arial Unicode MS"/>
                <w:sz w:val="30"/>
              </w:rPr>
              <w:t>实施部门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10" w:hRule="atLeast"/>
        </w:trPr>
        <w:tc>
          <w:tcPr>
            <w:tcW w:w="1743" w:type="dxa"/>
          </w:tcPr>
          <w:p>
            <w:pPr>
              <w:pStyle w:val="8"/>
              <w:rPr>
                <w:rFonts w:ascii="Times New Roman"/>
                <w:sz w:val="20"/>
              </w:rPr>
            </w:pPr>
          </w:p>
        </w:tc>
        <w:tc>
          <w:tcPr>
            <w:tcW w:w="9915" w:type="dxa"/>
          </w:tcPr>
          <w:p>
            <w:pPr>
              <w:pStyle w:val="8"/>
              <w:spacing w:before="60" w:line="321" w:lineRule="auto"/>
              <w:ind w:left="13" w:right="3" w:firstLine="420"/>
              <w:rPr>
                <w:sz w:val="21"/>
              </w:rPr>
            </w:pPr>
            <w:r>
              <w:rPr>
                <w:sz w:val="21"/>
              </w:rPr>
              <w:t>（二</w:t>
            </w:r>
            <w:r>
              <w:rPr>
                <w:spacing w:val="-5"/>
                <w:sz w:val="21"/>
              </w:rPr>
              <w:t>）</w:t>
            </w:r>
            <w:r>
              <w:rPr>
                <w:spacing w:val="-6"/>
                <w:sz w:val="21"/>
              </w:rPr>
              <w:t xml:space="preserve">净资产不低于实收资本的 </w:t>
            </w:r>
            <w:r>
              <w:rPr>
                <w:rFonts w:ascii="Times New Roman" w:eastAsia="Times New Roman"/>
                <w:sz w:val="21"/>
              </w:rPr>
              <w:t>50%</w:t>
            </w:r>
            <w:r>
              <w:rPr>
                <w:spacing w:val="-6"/>
                <w:sz w:val="21"/>
              </w:rPr>
              <w:t xml:space="preserve">，或有负债低于净资产的 </w:t>
            </w:r>
            <w:r>
              <w:rPr>
                <w:rFonts w:ascii="Times New Roman" w:eastAsia="Times New Roman"/>
                <w:sz w:val="21"/>
              </w:rPr>
              <w:t>50%</w:t>
            </w:r>
            <w:r>
              <w:rPr>
                <w:sz w:val="21"/>
              </w:rPr>
              <w:t>，不存在对财务状况产生重大不确定影响的其他风险；</w:t>
            </w:r>
          </w:p>
          <w:p>
            <w:pPr>
              <w:pStyle w:val="8"/>
              <w:spacing w:line="268" w:lineRule="exact"/>
              <w:ind w:left="433"/>
              <w:rPr>
                <w:sz w:val="21"/>
              </w:rPr>
            </w:pPr>
            <w:r>
              <w:rPr>
                <w:sz w:val="21"/>
              </w:rPr>
              <w:t>（三）没有较大数额的到期未清偿债务；</w:t>
            </w:r>
          </w:p>
          <w:p>
            <w:pPr>
              <w:pStyle w:val="8"/>
              <w:spacing w:before="91"/>
              <w:ind w:left="433"/>
              <w:rPr>
                <w:sz w:val="21"/>
              </w:rPr>
            </w:pPr>
            <w:r>
              <w:rPr>
                <w:sz w:val="21"/>
              </w:rPr>
              <w:t xml:space="preserve">（四）近 </w:t>
            </w:r>
            <w:r>
              <w:rPr>
                <w:rFonts w:ascii="Times New Roman" w:eastAsia="Times New Roman"/>
                <w:sz w:val="21"/>
              </w:rPr>
              <w:t xml:space="preserve">3 </w:t>
            </w:r>
            <w:r>
              <w:rPr>
                <w:sz w:val="21"/>
              </w:rPr>
              <w:t>年未因重大违法违规行为受到行政处罚或者刑事处罚；</w:t>
            </w:r>
          </w:p>
          <w:p>
            <w:pPr>
              <w:pStyle w:val="8"/>
              <w:spacing w:before="91"/>
              <w:ind w:left="433"/>
              <w:rPr>
                <w:sz w:val="21"/>
              </w:rPr>
            </w:pPr>
            <w:r>
              <w:rPr>
                <w:sz w:val="21"/>
              </w:rPr>
              <w:t>（五）未因涉嫌重大违法违规正在被有权机关立案调查或者采取强制措施；</w:t>
            </w:r>
          </w:p>
          <w:p>
            <w:pPr>
              <w:pStyle w:val="8"/>
              <w:spacing w:before="91" w:line="321" w:lineRule="auto"/>
              <w:ind w:left="13" w:right="20" w:firstLine="420"/>
              <w:rPr>
                <w:sz w:val="21"/>
              </w:rPr>
            </w:pPr>
            <w:r>
              <w:rPr>
                <w:sz w:val="21"/>
              </w:rPr>
              <w:t>（六）</w:t>
            </w:r>
            <w:r>
              <w:rPr>
                <w:spacing w:val="-31"/>
                <w:sz w:val="21"/>
              </w:rPr>
              <w:t xml:space="preserve">近 </w:t>
            </w:r>
            <w:r>
              <w:rPr>
                <w:rFonts w:ascii="Times New Roman" w:eastAsia="Times New Roman"/>
                <w:sz w:val="21"/>
              </w:rPr>
              <w:t xml:space="preserve">3 </w:t>
            </w:r>
            <w:r>
              <w:rPr>
                <w:sz w:val="21"/>
              </w:rPr>
              <w:t>年作为公司（含金融机构）的股东或者实际控制人，未有滥用股东权利、逃避股东义务等不诚信行为；</w:t>
            </w:r>
          </w:p>
          <w:p>
            <w:pPr>
              <w:pStyle w:val="8"/>
              <w:spacing w:line="268" w:lineRule="exact"/>
              <w:ind w:left="433"/>
              <w:rPr>
                <w:sz w:val="21"/>
              </w:rPr>
            </w:pPr>
            <w:r>
              <w:rPr>
                <w:sz w:val="21"/>
              </w:rPr>
              <w:t>（七）不存在中国证监会根据审慎监管原则认定的其他不适合持有期货公司股权的情形。</w:t>
            </w:r>
          </w:p>
        </w:tc>
        <w:tc>
          <w:tcPr>
            <w:tcW w:w="1979" w:type="dxa"/>
          </w:tcPr>
          <w:p>
            <w:pPr>
              <w:pStyle w:val="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28" w:hRule="atLeast"/>
        </w:trPr>
        <w:tc>
          <w:tcPr>
            <w:tcW w:w="1743" w:type="dxa"/>
          </w:tcPr>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spacing w:before="7"/>
              <w:rPr>
                <w:rFonts w:ascii="Times New Roman"/>
                <w:sz w:val="23"/>
              </w:rPr>
            </w:pPr>
          </w:p>
          <w:p>
            <w:pPr>
              <w:pStyle w:val="8"/>
              <w:spacing w:line="321" w:lineRule="auto"/>
              <w:ind w:left="14" w:right="2"/>
              <w:jc w:val="both"/>
              <w:rPr>
                <w:sz w:val="21"/>
              </w:rPr>
            </w:pPr>
            <w:r>
              <w:rPr>
                <w:rFonts w:ascii="Times New Roman" w:eastAsia="Times New Roman"/>
                <w:sz w:val="21"/>
              </w:rPr>
              <w:t xml:space="preserve">17. </w:t>
            </w:r>
            <w:r>
              <w:rPr>
                <w:position w:val="1"/>
                <w:sz w:val="21"/>
              </w:rPr>
              <w:t>将失信信息作</w:t>
            </w:r>
            <w:r>
              <w:rPr>
                <w:sz w:val="21"/>
              </w:rPr>
              <w:t>为加强对境内上市公司实行股权激励计划或相关人员成为股权激励对象事中事后监管的参考。</w:t>
            </w:r>
          </w:p>
        </w:tc>
        <w:tc>
          <w:tcPr>
            <w:tcW w:w="9915" w:type="dxa"/>
          </w:tcPr>
          <w:p>
            <w:pPr>
              <w:pStyle w:val="8"/>
              <w:spacing w:before="61"/>
              <w:ind w:left="13"/>
              <w:rPr>
                <w:b/>
                <w:sz w:val="21"/>
              </w:rPr>
            </w:pPr>
            <w:r>
              <w:rPr>
                <w:b/>
                <w:sz w:val="21"/>
              </w:rPr>
              <w:t>《国有控股上市公司（境内）实施股权激励试行办法》</w:t>
            </w:r>
          </w:p>
          <w:p>
            <w:pPr>
              <w:pStyle w:val="8"/>
              <w:spacing w:before="91" w:line="321" w:lineRule="auto"/>
              <w:ind w:left="13" w:right="3" w:firstLine="420"/>
              <w:jc w:val="both"/>
              <w:rPr>
                <w:sz w:val="21"/>
              </w:rPr>
            </w:pPr>
            <w:r>
              <w:rPr>
                <w:spacing w:val="-7"/>
                <w:sz w:val="21"/>
              </w:rPr>
              <w:t>第三十四条 国有控股股东应依法行使股东权利，要求上市公司在发生以下情形之一时，中止实施股权激励计划，自发生之日起一年内不得向激励对象授予新的股权，激励对象也不得根据股权激励计划行使权利或获得收益：</w:t>
            </w:r>
          </w:p>
          <w:p>
            <w:pPr>
              <w:pStyle w:val="8"/>
              <w:numPr>
                <w:ilvl w:val="0"/>
                <w:numId w:val="6"/>
              </w:numPr>
              <w:tabs>
                <w:tab w:val="left" w:pos="961"/>
              </w:tabs>
              <w:spacing w:before="0" w:after="0" w:line="267" w:lineRule="exact"/>
              <w:ind w:left="960" w:right="0" w:hanging="528"/>
              <w:jc w:val="left"/>
              <w:rPr>
                <w:sz w:val="21"/>
              </w:rPr>
            </w:pPr>
            <w:r>
              <w:rPr>
                <w:sz w:val="21"/>
              </w:rPr>
              <w:t>企业年度绩效考核达不到股权激励计划规定的绩效考核标准；</w:t>
            </w:r>
          </w:p>
          <w:p>
            <w:pPr>
              <w:pStyle w:val="8"/>
              <w:numPr>
                <w:ilvl w:val="0"/>
                <w:numId w:val="6"/>
              </w:numPr>
              <w:tabs>
                <w:tab w:val="left" w:pos="961"/>
              </w:tabs>
              <w:spacing w:before="91" w:after="0" w:line="240" w:lineRule="auto"/>
              <w:ind w:left="960" w:right="0" w:hanging="528"/>
              <w:jc w:val="left"/>
              <w:rPr>
                <w:sz w:val="21"/>
              </w:rPr>
            </w:pPr>
            <w:r>
              <w:rPr>
                <w:spacing w:val="-4"/>
                <w:sz w:val="21"/>
              </w:rPr>
              <w:t>国有资产监督管理机构或部门、监事会或审计部门对上市公司业绩或年度财务会计报告提出重大异</w:t>
            </w:r>
          </w:p>
          <w:p>
            <w:pPr>
              <w:pStyle w:val="8"/>
              <w:spacing w:before="91"/>
              <w:ind w:left="13"/>
              <w:rPr>
                <w:sz w:val="21"/>
              </w:rPr>
            </w:pPr>
            <w:r>
              <w:rPr>
                <w:sz w:val="21"/>
              </w:rPr>
              <w:t>议；</w:t>
            </w:r>
          </w:p>
          <w:p>
            <w:pPr>
              <w:pStyle w:val="8"/>
              <w:numPr>
                <w:ilvl w:val="0"/>
                <w:numId w:val="6"/>
              </w:numPr>
              <w:tabs>
                <w:tab w:val="left" w:pos="961"/>
              </w:tabs>
              <w:spacing w:before="91" w:after="0" w:line="240" w:lineRule="auto"/>
              <w:ind w:left="960" w:right="0" w:hanging="528"/>
              <w:jc w:val="left"/>
              <w:rPr>
                <w:sz w:val="21"/>
              </w:rPr>
            </w:pPr>
            <w:r>
              <w:rPr>
                <w:sz w:val="21"/>
              </w:rPr>
              <w:t>发生重大违规行为，受到证券监管及其他有关部门处罚。</w:t>
            </w:r>
          </w:p>
          <w:p>
            <w:pPr>
              <w:pStyle w:val="8"/>
              <w:spacing w:before="91" w:line="321" w:lineRule="auto"/>
              <w:ind w:left="13" w:right="3" w:firstLine="420"/>
              <w:rPr>
                <w:sz w:val="21"/>
              </w:rPr>
            </w:pPr>
            <w:r>
              <w:rPr>
                <w:spacing w:val="-7"/>
                <w:sz w:val="21"/>
              </w:rPr>
              <w:t>第三十五条 股权激励对象有以下情形之一的，上市公司国有控股股东应依法行使股东权利，提出终止授予新的股权并取消其行权资格：</w:t>
            </w:r>
          </w:p>
          <w:p>
            <w:pPr>
              <w:pStyle w:val="8"/>
              <w:numPr>
                <w:ilvl w:val="0"/>
                <w:numId w:val="7"/>
              </w:numPr>
              <w:tabs>
                <w:tab w:val="left" w:pos="961"/>
              </w:tabs>
              <w:spacing w:before="0" w:after="0" w:line="268" w:lineRule="exact"/>
              <w:ind w:left="960" w:right="0" w:hanging="528"/>
              <w:jc w:val="left"/>
              <w:rPr>
                <w:sz w:val="21"/>
              </w:rPr>
            </w:pPr>
            <w:r>
              <w:rPr>
                <w:sz w:val="21"/>
              </w:rPr>
              <w:t>违反国家有关法律法规、上市公司章程规定的；</w:t>
            </w:r>
          </w:p>
          <w:p>
            <w:pPr>
              <w:pStyle w:val="8"/>
              <w:numPr>
                <w:ilvl w:val="0"/>
                <w:numId w:val="7"/>
              </w:numPr>
              <w:tabs>
                <w:tab w:val="left" w:pos="961"/>
              </w:tabs>
              <w:spacing w:before="91" w:after="0" w:line="321" w:lineRule="auto"/>
              <w:ind w:left="13" w:right="5" w:firstLine="420"/>
              <w:jc w:val="left"/>
              <w:rPr>
                <w:sz w:val="21"/>
              </w:rPr>
            </w:pPr>
            <w:r>
              <w:rPr>
                <w:spacing w:val="-8"/>
                <w:w w:val="95"/>
                <w:sz w:val="21"/>
              </w:rPr>
              <w:t>任职期间，由于受贿索贿、贪污盗窃、泄露上市公司经营和技术秘密、实施关联交易损害上市公司</w:t>
            </w:r>
            <w:r>
              <w:rPr>
                <w:spacing w:val="-8"/>
                <w:sz w:val="21"/>
              </w:rPr>
              <w:t>利益、声誉和对上市公司形象有重大负面影响等违法违纪行为，给上市公司造成损失的。</w:t>
            </w:r>
          </w:p>
          <w:p>
            <w:pPr>
              <w:pStyle w:val="8"/>
              <w:spacing w:line="268" w:lineRule="exact"/>
              <w:ind w:left="13"/>
              <w:rPr>
                <w:b/>
                <w:sz w:val="21"/>
              </w:rPr>
            </w:pPr>
            <w:r>
              <w:rPr>
                <w:b/>
                <w:sz w:val="21"/>
              </w:rPr>
              <w:t>《上市公司股权激励管理办法》</w:t>
            </w:r>
          </w:p>
          <w:p>
            <w:pPr>
              <w:pStyle w:val="8"/>
              <w:spacing w:before="90"/>
              <w:ind w:left="433"/>
              <w:rPr>
                <w:sz w:val="21"/>
              </w:rPr>
            </w:pPr>
            <w:r>
              <w:rPr>
                <w:sz w:val="21"/>
              </w:rPr>
              <w:t>第七条 上市公司具有下列情形之一的，不得实行股权激励：</w:t>
            </w:r>
          </w:p>
        </w:tc>
        <w:tc>
          <w:tcPr>
            <w:tcW w:w="1979" w:type="dxa"/>
          </w:tcPr>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spacing w:before="9"/>
              <w:rPr>
                <w:rFonts w:ascii="Times New Roman"/>
                <w:sz w:val="28"/>
              </w:rPr>
            </w:pPr>
          </w:p>
          <w:p>
            <w:pPr>
              <w:pStyle w:val="8"/>
              <w:spacing w:line="321" w:lineRule="auto"/>
              <w:ind w:left="15" w:right="2"/>
              <w:rPr>
                <w:sz w:val="21"/>
              </w:rPr>
            </w:pPr>
            <w:r>
              <w:rPr>
                <w:sz w:val="21"/>
              </w:rPr>
              <w:t>国资委、财政部、证监会</w:t>
            </w:r>
          </w:p>
        </w:tc>
      </w:tr>
    </w:tbl>
    <w:p>
      <w:pPr>
        <w:spacing w:after="0" w:line="321" w:lineRule="auto"/>
        <w:rPr>
          <w:sz w:val="21"/>
        </w:rPr>
        <w:sectPr>
          <w:pgSz w:w="16840" w:h="11910" w:orient="landscape"/>
          <w:pgMar w:top="1100" w:right="960" w:bottom="1160" w:left="1700" w:header="0" w:footer="979" w:gutter="0"/>
        </w:sectPr>
      </w:pPr>
    </w:p>
    <w:p>
      <w:pPr>
        <w:pStyle w:val="3"/>
        <w:rPr>
          <w:rFonts w:ascii="Times New Roman"/>
          <w:sz w:val="29"/>
        </w:rPr>
      </w:pPr>
    </w:p>
    <w:tbl>
      <w:tblPr>
        <w:tblStyle w:val="4"/>
        <w:tblW w:w="0" w:type="auto"/>
        <w:tblInd w:w="34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43"/>
        <w:gridCol w:w="9915"/>
        <w:gridCol w:w="197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 w:hRule="atLeast"/>
        </w:trPr>
        <w:tc>
          <w:tcPr>
            <w:tcW w:w="1743" w:type="dxa"/>
          </w:tcPr>
          <w:p>
            <w:pPr>
              <w:pStyle w:val="8"/>
              <w:spacing w:before="63" w:line="438" w:lineRule="exact"/>
              <w:ind w:left="271"/>
              <w:rPr>
                <w:rFonts w:hint="eastAsia" w:ascii="Arial Unicode MS" w:eastAsia="Arial Unicode MS"/>
                <w:sz w:val="30"/>
              </w:rPr>
            </w:pPr>
            <w:r>
              <w:rPr>
                <w:rFonts w:hint="eastAsia" w:ascii="Arial Unicode MS" w:eastAsia="Arial Unicode MS"/>
                <w:sz w:val="30"/>
              </w:rPr>
              <w:t>惩戒措施</w:t>
            </w:r>
          </w:p>
        </w:tc>
        <w:tc>
          <w:tcPr>
            <w:tcW w:w="9915" w:type="dxa"/>
          </w:tcPr>
          <w:p>
            <w:pPr>
              <w:pStyle w:val="8"/>
              <w:spacing w:line="502" w:lineRule="exact"/>
              <w:ind w:left="3886" w:right="3878"/>
              <w:jc w:val="center"/>
              <w:rPr>
                <w:rFonts w:hint="eastAsia" w:ascii="Arial Unicode MS" w:eastAsia="Arial Unicode MS"/>
                <w:sz w:val="30"/>
              </w:rPr>
            </w:pPr>
            <w:r>
              <w:rPr>
                <w:rFonts w:hint="eastAsia" w:ascii="Arial Unicode MS" w:eastAsia="Arial Unicode MS"/>
                <w:sz w:val="30"/>
              </w:rPr>
              <w:t>法律及政策依据</w:t>
            </w:r>
          </w:p>
        </w:tc>
        <w:tc>
          <w:tcPr>
            <w:tcW w:w="1979" w:type="dxa"/>
          </w:tcPr>
          <w:p>
            <w:pPr>
              <w:pStyle w:val="8"/>
              <w:spacing w:line="502" w:lineRule="exact"/>
              <w:ind w:right="379"/>
              <w:jc w:val="right"/>
              <w:rPr>
                <w:rFonts w:hint="eastAsia" w:ascii="Arial Unicode MS" w:eastAsia="Arial Unicode MS"/>
                <w:sz w:val="30"/>
              </w:rPr>
            </w:pPr>
            <w:r>
              <w:rPr>
                <w:rFonts w:hint="eastAsia" w:ascii="Arial Unicode MS" w:eastAsia="Arial Unicode MS"/>
                <w:sz w:val="30"/>
              </w:rPr>
              <w:t>实施部门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9" w:hRule="atLeast"/>
        </w:trPr>
        <w:tc>
          <w:tcPr>
            <w:tcW w:w="1743" w:type="dxa"/>
          </w:tcPr>
          <w:p>
            <w:pPr>
              <w:pStyle w:val="8"/>
              <w:rPr>
                <w:rFonts w:ascii="Times New Roman"/>
                <w:sz w:val="20"/>
              </w:rPr>
            </w:pPr>
          </w:p>
        </w:tc>
        <w:tc>
          <w:tcPr>
            <w:tcW w:w="9915" w:type="dxa"/>
          </w:tcPr>
          <w:p>
            <w:pPr>
              <w:pStyle w:val="8"/>
              <w:spacing w:before="60"/>
              <w:ind w:left="433"/>
              <w:rPr>
                <w:sz w:val="21"/>
              </w:rPr>
            </w:pPr>
            <w:r>
              <w:rPr>
                <w:sz w:val="21"/>
              </w:rPr>
              <w:t>（四）法律法规规定不得实行股权激励的；</w:t>
            </w:r>
          </w:p>
          <w:p>
            <w:pPr>
              <w:pStyle w:val="8"/>
              <w:spacing w:before="91"/>
              <w:ind w:left="433"/>
              <w:rPr>
                <w:sz w:val="21"/>
              </w:rPr>
            </w:pPr>
            <w:r>
              <w:rPr>
                <w:sz w:val="21"/>
              </w:rPr>
              <w:t>（五）中国证监会认定的其他情形。</w:t>
            </w:r>
          </w:p>
          <w:p>
            <w:pPr>
              <w:pStyle w:val="8"/>
              <w:spacing w:before="91"/>
              <w:ind w:left="433"/>
              <w:rPr>
                <w:sz w:val="21"/>
              </w:rPr>
            </w:pPr>
            <w:r>
              <w:rPr>
                <w:sz w:val="21"/>
              </w:rPr>
              <w:t>第八条 下列人员也不得成为激励对象：</w:t>
            </w:r>
          </w:p>
          <w:p>
            <w:pPr>
              <w:pStyle w:val="8"/>
              <w:spacing w:before="91"/>
              <w:ind w:left="433"/>
              <w:rPr>
                <w:sz w:val="21"/>
              </w:rPr>
            </w:pPr>
            <w:r>
              <w:rPr>
                <w:sz w:val="21"/>
              </w:rPr>
              <w:t xml:space="preserve">（一）最近 </w:t>
            </w:r>
            <w:r>
              <w:rPr>
                <w:rFonts w:ascii="Times New Roman" w:eastAsia="Times New Roman"/>
                <w:sz w:val="21"/>
              </w:rPr>
              <w:t xml:space="preserve">12 </w:t>
            </w:r>
            <w:r>
              <w:rPr>
                <w:sz w:val="21"/>
              </w:rPr>
              <w:t>个月内被证券交易所认定为不适当人选；</w:t>
            </w:r>
          </w:p>
          <w:p>
            <w:pPr>
              <w:pStyle w:val="8"/>
              <w:spacing w:before="91"/>
              <w:ind w:left="433"/>
              <w:rPr>
                <w:sz w:val="21"/>
              </w:rPr>
            </w:pPr>
            <w:r>
              <w:rPr>
                <w:sz w:val="21"/>
              </w:rPr>
              <w:t xml:space="preserve">（二）最近 </w:t>
            </w:r>
            <w:r>
              <w:rPr>
                <w:rFonts w:ascii="Times New Roman" w:eastAsia="Times New Roman"/>
                <w:sz w:val="21"/>
              </w:rPr>
              <w:t xml:space="preserve">12 </w:t>
            </w:r>
            <w:r>
              <w:rPr>
                <w:sz w:val="21"/>
              </w:rPr>
              <w:t>个月内被中国证监会及其派出机构认定为不适当人选；</w:t>
            </w:r>
          </w:p>
          <w:p>
            <w:pPr>
              <w:pStyle w:val="8"/>
              <w:spacing w:before="91"/>
              <w:ind w:left="433"/>
              <w:rPr>
                <w:sz w:val="21"/>
              </w:rPr>
            </w:pPr>
            <w:r>
              <w:rPr>
                <w:sz w:val="21"/>
              </w:rPr>
              <w:t xml:space="preserve">（三）最近 </w:t>
            </w:r>
            <w:r>
              <w:rPr>
                <w:rFonts w:ascii="Times New Roman" w:eastAsia="Times New Roman"/>
                <w:sz w:val="21"/>
              </w:rPr>
              <w:t xml:space="preserve">12 </w:t>
            </w:r>
            <w:r>
              <w:rPr>
                <w:sz w:val="21"/>
              </w:rPr>
              <w:t>个月内因重大违法违规行为被中国证监会及其派出机构行政处罚或者采取市场禁入措施</w:t>
            </w:r>
          </w:p>
          <w:p>
            <w:pPr>
              <w:pStyle w:val="8"/>
              <w:spacing w:before="91"/>
              <w:ind w:left="433"/>
              <w:rPr>
                <w:sz w:val="21"/>
              </w:rPr>
            </w:pPr>
            <w:r>
              <w:rPr>
                <w:sz w:val="21"/>
              </w:rPr>
              <w:t>（四）具有《公司法》规定的不得担任公司董事、高级管理人员情形的；</w:t>
            </w:r>
          </w:p>
          <w:p>
            <w:pPr>
              <w:pStyle w:val="8"/>
              <w:spacing w:before="91"/>
              <w:ind w:left="433"/>
              <w:rPr>
                <w:sz w:val="21"/>
              </w:rPr>
            </w:pPr>
            <w:r>
              <w:rPr>
                <w:sz w:val="21"/>
              </w:rPr>
              <w:t>（五）法律法规规定不得参与上市公司股权激励的；</w:t>
            </w:r>
          </w:p>
          <w:p>
            <w:pPr>
              <w:pStyle w:val="8"/>
              <w:spacing w:before="91"/>
              <w:ind w:left="433"/>
              <w:rPr>
                <w:sz w:val="21"/>
              </w:rPr>
            </w:pPr>
            <w:r>
              <w:rPr>
                <w:sz w:val="21"/>
              </w:rPr>
              <w:t>（六）中国证监会认定的其他情形。</w:t>
            </w:r>
          </w:p>
        </w:tc>
        <w:tc>
          <w:tcPr>
            <w:tcW w:w="1979" w:type="dxa"/>
          </w:tcPr>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spacing w:before="9"/>
              <w:rPr>
                <w:rFonts w:ascii="Times New Roman"/>
                <w:sz w:val="21"/>
              </w:rPr>
            </w:pPr>
          </w:p>
          <w:p>
            <w:pPr>
              <w:pStyle w:val="8"/>
              <w:ind w:left="-136"/>
              <w:rPr>
                <w:sz w:val="21"/>
              </w:rPr>
            </w:pPr>
            <w:r>
              <w:rPr>
                <w:w w:val="99"/>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6" w:hRule="atLeast"/>
        </w:trPr>
        <w:tc>
          <w:tcPr>
            <w:tcW w:w="1743" w:type="dxa"/>
            <w:tcBorders>
              <w:bottom w:val="nil"/>
            </w:tcBorders>
          </w:tcPr>
          <w:p>
            <w:pPr>
              <w:pStyle w:val="8"/>
              <w:rPr>
                <w:rFonts w:ascii="Times New Roman"/>
                <w:sz w:val="20"/>
              </w:rPr>
            </w:pPr>
          </w:p>
          <w:p>
            <w:pPr>
              <w:pStyle w:val="8"/>
              <w:rPr>
                <w:rFonts w:ascii="Times New Roman"/>
                <w:sz w:val="20"/>
              </w:rPr>
            </w:pPr>
          </w:p>
          <w:p>
            <w:pPr>
              <w:pStyle w:val="8"/>
              <w:spacing w:before="6"/>
              <w:rPr>
                <w:rFonts w:ascii="Times New Roman"/>
                <w:sz w:val="19"/>
              </w:rPr>
            </w:pPr>
          </w:p>
          <w:p>
            <w:pPr>
              <w:pStyle w:val="8"/>
              <w:spacing w:line="360" w:lineRule="atLeast"/>
              <w:ind w:left="14" w:right="-29"/>
              <w:rPr>
                <w:sz w:val="21"/>
              </w:rPr>
            </w:pPr>
            <w:r>
              <w:rPr>
                <w:rFonts w:ascii="Times New Roman" w:eastAsia="Times New Roman"/>
                <w:sz w:val="21"/>
              </w:rPr>
              <w:t>18.</w:t>
            </w:r>
            <w:r>
              <w:rPr>
                <w:position w:val="1"/>
                <w:sz w:val="21"/>
              </w:rPr>
              <w:t xml:space="preserve">强化税收管理， </w:t>
            </w:r>
            <w:r>
              <w:rPr>
                <w:spacing w:val="34"/>
                <w:sz w:val="21"/>
              </w:rPr>
              <w:t>提高监督检查频</w:t>
            </w:r>
          </w:p>
        </w:tc>
        <w:tc>
          <w:tcPr>
            <w:tcW w:w="9915" w:type="dxa"/>
            <w:vMerge w:val="restart"/>
          </w:tcPr>
          <w:p>
            <w:pPr>
              <w:pStyle w:val="8"/>
              <w:spacing w:before="61"/>
              <w:ind w:left="13"/>
              <w:rPr>
                <w:b/>
                <w:sz w:val="21"/>
              </w:rPr>
            </w:pPr>
            <w:r>
              <w:rPr>
                <w:b/>
                <w:sz w:val="21"/>
              </w:rPr>
              <w:t>《科技部 财政部 国家税务总局关于修订印发</w:t>
            </w:r>
            <w:r>
              <w:rPr>
                <w:rFonts w:ascii="Times New Roman" w:eastAsia="Times New Roman"/>
                <w:b/>
                <w:sz w:val="21"/>
              </w:rPr>
              <w:t>&lt;</w:t>
            </w:r>
            <w:r>
              <w:rPr>
                <w:b/>
                <w:sz w:val="21"/>
              </w:rPr>
              <w:t>高新技术企业认定管理办法</w:t>
            </w:r>
            <w:r>
              <w:rPr>
                <w:rFonts w:ascii="Times New Roman" w:eastAsia="Times New Roman"/>
                <w:b/>
                <w:sz w:val="21"/>
              </w:rPr>
              <w:t>&gt;</w:t>
            </w:r>
            <w:r>
              <w:rPr>
                <w:b/>
                <w:sz w:val="21"/>
              </w:rPr>
              <w:t>的通知》</w:t>
            </w:r>
          </w:p>
          <w:p>
            <w:pPr>
              <w:pStyle w:val="8"/>
              <w:spacing w:before="91"/>
              <w:ind w:left="433"/>
              <w:rPr>
                <w:sz w:val="21"/>
              </w:rPr>
            </w:pPr>
            <w:r>
              <w:rPr>
                <w:sz w:val="21"/>
              </w:rPr>
              <w:t>第十九条 已认定的高新技术企业有下列行为之一的，由认定机构取消其高新技术企业资格：</w:t>
            </w:r>
          </w:p>
          <w:p>
            <w:pPr>
              <w:pStyle w:val="8"/>
              <w:spacing w:before="91"/>
              <w:ind w:left="433"/>
              <w:rPr>
                <w:sz w:val="21"/>
              </w:rPr>
            </w:pPr>
            <w:r>
              <w:rPr>
                <w:sz w:val="21"/>
              </w:rPr>
              <w:t>（一）在申请认定过程中存在严重弄虚作假行为的；</w:t>
            </w:r>
          </w:p>
          <w:p>
            <w:pPr>
              <w:pStyle w:val="8"/>
              <w:spacing w:before="91"/>
              <w:ind w:left="433"/>
              <w:rPr>
                <w:sz w:val="21"/>
              </w:rPr>
            </w:pPr>
            <w:r>
              <w:rPr>
                <w:sz w:val="21"/>
              </w:rPr>
              <w:t>（二）发生重大安全、重大质量事故或有严重环境违法行为的；</w:t>
            </w:r>
          </w:p>
          <w:p>
            <w:pPr>
              <w:pStyle w:val="8"/>
              <w:spacing w:before="91"/>
              <w:ind w:left="433"/>
              <w:rPr>
                <w:sz w:val="21"/>
              </w:rPr>
            </w:pPr>
            <w:r>
              <w:rPr>
                <w:sz w:val="21"/>
              </w:rPr>
              <w:t>（三）未按期报告与认定条件有关重大变化情况，或累计两年未填报年度发展情况报表的。</w:t>
            </w:r>
          </w:p>
          <w:p>
            <w:pPr>
              <w:pStyle w:val="8"/>
              <w:spacing w:before="91" w:line="321" w:lineRule="auto"/>
              <w:ind w:left="13" w:right="20" w:firstLine="420"/>
              <w:rPr>
                <w:sz w:val="21"/>
              </w:rPr>
            </w:pPr>
            <w:r>
              <w:rPr>
                <w:w w:val="95"/>
                <w:sz w:val="21"/>
              </w:rPr>
              <w:t>对被取消高新技术企业资格的企业，由认定机构通知税务机关按《税收征管法》及有关规定，追缴其自</w:t>
            </w:r>
            <w:r>
              <w:rPr>
                <w:sz w:val="21"/>
              </w:rPr>
              <w:t>发生上述行为之日所属年度起已享受的高新技术企业税收优惠。</w:t>
            </w:r>
          </w:p>
          <w:p>
            <w:pPr>
              <w:pStyle w:val="8"/>
              <w:spacing w:line="321" w:lineRule="auto"/>
              <w:ind w:left="13" w:right="8"/>
              <w:rPr>
                <w:b/>
                <w:sz w:val="21"/>
              </w:rPr>
            </w:pPr>
            <w:r>
              <w:rPr>
                <w:b/>
                <w:w w:val="95"/>
                <w:sz w:val="21"/>
              </w:rPr>
              <w:t>《国家税务总局关于</w:t>
            </w:r>
            <w:r>
              <w:rPr>
                <w:rFonts w:ascii="Times New Roman" w:eastAsia="Times New Roman"/>
                <w:b/>
                <w:w w:val="95"/>
                <w:sz w:val="21"/>
              </w:rPr>
              <w:t>&lt;</w:t>
            </w:r>
            <w:r>
              <w:rPr>
                <w:b/>
                <w:w w:val="95"/>
                <w:sz w:val="21"/>
              </w:rPr>
              <w:t>提高科技型中小企业研究开发费用税前加计扣除比例有关问题</w:t>
            </w:r>
            <w:r>
              <w:rPr>
                <w:rFonts w:ascii="Times New Roman" w:eastAsia="Times New Roman"/>
                <w:b/>
                <w:w w:val="95"/>
                <w:sz w:val="21"/>
              </w:rPr>
              <w:t>&gt;</w:t>
            </w:r>
            <w:r>
              <w:rPr>
                <w:b/>
                <w:spacing w:val="-13"/>
                <w:w w:val="95"/>
                <w:sz w:val="21"/>
              </w:rPr>
              <w:t>的公告》</w:t>
            </w:r>
            <w:r>
              <w:rPr>
                <w:b/>
                <w:w w:val="95"/>
                <w:sz w:val="21"/>
              </w:rPr>
              <w:t xml:space="preserve">（国家税务总   </w:t>
            </w:r>
            <w:r>
              <w:rPr>
                <w:b/>
                <w:spacing w:val="-14"/>
                <w:sz w:val="21"/>
              </w:rPr>
              <w:t xml:space="preserve">局公告 </w:t>
            </w:r>
            <w:r>
              <w:rPr>
                <w:rFonts w:ascii="Times New Roman" w:eastAsia="Times New Roman"/>
                <w:b/>
                <w:sz w:val="21"/>
              </w:rPr>
              <w:t>2017</w:t>
            </w:r>
            <w:r>
              <w:rPr>
                <w:rFonts w:ascii="Times New Roman" w:eastAsia="Times New Roman"/>
                <w:b/>
                <w:spacing w:val="-1"/>
                <w:sz w:val="21"/>
              </w:rPr>
              <w:t xml:space="preserve"> </w:t>
            </w:r>
            <w:r>
              <w:rPr>
                <w:b/>
                <w:spacing w:val="-17"/>
                <w:sz w:val="21"/>
              </w:rPr>
              <w:t xml:space="preserve">年第 </w:t>
            </w:r>
            <w:r>
              <w:rPr>
                <w:rFonts w:ascii="Times New Roman" w:eastAsia="Times New Roman"/>
                <w:b/>
                <w:sz w:val="21"/>
              </w:rPr>
              <w:t>18</w:t>
            </w:r>
            <w:r>
              <w:rPr>
                <w:rFonts w:ascii="Times New Roman" w:eastAsia="Times New Roman"/>
                <w:b/>
                <w:spacing w:val="-1"/>
                <w:sz w:val="21"/>
              </w:rPr>
              <w:t xml:space="preserve"> </w:t>
            </w:r>
            <w:r>
              <w:rPr>
                <w:b/>
                <w:sz w:val="21"/>
              </w:rPr>
              <w:t>号）</w:t>
            </w:r>
          </w:p>
          <w:p>
            <w:pPr>
              <w:pStyle w:val="8"/>
              <w:spacing w:line="268" w:lineRule="exact"/>
              <w:ind w:left="433"/>
              <w:rPr>
                <w:sz w:val="21"/>
              </w:rPr>
            </w:pPr>
            <w:r>
              <w:rPr>
                <w:sz w:val="21"/>
              </w:rPr>
              <w:t>四、因不符合科技型中小企业条件而被科技部门撤销登记编号的企业，相应年度不得享受《通知》规定</w:t>
            </w:r>
          </w:p>
          <w:p>
            <w:pPr>
              <w:pStyle w:val="8"/>
              <w:spacing w:before="89"/>
              <w:ind w:left="13"/>
              <w:rPr>
                <w:sz w:val="21"/>
              </w:rPr>
            </w:pPr>
            <w:r>
              <w:rPr>
                <w:sz w:val="21"/>
              </w:rPr>
              <w:t>的优惠政策，已享受的应补缴相应年度的税款。</w:t>
            </w:r>
          </w:p>
        </w:tc>
        <w:tc>
          <w:tcPr>
            <w:tcW w:w="1979" w:type="dxa"/>
            <w:tcBorders>
              <w:bottom w:val="nil"/>
            </w:tcBorders>
          </w:tcPr>
          <w:p>
            <w:pPr>
              <w:pStyle w:val="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8" w:hRule="atLeast"/>
        </w:trPr>
        <w:tc>
          <w:tcPr>
            <w:tcW w:w="1743" w:type="dxa"/>
            <w:tcBorders>
              <w:top w:val="nil"/>
              <w:bottom w:val="nil"/>
            </w:tcBorders>
          </w:tcPr>
          <w:p>
            <w:pPr>
              <w:pStyle w:val="8"/>
              <w:spacing w:before="40"/>
              <w:ind w:left="14"/>
              <w:rPr>
                <w:sz w:val="21"/>
              </w:rPr>
            </w:pPr>
            <w:r>
              <w:rPr>
                <w:sz w:val="21"/>
              </w:rPr>
              <w:t>次。</w:t>
            </w:r>
          </w:p>
        </w:tc>
        <w:tc>
          <w:tcPr>
            <w:tcW w:w="9915" w:type="dxa"/>
            <w:vMerge w:val="continue"/>
            <w:tcBorders>
              <w:top w:val="nil"/>
            </w:tcBorders>
          </w:tcPr>
          <w:p>
            <w:pPr>
              <w:rPr>
                <w:sz w:val="2"/>
                <w:szCs w:val="2"/>
              </w:rPr>
            </w:pPr>
          </w:p>
        </w:tc>
        <w:tc>
          <w:tcPr>
            <w:tcW w:w="1979" w:type="dxa"/>
            <w:tcBorders>
              <w:top w:val="nil"/>
              <w:bottom w:val="nil"/>
            </w:tcBorders>
          </w:tcPr>
          <w:p>
            <w:pPr>
              <w:pStyle w:val="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trPr>
        <w:tc>
          <w:tcPr>
            <w:tcW w:w="1743" w:type="dxa"/>
            <w:tcBorders>
              <w:top w:val="nil"/>
              <w:bottom w:val="nil"/>
            </w:tcBorders>
          </w:tcPr>
          <w:p>
            <w:pPr>
              <w:pStyle w:val="8"/>
              <w:rPr>
                <w:rFonts w:ascii="Times New Roman"/>
                <w:sz w:val="20"/>
              </w:rPr>
            </w:pPr>
          </w:p>
        </w:tc>
        <w:tc>
          <w:tcPr>
            <w:tcW w:w="9915" w:type="dxa"/>
            <w:vMerge w:val="continue"/>
            <w:tcBorders>
              <w:top w:val="nil"/>
            </w:tcBorders>
          </w:tcPr>
          <w:p>
            <w:pPr>
              <w:rPr>
                <w:sz w:val="2"/>
                <w:szCs w:val="2"/>
              </w:rPr>
            </w:pPr>
          </w:p>
        </w:tc>
        <w:tc>
          <w:tcPr>
            <w:tcW w:w="1979" w:type="dxa"/>
            <w:tcBorders>
              <w:top w:val="nil"/>
              <w:bottom w:val="nil"/>
            </w:tcBorders>
          </w:tcPr>
          <w:p>
            <w:pPr>
              <w:pStyle w:val="8"/>
              <w:spacing w:before="58" w:line="248" w:lineRule="exact"/>
              <w:ind w:left="567"/>
              <w:rPr>
                <w:sz w:val="21"/>
              </w:rPr>
            </w:pPr>
            <w:r>
              <w:rPr>
                <w:sz w:val="21"/>
              </w:rPr>
              <w:t>税务总局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8" w:hRule="atLeast"/>
        </w:trPr>
        <w:tc>
          <w:tcPr>
            <w:tcW w:w="1743" w:type="dxa"/>
            <w:tcBorders>
              <w:top w:val="nil"/>
              <w:bottom w:val="nil"/>
            </w:tcBorders>
          </w:tcPr>
          <w:p>
            <w:pPr>
              <w:pStyle w:val="8"/>
              <w:spacing w:line="267" w:lineRule="exact"/>
              <w:ind w:left="14"/>
              <w:rPr>
                <w:sz w:val="21"/>
              </w:rPr>
            </w:pPr>
            <w:r>
              <w:rPr>
                <w:rFonts w:ascii="Times New Roman" w:eastAsia="Times New Roman"/>
                <w:sz w:val="21"/>
              </w:rPr>
              <w:t>19</w:t>
            </w:r>
            <w:r>
              <w:rPr>
                <w:rFonts w:ascii="Times New Roman" w:eastAsia="Times New Roman"/>
                <w:spacing w:val="-13"/>
                <w:sz w:val="21"/>
              </w:rPr>
              <w:t xml:space="preserve">. </w:t>
            </w:r>
            <w:r>
              <w:rPr>
                <w:spacing w:val="24"/>
                <w:position w:val="1"/>
                <w:sz w:val="21"/>
              </w:rPr>
              <w:t>将失信责任主</w:t>
            </w:r>
          </w:p>
          <w:p>
            <w:pPr>
              <w:pStyle w:val="8"/>
              <w:spacing w:before="91"/>
              <w:ind w:left="14"/>
              <w:rPr>
                <w:sz w:val="21"/>
              </w:rPr>
            </w:pPr>
            <w:r>
              <w:rPr>
                <w:spacing w:val="2"/>
                <w:w w:val="95"/>
                <w:sz w:val="21"/>
              </w:rPr>
              <w:t>体的失信情况作为</w:t>
            </w:r>
          </w:p>
        </w:tc>
        <w:tc>
          <w:tcPr>
            <w:tcW w:w="9915" w:type="dxa"/>
            <w:vMerge w:val="continue"/>
            <w:tcBorders>
              <w:top w:val="nil"/>
            </w:tcBorders>
          </w:tcPr>
          <w:p>
            <w:pPr>
              <w:rPr>
                <w:sz w:val="2"/>
                <w:szCs w:val="2"/>
              </w:rPr>
            </w:pPr>
          </w:p>
        </w:tc>
        <w:tc>
          <w:tcPr>
            <w:tcW w:w="1979" w:type="dxa"/>
            <w:tcBorders>
              <w:top w:val="nil"/>
              <w:bottom w:val="nil"/>
            </w:tcBorders>
          </w:tcPr>
          <w:p>
            <w:pPr>
              <w:pStyle w:val="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1743" w:type="dxa"/>
            <w:tcBorders>
              <w:top w:val="nil"/>
              <w:bottom w:val="nil"/>
            </w:tcBorders>
          </w:tcPr>
          <w:p>
            <w:pPr>
              <w:pStyle w:val="8"/>
              <w:spacing w:before="40"/>
              <w:ind w:left="14"/>
              <w:rPr>
                <w:sz w:val="21"/>
              </w:rPr>
            </w:pPr>
            <w:r>
              <w:rPr>
                <w:sz w:val="21"/>
              </w:rPr>
              <w:t>纳税信用评价的重</w:t>
            </w:r>
          </w:p>
        </w:tc>
        <w:tc>
          <w:tcPr>
            <w:tcW w:w="9915" w:type="dxa"/>
            <w:vMerge w:val="continue"/>
            <w:tcBorders>
              <w:top w:val="nil"/>
            </w:tcBorders>
          </w:tcPr>
          <w:p>
            <w:pPr>
              <w:rPr>
                <w:sz w:val="2"/>
                <w:szCs w:val="2"/>
              </w:rPr>
            </w:pPr>
          </w:p>
        </w:tc>
        <w:tc>
          <w:tcPr>
            <w:tcW w:w="1979" w:type="dxa"/>
            <w:tcBorders>
              <w:top w:val="nil"/>
              <w:bottom w:val="nil"/>
            </w:tcBorders>
          </w:tcPr>
          <w:p>
            <w:pPr>
              <w:pStyle w:val="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1" w:hRule="atLeast"/>
        </w:trPr>
        <w:tc>
          <w:tcPr>
            <w:tcW w:w="1743" w:type="dxa"/>
            <w:tcBorders>
              <w:top w:val="nil"/>
            </w:tcBorders>
          </w:tcPr>
          <w:p>
            <w:pPr>
              <w:pStyle w:val="8"/>
              <w:spacing w:before="40"/>
              <w:ind w:left="14"/>
              <w:rPr>
                <w:sz w:val="21"/>
              </w:rPr>
            </w:pPr>
            <w:r>
              <w:rPr>
                <w:sz w:val="21"/>
              </w:rPr>
              <w:t>要外部参考。</w:t>
            </w:r>
          </w:p>
        </w:tc>
        <w:tc>
          <w:tcPr>
            <w:tcW w:w="9915" w:type="dxa"/>
            <w:vMerge w:val="continue"/>
            <w:tcBorders>
              <w:top w:val="nil"/>
            </w:tcBorders>
          </w:tcPr>
          <w:p>
            <w:pPr>
              <w:rPr>
                <w:sz w:val="2"/>
                <w:szCs w:val="2"/>
              </w:rPr>
            </w:pPr>
          </w:p>
        </w:tc>
        <w:tc>
          <w:tcPr>
            <w:tcW w:w="1979" w:type="dxa"/>
            <w:tcBorders>
              <w:top w:val="nil"/>
            </w:tcBorders>
          </w:tcPr>
          <w:p>
            <w:pPr>
              <w:pStyle w:val="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8" w:hRule="atLeast"/>
        </w:trPr>
        <w:tc>
          <w:tcPr>
            <w:tcW w:w="1743" w:type="dxa"/>
          </w:tcPr>
          <w:p>
            <w:pPr>
              <w:pStyle w:val="8"/>
              <w:spacing w:before="54" w:line="324" w:lineRule="auto"/>
              <w:ind w:left="14" w:right="38"/>
              <w:rPr>
                <w:sz w:val="21"/>
              </w:rPr>
            </w:pPr>
            <w:r>
              <w:rPr>
                <w:rFonts w:ascii="Times New Roman" w:eastAsia="Times New Roman"/>
                <w:sz w:val="21"/>
              </w:rPr>
              <w:t>20.</w:t>
            </w:r>
            <w:r>
              <w:rPr>
                <w:position w:val="1"/>
                <w:sz w:val="21"/>
              </w:rPr>
              <w:t>对严重失信责</w:t>
            </w:r>
            <w:r>
              <w:rPr>
                <w:spacing w:val="-2"/>
                <w:w w:val="95"/>
                <w:sz w:val="21"/>
              </w:rPr>
              <w:t>任主体，限制其取</w:t>
            </w:r>
          </w:p>
          <w:p>
            <w:pPr>
              <w:pStyle w:val="8"/>
              <w:spacing w:line="265" w:lineRule="exact"/>
              <w:ind w:left="14"/>
              <w:rPr>
                <w:sz w:val="21"/>
              </w:rPr>
            </w:pPr>
            <w:r>
              <w:rPr>
                <w:w w:val="95"/>
                <w:sz w:val="21"/>
              </w:rPr>
              <w:t>得认证机构资质；</w:t>
            </w:r>
          </w:p>
        </w:tc>
        <w:tc>
          <w:tcPr>
            <w:tcW w:w="9915" w:type="dxa"/>
          </w:tcPr>
          <w:p>
            <w:pPr>
              <w:pStyle w:val="8"/>
              <w:spacing w:before="62" w:line="321" w:lineRule="auto"/>
              <w:ind w:left="13" w:right="5"/>
              <w:rPr>
                <w:b/>
                <w:sz w:val="21"/>
              </w:rPr>
            </w:pPr>
            <w:r>
              <w:rPr>
                <w:b/>
                <w:spacing w:val="-2"/>
                <w:sz w:val="21"/>
              </w:rPr>
              <w:t>《中共中央办公厅 国务院办公厅</w:t>
            </w:r>
            <w:r>
              <w:rPr>
                <w:rFonts w:ascii="Times New Roman" w:eastAsia="Times New Roman"/>
                <w:b/>
                <w:sz w:val="21"/>
              </w:rPr>
              <w:t>&lt;</w:t>
            </w:r>
            <w:r>
              <w:rPr>
                <w:b/>
                <w:spacing w:val="-3"/>
                <w:sz w:val="21"/>
              </w:rPr>
              <w:t>关于加快推进失信被执行人信用监督、警示和惩戒机制建设的意见</w:t>
            </w:r>
            <w:r>
              <w:rPr>
                <w:rFonts w:ascii="Times New Roman" w:eastAsia="Times New Roman"/>
                <w:b/>
                <w:sz w:val="21"/>
              </w:rPr>
              <w:t>&gt;</w:t>
            </w:r>
            <w:r>
              <w:rPr>
                <w:b/>
                <w:spacing w:val="-104"/>
                <w:sz w:val="21"/>
              </w:rPr>
              <w:t>》</w:t>
            </w:r>
            <w:r>
              <w:rPr>
                <w:b/>
                <w:sz w:val="21"/>
              </w:rPr>
              <w:t>（中办发〔</w:t>
            </w:r>
            <w:r>
              <w:rPr>
                <w:rFonts w:ascii="Times New Roman" w:eastAsia="Times New Roman"/>
                <w:b/>
                <w:sz w:val="21"/>
              </w:rPr>
              <w:t>2016</w:t>
            </w:r>
            <w:r>
              <w:rPr>
                <w:b/>
                <w:sz w:val="21"/>
              </w:rPr>
              <w:t>〕</w:t>
            </w:r>
            <w:r>
              <w:rPr>
                <w:rFonts w:ascii="Times New Roman" w:eastAsia="Times New Roman"/>
                <w:b/>
                <w:sz w:val="21"/>
              </w:rPr>
              <w:t xml:space="preserve">64 </w:t>
            </w:r>
            <w:r>
              <w:rPr>
                <w:b/>
                <w:sz w:val="21"/>
              </w:rPr>
              <w:t>号）</w:t>
            </w:r>
          </w:p>
          <w:p>
            <w:pPr>
              <w:pStyle w:val="8"/>
              <w:spacing w:line="266" w:lineRule="exact"/>
              <w:ind w:left="330"/>
              <w:rPr>
                <w:sz w:val="21"/>
              </w:rPr>
            </w:pPr>
            <w:r>
              <w:rPr>
                <w:sz w:val="21"/>
              </w:rPr>
              <w:t>二、加强联合惩戒</w:t>
            </w:r>
          </w:p>
        </w:tc>
        <w:tc>
          <w:tcPr>
            <w:tcW w:w="1979" w:type="dxa"/>
          </w:tcPr>
          <w:p>
            <w:pPr>
              <w:pStyle w:val="8"/>
              <w:rPr>
                <w:rFonts w:ascii="Times New Roman"/>
                <w:sz w:val="20"/>
              </w:rPr>
            </w:pPr>
          </w:p>
          <w:p>
            <w:pPr>
              <w:pStyle w:val="8"/>
              <w:spacing w:before="5"/>
              <w:rPr>
                <w:rFonts w:ascii="Times New Roman"/>
                <w:sz w:val="16"/>
              </w:rPr>
            </w:pPr>
          </w:p>
          <w:p>
            <w:pPr>
              <w:pStyle w:val="8"/>
              <w:ind w:right="350"/>
              <w:jc w:val="right"/>
              <w:rPr>
                <w:sz w:val="21"/>
              </w:rPr>
            </w:pPr>
            <w:r>
              <w:rPr>
                <w:w w:val="95"/>
                <w:sz w:val="21"/>
              </w:rPr>
              <w:t>市场监管总局</w:t>
            </w:r>
          </w:p>
        </w:tc>
      </w:tr>
    </w:tbl>
    <w:p>
      <w:pPr>
        <w:spacing w:after="0"/>
        <w:jc w:val="right"/>
        <w:rPr>
          <w:sz w:val="21"/>
        </w:rPr>
        <w:sectPr>
          <w:pgSz w:w="16840" w:h="11910" w:orient="landscape"/>
          <w:pgMar w:top="1100" w:right="960" w:bottom="1160" w:left="1700" w:header="0" w:footer="979" w:gutter="0"/>
        </w:sectPr>
      </w:pPr>
    </w:p>
    <w:p>
      <w:pPr>
        <w:pStyle w:val="3"/>
        <w:rPr>
          <w:rFonts w:ascii="Times New Roman"/>
          <w:sz w:val="29"/>
        </w:rPr>
      </w:pPr>
    </w:p>
    <w:tbl>
      <w:tblPr>
        <w:tblStyle w:val="4"/>
        <w:tblW w:w="0" w:type="auto"/>
        <w:tblInd w:w="34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43"/>
        <w:gridCol w:w="9915"/>
        <w:gridCol w:w="197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22" w:hRule="atLeast"/>
        </w:trPr>
        <w:tc>
          <w:tcPr>
            <w:tcW w:w="1743" w:type="dxa"/>
          </w:tcPr>
          <w:p>
            <w:pPr>
              <w:pStyle w:val="8"/>
              <w:spacing w:before="63" w:line="438" w:lineRule="exact"/>
              <w:ind w:left="271"/>
              <w:rPr>
                <w:rFonts w:hint="eastAsia" w:ascii="Arial Unicode MS" w:eastAsia="Arial Unicode MS"/>
                <w:sz w:val="30"/>
              </w:rPr>
            </w:pPr>
            <w:r>
              <w:rPr>
                <w:rFonts w:hint="eastAsia" w:ascii="Arial Unicode MS" w:eastAsia="Arial Unicode MS"/>
                <w:sz w:val="30"/>
              </w:rPr>
              <w:t>惩戒措施</w:t>
            </w:r>
          </w:p>
        </w:tc>
        <w:tc>
          <w:tcPr>
            <w:tcW w:w="9915" w:type="dxa"/>
          </w:tcPr>
          <w:p>
            <w:pPr>
              <w:pStyle w:val="8"/>
              <w:spacing w:line="502" w:lineRule="exact"/>
              <w:ind w:left="3886" w:right="3878"/>
              <w:jc w:val="center"/>
              <w:rPr>
                <w:rFonts w:hint="eastAsia" w:ascii="Arial Unicode MS" w:eastAsia="Arial Unicode MS"/>
                <w:sz w:val="30"/>
              </w:rPr>
            </w:pPr>
            <w:r>
              <w:rPr>
                <w:rFonts w:hint="eastAsia" w:ascii="Arial Unicode MS" w:eastAsia="Arial Unicode MS"/>
                <w:sz w:val="30"/>
              </w:rPr>
              <w:t>法律及政策依据</w:t>
            </w:r>
          </w:p>
        </w:tc>
        <w:tc>
          <w:tcPr>
            <w:tcW w:w="1979" w:type="dxa"/>
          </w:tcPr>
          <w:p>
            <w:pPr>
              <w:pStyle w:val="8"/>
              <w:spacing w:line="502" w:lineRule="exact"/>
              <w:ind w:left="387"/>
              <w:rPr>
                <w:rFonts w:hint="eastAsia" w:ascii="Arial Unicode MS" w:eastAsia="Arial Unicode MS"/>
                <w:sz w:val="30"/>
              </w:rPr>
            </w:pPr>
            <w:r>
              <w:rPr>
                <w:rFonts w:hint="eastAsia" w:ascii="Arial Unicode MS" w:eastAsia="Arial Unicode MS"/>
                <w:sz w:val="30"/>
              </w:rPr>
              <w:t>实施部门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08" w:hRule="atLeast"/>
        </w:trPr>
        <w:tc>
          <w:tcPr>
            <w:tcW w:w="1743" w:type="dxa"/>
          </w:tcPr>
          <w:p>
            <w:pPr>
              <w:pStyle w:val="8"/>
              <w:spacing w:before="58" w:line="321" w:lineRule="auto"/>
              <w:ind w:left="14" w:right="38"/>
              <w:rPr>
                <w:sz w:val="21"/>
              </w:rPr>
            </w:pPr>
            <w:r>
              <w:rPr>
                <w:sz w:val="21"/>
              </w:rPr>
              <w:t>限制其获得认证证书。</w:t>
            </w:r>
          </w:p>
        </w:tc>
        <w:tc>
          <w:tcPr>
            <w:tcW w:w="9915" w:type="dxa"/>
          </w:tcPr>
          <w:p>
            <w:pPr>
              <w:pStyle w:val="8"/>
              <w:spacing w:before="60" w:line="321" w:lineRule="auto"/>
              <w:ind w:left="13" w:right="20" w:firstLine="316"/>
              <w:rPr>
                <w:sz w:val="21"/>
              </w:rPr>
            </w:pPr>
            <w:r>
              <w:rPr>
                <w:sz w:val="21"/>
              </w:rPr>
              <w:t>（四）</w:t>
            </w:r>
            <w:r>
              <w:rPr>
                <w:spacing w:val="-9"/>
                <w:sz w:val="21"/>
              </w:rPr>
              <w:t xml:space="preserve">准入资格限制 </w:t>
            </w:r>
            <w:r>
              <w:rPr>
                <w:rFonts w:ascii="Times New Roman" w:eastAsia="Times New Roman"/>
                <w:sz w:val="21"/>
              </w:rPr>
              <w:t>2.</w:t>
            </w:r>
            <w:r>
              <w:rPr>
                <w:sz w:val="21"/>
              </w:rPr>
              <w:t>从事药品、食品等行业限制。对失信被执行人从事药品、食品安全行业从严审批</w:t>
            </w:r>
            <w:r>
              <w:rPr>
                <w:w w:val="95"/>
                <w:sz w:val="21"/>
              </w:rPr>
              <w:t>限制失信被执行人从事危险化学品生产经营储存、烟花爆竹生产经营、矿山生产和安全评价、认证、检测、检验等行业；限制失信被执行人担任上述行业单位主要负责人及董事、监事、高级管理人员，已担任相关职</w:t>
            </w:r>
            <w:r>
              <w:rPr>
                <w:sz w:val="21"/>
              </w:rPr>
              <w:t>务的，按规定程序要求予以变更。</w:t>
            </w:r>
          </w:p>
          <w:p>
            <w:pPr>
              <w:pStyle w:val="8"/>
              <w:spacing w:line="321" w:lineRule="auto"/>
              <w:ind w:left="13" w:right="394"/>
              <w:rPr>
                <w:b/>
                <w:sz w:val="21"/>
              </w:rPr>
            </w:pPr>
            <w:r>
              <w:rPr>
                <w:b/>
                <w:spacing w:val="-2"/>
                <w:w w:val="95"/>
                <w:sz w:val="21"/>
              </w:rPr>
              <w:t>《国务院关于建立完善守信联合激励和失信联合惩戒制度加快推进社会诚信建设的指导意见》</w:t>
            </w:r>
            <w:r>
              <w:rPr>
                <w:b/>
                <w:w w:val="95"/>
                <w:sz w:val="21"/>
              </w:rPr>
              <w:t>（</w:t>
            </w:r>
            <w:r>
              <w:rPr>
                <w:b/>
                <w:spacing w:val="-14"/>
                <w:w w:val="95"/>
                <w:sz w:val="21"/>
              </w:rPr>
              <w:t>国发〔</w:t>
            </w:r>
            <w:r>
              <w:rPr>
                <w:rFonts w:ascii="Times New Roman" w:eastAsia="Times New Roman"/>
                <w:b/>
                <w:w w:val="95"/>
                <w:sz w:val="21"/>
              </w:rPr>
              <w:t xml:space="preserve">2016      </w:t>
            </w:r>
            <w:r>
              <w:rPr>
                <w:rFonts w:ascii="Times New Roman" w:eastAsia="Times New Roman"/>
                <w:b/>
                <w:sz w:val="21"/>
              </w:rPr>
              <w:t>33</w:t>
            </w:r>
            <w:r>
              <w:rPr>
                <w:rFonts w:ascii="Times New Roman" w:eastAsia="Times New Roman"/>
                <w:b/>
                <w:spacing w:val="-1"/>
                <w:sz w:val="21"/>
              </w:rPr>
              <w:t xml:space="preserve"> </w:t>
            </w:r>
            <w:r>
              <w:rPr>
                <w:b/>
                <w:sz w:val="21"/>
              </w:rPr>
              <w:t>号）</w:t>
            </w:r>
          </w:p>
          <w:p>
            <w:pPr>
              <w:pStyle w:val="8"/>
              <w:spacing w:line="268" w:lineRule="exact"/>
              <w:ind w:left="433"/>
              <w:rPr>
                <w:sz w:val="21"/>
              </w:rPr>
            </w:pPr>
            <w:r>
              <w:rPr>
                <w:sz w:val="21"/>
              </w:rPr>
              <w:t>三、健全约束和惩戒失信行为机制</w:t>
            </w:r>
          </w:p>
          <w:p>
            <w:pPr>
              <w:pStyle w:val="8"/>
              <w:spacing w:before="89" w:line="321" w:lineRule="auto"/>
              <w:ind w:left="13" w:right="20" w:firstLine="420"/>
              <w:rPr>
                <w:sz w:val="21"/>
              </w:rPr>
            </w:pPr>
            <w:r>
              <w:rPr>
                <w:w w:val="95"/>
                <w:sz w:val="21"/>
              </w:rPr>
              <w:t>（十）依法依规加强对失信行为的行政性约束和惩戒。对严重失信主体，各地区、各有关部门应将其列</w:t>
            </w:r>
            <w:r>
              <w:rPr>
                <w:sz w:val="21"/>
              </w:rPr>
              <w:t>为重点监管对象，依法依规采取行政性约束和惩戒措施。</w:t>
            </w:r>
          </w:p>
          <w:p>
            <w:pPr>
              <w:pStyle w:val="8"/>
              <w:spacing w:line="268" w:lineRule="exact"/>
              <w:ind w:left="13"/>
              <w:rPr>
                <w:b/>
                <w:sz w:val="21"/>
              </w:rPr>
            </w:pPr>
            <w:r>
              <w:rPr>
                <w:b/>
                <w:sz w:val="21"/>
              </w:rPr>
              <w:t>《国务院关于促进市场公平竞争维护市场正常秩序的若干意见》（国发〔</w:t>
            </w:r>
            <w:r>
              <w:rPr>
                <w:rFonts w:ascii="Times New Roman" w:eastAsia="Times New Roman"/>
                <w:b/>
                <w:sz w:val="21"/>
              </w:rPr>
              <w:t>2014</w:t>
            </w:r>
            <w:r>
              <w:rPr>
                <w:b/>
                <w:sz w:val="21"/>
              </w:rPr>
              <w:t>〕</w:t>
            </w:r>
            <w:r>
              <w:rPr>
                <w:rFonts w:ascii="Times New Roman" w:eastAsia="Times New Roman"/>
                <w:b/>
                <w:sz w:val="21"/>
              </w:rPr>
              <w:t xml:space="preserve">20 </w:t>
            </w:r>
            <w:r>
              <w:rPr>
                <w:b/>
                <w:sz w:val="21"/>
              </w:rPr>
              <w:t>号）</w:t>
            </w:r>
          </w:p>
          <w:p>
            <w:pPr>
              <w:pStyle w:val="8"/>
              <w:spacing w:before="91" w:line="321" w:lineRule="auto"/>
              <w:ind w:left="13" w:right="20" w:firstLine="420"/>
              <w:jc w:val="both"/>
              <w:rPr>
                <w:sz w:val="21"/>
              </w:rPr>
            </w:pPr>
            <w:r>
              <w:rPr>
                <w:w w:val="95"/>
                <w:sz w:val="21"/>
              </w:rPr>
              <w:t>（十五）建立健全守信激励和失信惩戒机制。将市场主体的信用信息作为实施行政管理的重要参考。根据市场主体信用状况实行分类分级、动态监管，建立健全经营异常名录制度，对违背市场竞争原则和侵犯消</w:t>
            </w:r>
            <w:r>
              <w:rPr>
                <w:sz w:val="21"/>
              </w:rPr>
              <w:t>费者、劳动者合法权益的市场主体建立</w:t>
            </w:r>
            <w:r>
              <w:rPr>
                <w:rFonts w:ascii="Times New Roman" w:hAnsi="Times New Roman" w:eastAsia="Times New Roman"/>
                <w:sz w:val="21"/>
              </w:rPr>
              <w:t>“</w:t>
            </w:r>
            <w:r>
              <w:rPr>
                <w:sz w:val="21"/>
              </w:rPr>
              <w:t>黑名单</w:t>
            </w:r>
            <w:r>
              <w:rPr>
                <w:rFonts w:ascii="Times New Roman" w:hAnsi="Times New Roman" w:eastAsia="Times New Roman"/>
                <w:sz w:val="21"/>
              </w:rPr>
              <w:t>”</w:t>
            </w:r>
            <w:r>
              <w:rPr>
                <w:sz w:val="21"/>
              </w:rPr>
              <w:t>制度。（工商总局牵头负责）对守信主体予以支持和激励，</w:t>
            </w:r>
            <w:r>
              <w:rPr>
                <w:w w:val="95"/>
                <w:sz w:val="21"/>
              </w:rPr>
              <w:t>对失信主体在经营、投融资、取得政府供应土地、进出口、出入境、注册新公司、工程招投标、政府采购、获得荣誉、安全许可、生产许可、从业任职资格、资质审核等方面依法予以限制或禁止，对严重违法失信主</w:t>
            </w:r>
            <w:r>
              <w:rPr>
                <w:sz w:val="21"/>
              </w:rPr>
              <w:t>体实行市场禁入制度。（各相关市场监管部门按职责分工分别负责）</w:t>
            </w:r>
          </w:p>
          <w:p>
            <w:pPr>
              <w:pStyle w:val="8"/>
              <w:spacing w:line="321" w:lineRule="auto"/>
              <w:ind w:left="433" w:right="936" w:hanging="420"/>
              <w:jc w:val="both"/>
              <w:rPr>
                <w:sz w:val="21"/>
              </w:rPr>
            </w:pPr>
            <w:r>
              <w:rPr>
                <w:b/>
                <w:sz w:val="21"/>
              </w:rPr>
              <w:t>《国务院关于印发社会信用体系建设规划纲要（</w:t>
            </w:r>
            <w:r>
              <w:rPr>
                <w:rFonts w:ascii="Times New Roman" w:hAnsi="Times New Roman" w:eastAsia="Times New Roman"/>
                <w:b/>
                <w:sz w:val="21"/>
              </w:rPr>
              <w:t xml:space="preserve">2014—2020 </w:t>
            </w:r>
            <w:r>
              <w:rPr>
                <w:b/>
                <w:sz w:val="21"/>
              </w:rPr>
              <w:t>年）的通知》（国发〔</w:t>
            </w:r>
            <w:r>
              <w:rPr>
                <w:rFonts w:ascii="Times New Roman" w:hAnsi="Times New Roman" w:eastAsia="Times New Roman"/>
                <w:b/>
                <w:sz w:val="21"/>
              </w:rPr>
              <w:t>2014</w:t>
            </w:r>
            <w:r>
              <w:rPr>
                <w:b/>
                <w:sz w:val="21"/>
              </w:rPr>
              <w:t>〕</w:t>
            </w:r>
            <w:r>
              <w:rPr>
                <w:rFonts w:ascii="Times New Roman" w:hAnsi="Times New Roman" w:eastAsia="Times New Roman"/>
                <w:b/>
                <w:sz w:val="21"/>
              </w:rPr>
              <w:t xml:space="preserve">21 </w:t>
            </w:r>
            <w:r>
              <w:rPr>
                <w:b/>
                <w:sz w:val="21"/>
              </w:rPr>
              <w:t xml:space="preserve">号） </w:t>
            </w:r>
            <w:r>
              <w:rPr>
                <w:sz w:val="21"/>
              </w:rPr>
              <w:t>二、推进重点领域诚信建设。</w:t>
            </w:r>
          </w:p>
          <w:p>
            <w:pPr>
              <w:pStyle w:val="8"/>
              <w:spacing w:line="321" w:lineRule="auto"/>
              <w:ind w:left="13" w:right="20" w:firstLine="420"/>
              <w:jc w:val="both"/>
              <w:rPr>
                <w:sz w:val="21"/>
              </w:rPr>
            </w:pPr>
            <w:r>
              <w:rPr>
                <w:w w:val="95"/>
                <w:sz w:val="21"/>
              </w:rPr>
              <w:t>（一）加快推进政务诚信建设。发挥政府诚信建设示范作用。各级人民政府首先要加强诚信建设，以政府的诚信施政，带动全社会诚信意识的树立和诚信水平的提高。在行政许可、政府采购、招标投标、劳动就业、社会保障、科研管理、干部选拔任用和管理监督、申请政府资金支持等领域，率先使用信用信息和信用</w:t>
            </w:r>
            <w:r>
              <w:rPr>
                <w:sz w:val="21"/>
              </w:rPr>
              <w:t>产品，培育信用服务市场发展。</w:t>
            </w:r>
          </w:p>
          <w:p>
            <w:pPr>
              <w:pStyle w:val="8"/>
              <w:spacing w:line="267" w:lineRule="exact"/>
              <w:ind w:left="433"/>
              <w:rPr>
                <w:sz w:val="21"/>
              </w:rPr>
            </w:pPr>
            <w:r>
              <w:rPr>
                <w:sz w:val="21"/>
              </w:rPr>
              <w:t>（二）深入推进商务诚信建设。中介服务业信用建设。建立完善中介服务机构及其从业人员的信用记录</w:t>
            </w:r>
          </w:p>
        </w:tc>
        <w:tc>
          <w:tcPr>
            <w:tcW w:w="1979" w:type="dxa"/>
          </w:tcPr>
          <w:p>
            <w:pPr>
              <w:pStyle w:val="8"/>
              <w:spacing w:before="60"/>
              <w:ind w:left="-136"/>
              <w:rPr>
                <w:sz w:val="21"/>
              </w:rPr>
            </w:pPr>
            <w:r>
              <w:rPr>
                <w:w w:val="99"/>
                <w:sz w:val="21"/>
              </w:rPr>
              <w:t>；</w:t>
            </w: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spacing w:before="9"/>
              <w:rPr>
                <w:rFonts w:ascii="Times New Roman"/>
                <w:sz w:val="21"/>
              </w:rPr>
            </w:pPr>
          </w:p>
          <w:p>
            <w:pPr>
              <w:pStyle w:val="8"/>
              <w:spacing w:before="1"/>
              <w:ind w:left="-122"/>
              <w:rPr>
                <w:b/>
                <w:sz w:val="21"/>
              </w:rPr>
            </w:pPr>
            <w:r>
              <w:rPr>
                <w:b/>
                <w:w w:val="99"/>
                <w:sz w:val="21"/>
              </w:rPr>
              <w:t>〕</w:t>
            </w:r>
          </w:p>
        </w:tc>
      </w:tr>
    </w:tbl>
    <w:p>
      <w:pPr>
        <w:spacing w:after="0"/>
        <w:rPr>
          <w:sz w:val="21"/>
        </w:rPr>
        <w:sectPr>
          <w:pgSz w:w="16840" w:h="11910" w:orient="landscape"/>
          <w:pgMar w:top="1100" w:right="960" w:bottom="1160" w:left="1700" w:header="0" w:footer="979" w:gutter="0"/>
        </w:sectPr>
      </w:pPr>
    </w:p>
    <w:p>
      <w:pPr>
        <w:pStyle w:val="3"/>
        <w:rPr>
          <w:rFonts w:ascii="Times New Roman"/>
          <w:sz w:val="29"/>
        </w:rPr>
      </w:pPr>
    </w:p>
    <w:tbl>
      <w:tblPr>
        <w:tblStyle w:val="4"/>
        <w:tblW w:w="0" w:type="auto"/>
        <w:tblInd w:w="34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43"/>
        <w:gridCol w:w="9915"/>
        <w:gridCol w:w="197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 w:hRule="atLeast"/>
        </w:trPr>
        <w:tc>
          <w:tcPr>
            <w:tcW w:w="1743" w:type="dxa"/>
          </w:tcPr>
          <w:p>
            <w:pPr>
              <w:pStyle w:val="8"/>
              <w:spacing w:before="63" w:line="438" w:lineRule="exact"/>
              <w:ind w:left="271"/>
              <w:rPr>
                <w:rFonts w:hint="eastAsia" w:ascii="Arial Unicode MS" w:eastAsia="Arial Unicode MS"/>
                <w:sz w:val="30"/>
              </w:rPr>
            </w:pPr>
            <w:r>
              <w:rPr>
                <w:rFonts w:hint="eastAsia" w:ascii="Arial Unicode MS" w:eastAsia="Arial Unicode MS"/>
                <w:sz w:val="30"/>
              </w:rPr>
              <w:t>惩戒措施</w:t>
            </w:r>
          </w:p>
        </w:tc>
        <w:tc>
          <w:tcPr>
            <w:tcW w:w="9915" w:type="dxa"/>
          </w:tcPr>
          <w:p>
            <w:pPr>
              <w:pStyle w:val="8"/>
              <w:spacing w:line="502" w:lineRule="exact"/>
              <w:ind w:left="3886" w:right="3878"/>
              <w:jc w:val="center"/>
              <w:rPr>
                <w:rFonts w:hint="eastAsia" w:ascii="Arial Unicode MS" w:eastAsia="Arial Unicode MS"/>
                <w:sz w:val="30"/>
              </w:rPr>
            </w:pPr>
            <w:r>
              <w:rPr>
                <w:rFonts w:hint="eastAsia" w:ascii="Arial Unicode MS" w:eastAsia="Arial Unicode MS"/>
                <w:sz w:val="30"/>
              </w:rPr>
              <w:t>法律及政策依据</w:t>
            </w:r>
          </w:p>
        </w:tc>
        <w:tc>
          <w:tcPr>
            <w:tcW w:w="1979" w:type="dxa"/>
          </w:tcPr>
          <w:p>
            <w:pPr>
              <w:pStyle w:val="8"/>
              <w:spacing w:line="502" w:lineRule="exact"/>
              <w:ind w:left="232" w:right="226"/>
              <w:jc w:val="center"/>
              <w:rPr>
                <w:rFonts w:hint="eastAsia" w:ascii="Arial Unicode MS" w:eastAsia="Arial Unicode MS"/>
                <w:sz w:val="30"/>
              </w:rPr>
            </w:pPr>
            <w:r>
              <w:rPr>
                <w:rFonts w:hint="eastAsia" w:ascii="Arial Unicode MS" w:eastAsia="Arial Unicode MS"/>
                <w:sz w:val="30"/>
              </w:rPr>
              <w:t>实施部门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30" w:hRule="atLeast"/>
        </w:trPr>
        <w:tc>
          <w:tcPr>
            <w:tcW w:w="1743" w:type="dxa"/>
          </w:tcPr>
          <w:p>
            <w:pPr>
              <w:pStyle w:val="8"/>
              <w:rPr>
                <w:rFonts w:ascii="Times New Roman"/>
                <w:sz w:val="20"/>
              </w:rPr>
            </w:pPr>
          </w:p>
        </w:tc>
        <w:tc>
          <w:tcPr>
            <w:tcW w:w="9915" w:type="dxa"/>
          </w:tcPr>
          <w:p>
            <w:pPr>
              <w:pStyle w:val="8"/>
              <w:spacing w:before="60" w:line="321" w:lineRule="auto"/>
              <w:ind w:left="13" w:right="20"/>
              <w:jc w:val="both"/>
              <w:rPr>
                <w:sz w:val="21"/>
              </w:rPr>
            </w:pPr>
            <w:r>
              <w:rPr>
                <w:w w:val="95"/>
                <w:sz w:val="21"/>
              </w:rPr>
              <w:t>和披露制度，并作为市场行政执法部门实施信用分类管理的重要依据。重点加强公证仲裁类、律师类、会计   类、担保类、鉴证类、检验检测类、评估类、认证类、代理类、经纪类、职业介绍类、咨询类、交易类等机</w:t>
            </w:r>
            <w:r>
              <w:rPr>
                <w:sz w:val="21"/>
              </w:rPr>
              <w:t>构信用分类管理，探索建立科学合理的评估指标体系、评估制度和工作机制。</w:t>
            </w:r>
          </w:p>
          <w:p>
            <w:pPr>
              <w:pStyle w:val="8"/>
              <w:spacing w:line="267" w:lineRule="exact"/>
              <w:ind w:left="13"/>
              <w:jc w:val="both"/>
              <w:rPr>
                <w:b/>
                <w:sz w:val="21"/>
              </w:rPr>
            </w:pPr>
            <w:r>
              <w:rPr>
                <w:b/>
                <w:sz w:val="21"/>
              </w:rPr>
              <w:t xml:space="preserve">《中华人民共和国认证认可条例》（国务院令第 </w:t>
            </w:r>
            <w:r>
              <w:rPr>
                <w:rFonts w:ascii="Times New Roman" w:eastAsia="Times New Roman"/>
                <w:b/>
                <w:sz w:val="21"/>
              </w:rPr>
              <w:t xml:space="preserve">390 </w:t>
            </w:r>
            <w:r>
              <w:rPr>
                <w:b/>
                <w:sz w:val="21"/>
              </w:rPr>
              <w:t xml:space="preserve">号，国务院令第 </w:t>
            </w:r>
            <w:r>
              <w:rPr>
                <w:rFonts w:ascii="Times New Roman" w:eastAsia="Times New Roman"/>
                <w:b/>
                <w:sz w:val="21"/>
              </w:rPr>
              <w:t xml:space="preserve">666 </w:t>
            </w:r>
            <w:r>
              <w:rPr>
                <w:b/>
                <w:sz w:val="21"/>
              </w:rPr>
              <w:t>号修订）</w:t>
            </w:r>
          </w:p>
          <w:p>
            <w:pPr>
              <w:pStyle w:val="8"/>
              <w:spacing w:before="91"/>
              <w:ind w:left="433"/>
              <w:jc w:val="both"/>
              <w:rPr>
                <w:sz w:val="21"/>
              </w:rPr>
            </w:pPr>
            <w:r>
              <w:rPr>
                <w:sz w:val="21"/>
              </w:rPr>
              <w:t>第六条 认证认可活动应当遵循客观独立、公开公正、诚实信用的原则。</w:t>
            </w:r>
          </w:p>
        </w:tc>
        <w:tc>
          <w:tcPr>
            <w:tcW w:w="1979" w:type="dxa"/>
          </w:tcPr>
          <w:p>
            <w:pPr>
              <w:pStyle w:val="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49" w:hRule="atLeast"/>
        </w:trPr>
        <w:tc>
          <w:tcPr>
            <w:tcW w:w="1743" w:type="dxa"/>
          </w:tcPr>
          <w:p>
            <w:pPr>
              <w:pStyle w:val="8"/>
              <w:rPr>
                <w:rFonts w:ascii="Times New Roman"/>
                <w:sz w:val="20"/>
              </w:rPr>
            </w:pPr>
          </w:p>
          <w:p>
            <w:pPr>
              <w:pStyle w:val="8"/>
              <w:rPr>
                <w:rFonts w:ascii="Times New Roman"/>
                <w:sz w:val="20"/>
              </w:rPr>
            </w:pPr>
          </w:p>
          <w:p>
            <w:pPr>
              <w:pStyle w:val="8"/>
              <w:spacing w:before="136" w:line="321" w:lineRule="auto"/>
              <w:ind w:left="14" w:right="38"/>
              <w:rPr>
                <w:sz w:val="21"/>
              </w:rPr>
            </w:pPr>
            <w:r>
              <w:rPr>
                <w:rFonts w:ascii="Times New Roman" w:eastAsia="Times New Roman"/>
                <w:sz w:val="21"/>
              </w:rPr>
              <w:t>21.</w:t>
            </w:r>
            <w:r>
              <w:rPr>
                <w:position w:val="1"/>
                <w:sz w:val="21"/>
              </w:rPr>
              <w:t>对失信责任主</w:t>
            </w:r>
            <w:r>
              <w:rPr>
                <w:spacing w:val="-2"/>
                <w:sz w:val="21"/>
              </w:rPr>
              <w:t>体进出口货物实施严密监管，在办理相关海关业务时， 加强单证审核、布控查验、加工贸易担保征收、后续稽</w:t>
            </w:r>
            <w:r>
              <w:rPr>
                <w:sz w:val="21"/>
              </w:rPr>
              <w:t>查或统计监督核 查。</w:t>
            </w:r>
          </w:p>
        </w:tc>
        <w:tc>
          <w:tcPr>
            <w:tcW w:w="9915" w:type="dxa"/>
          </w:tcPr>
          <w:p>
            <w:pPr>
              <w:pStyle w:val="8"/>
              <w:spacing w:before="61"/>
              <w:ind w:left="13"/>
              <w:jc w:val="both"/>
              <w:rPr>
                <w:b/>
                <w:sz w:val="21"/>
              </w:rPr>
            </w:pPr>
            <w:r>
              <w:rPr>
                <w:b/>
                <w:sz w:val="21"/>
              </w:rPr>
              <w:t>《国务院关于促进市场公平竞争维护市场正常秩序的若干意见》（国发〔</w:t>
            </w:r>
            <w:r>
              <w:rPr>
                <w:rFonts w:ascii="Times New Roman" w:eastAsia="Times New Roman"/>
                <w:b/>
                <w:sz w:val="21"/>
              </w:rPr>
              <w:t>2014</w:t>
            </w:r>
            <w:r>
              <w:rPr>
                <w:b/>
                <w:sz w:val="21"/>
              </w:rPr>
              <w:t>〕</w:t>
            </w:r>
            <w:r>
              <w:rPr>
                <w:rFonts w:ascii="Times New Roman" w:eastAsia="Times New Roman"/>
                <w:b/>
                <w:sz w:val="21"/>
              </w:rPr>
              <w:t xml:space="preserve">20 </w:t>
            </w:r>
            <w:r>
              <w:rPr>
                <w:b/>
                <w:sz w:val="21"/>
              </w:rPr>
              <w:t>号）</w:t>
            </w:r>
          </w:p>
          <w:p>
            <w:pPr>
              <w:pStyle w:val="8"/>
              <w:spacing w:before="91" w:line="321" w:lineRule="auto"/>
              <w:ind w:left="13" w:right="5" w:firstLine="316"/>
              <w:jc w:val="both"/>
              <w:rPr>
                <w:sz w:val="21"/>
              </w:rPr>
            </w:pPr>
            <w:r>
              <w:rPr>
                <w:w w:val="95"/>
                <w:sz w:val="21"/>
              </w:rPr>
              <w:t>（十五</w:t>
            </w:r>
            <w:r>
              <w:rPr>
                <w:spacing w:val="-29"/>
                <w:w w:val="95"/>
                <w:sz w:val="21"/>
              </w:rPr>
              <w:t>）</w:t>
            </w:r>
            <w:r>
              <w:rPr>
                <w:spacing w:val="-3"/>
                <w:w w:val="95"/>
                <w:sz w:val="21"/>
              </w:rPr>
              <w:t>建立健全守信激励和失信惩戒机制。将市场主体的信用信息作为实施行政管理的重要参考。根据</w:t>
            </w:r>
            <w:r>
              <w:rPr>
                <w:spacing w:val="-3"/>
                <w:sz w:val="21"/>
              </w:rPr>
              <w:t>市场主体信用状况实行分类分级、动态监管，建立健全经营异常名录制度，对违背市场竞争原则和侵犯消费者、劳动者合法权益的市场主体建立</w:t>
            </w:r>
            <w:r>
              <w:rPr>
                <w:rFonts w:ascii="Times New Roman" w:hAnsi="Times New Roman" w:eastAsia="Times New Roman"/>
                <w:spacing w:val="-3"/>
                <w:sz w:val="21"/>
              </w:rPr>
              <w:t>“</w:t>
            </w:r>
            <w:r>
              <w:rPr>
                <w:spacing w:val="-3"/>
                <w:sz w:val="21"/>
              </w:rPr>
              <w:t>黑名单</w:t>
            </w:r>
            <w:r>
              <w:rPr>
                <w:rFonts w:ascii="Times New Roman" w:hAnsi="Times New Roman" w:eastAsia="Times New Roman"/>
                <w:spacing w:val="-3"/>
                <w:sz w:val="21"/>
              </w:rPr>
              <w:t>”</w:t>
            </w:r>
            <w:r>
              <w:rPr>
                <w:spacing w:val="-3"/>
                <w:sz w:val="21"/>
              </w:rPr>
              <w:t>制度。（工商总局牵头负责）对守信主体予以支持和激励，对失信主体在经营、投融资、取得政府供应土地、进出口、出入境、注册新公司、工程招投标、政府采购、获得荣誉、安全许可、生产许可、从业任职资格、资质审核等方面依法予以限制或禁止，对严重违法失信主体实行市场禁入制度。（各相关市场监管部门按职责分工分别负责）</w:t>
            </w:r>
          </w:p>
          <w:p>
            <w:pPr>
              <w:pStyle w:val="8"/>
              <w:spacing w:line="266" w:lineRule="exact"/>
              <w:ind w:left="13"/>
              <w:jc w:val="both"/>
              <w:rPr>
                <w:b/>
                <w:sz w:val="21"/>
              </w:rPr>
            </w:pPr>
            <w:r>
              <w:rPr>
                <w:b/>
                <w:sz w:val="21"/>
              </w:rPr>
              <w:t>《国务院关于印发社会信用体系建设规划纲要（</w:t>
            </w:r>
            <w:r>
              <w:rPr>
                <w:rFonts w:ascii="Times New Roman" w:hAnsi="Times New Roman" w:eastAsia="Times New Roman"/>
                <w:b/>
                <w:sz w:val="21"/>
              </w:rPr>
              <w:t xml:space="preserve">2014—2020 </w:t>
            </w:r>
            <w:r>
              <w:rPr>
                <w:b/>
                <w:sz w:val="21"/>
              </w:rPr>
              <w:t>年）的通知》（国发〔</w:t>
            </w:r>
            <w:r>
              <w:rPr>
                <w:rFonts w:ascii="Times New Roman" w:hAnsi="Times New Roman" w:eastAsia="Times New Roman"/>
                <w:b/>
                <w:sz w:val="21"/>
              </w:rPr>
              <w:t>2014</w:t>
            </w:r>
            <w:r>
              <w:rPr>
                <w:b/>
                <w:sz w:val="21"/>
              </w:rPr>
              <w:t>〕</w:t>
            </w:r>
            <w:r>
              <w:rPr>
                <w:rFonts w:ascii="Times New Roman" w:hAnsi="Times New Roman" w:eastAsia="Times New Roman"/>
                <w:b/>
                <w:sz w:val="21"/>
              </w:rPr>
              <w:t xml:space="preserve">21 </w:t>
            </w:r>
            <w:r>
              <w:rPr>
                <w:b/>
                <w:sz w:val="21"/>
              </w:rPr>
              <w:t>号）</w:t>
            </w:r>
          </w:p>
          <w:p>
            <w:pPr>
              <w:pStyle w:val="8"/>
              <w:spacing w:line="360" w:lineRule="atLeast"/>
              <w:ind w:left="13" w:right="20" w:firstLine="412"/>
              <w:jc w:val="both"/>
              <w:rPr>
                <w:sz w:val="21"/>
              </w:rPr>
            </w:pPr>
            <w:r>
              <w:rPr>
                <w:w w:val="95"/>
                <w:sz w:val="21"/>
              </w:rPr>
              <w:t>加强对失信主体的约束和惩戒。强化行政监管性约束和惩戒。在现有行政处罚措施的基础上，健全失信惩戒制度，建立各行业黑名单制度和市场退出机制。推动各级人民政府在市场监管和公共服务的市场准入、资质认定、行政审批、政策扶持等方面实施信用分类监管，结合监管对象的失信类别和程度，使失信者受到</w:t>
            </w:r>
            <w:r>
              <w:rPr>
                <w:sz w:val="21"/>
              </w:rPr>
              <w:t>惩戒。</w:t>
            </w:r>
          </w:p>
        </w:tc>
        <w:tc>
          <w:tcPr>
            <w:tcW w:w="1979" w:type="dxa"/>
          </w:tcPr>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spacing w:before="5"/>
              <w:rPr>
                <w:rFonts w:ascii="Times New Roman"/>
                <w:sz w:val="17"/>
              </w:rPr>
            </w:pPr>
          </w:p>
          <w:p>
            <w:pPr>
              <w:pStyle w:val="8"/>
              <w:spacing w:before="1"/>
              <w:ind w:left="230" w:right="226"/>
              <w:jc w:val="center"/>
              <w:rPr>
                <w:sz w:val="21"/>
              </w:rPr>
            </w:pPr>
            <w:r>
              <w:rPr>
                <w:sz w:val="21"/>
              </w:rPr>
              <w:t>海关总署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88" w:hRule="atLeast"/>
        </w:trPr>
        <w:tc>
          <w:tcPr>
            <w:tcW w:w="1743" w:type="dxa"/>
          </w:tcPr>
          <w:p>
            <w:pPr>
              <w:pStyle w:val="8"/>
              <w:spacing w:before="54" w:line="321" w:lineRule="auto"/>
              <w:ind w:left="14" w:right="2"/>
              <w:jc w:val="both"/>
              <w:rPr>
                <w:sz w:val="21"/>
              </w:rPr>
            </w:pPr>
            <w:r>
              <w:rPr>
                <w:rFonts w:ascii="Times New Roman" w:eastAsia="Times New Roman"/>
                <w:sz w:val="21"/>
              </w:rPr>
              <w:t>22</w:t>
            </w:r>
            <w:r>
              <w:rPr>
                <w:rFonts w:ascii="Times New Roman" w:eastAsia="Times New Roman"/>
                <w:spacing w:val="-13"/>
                <w:sz w:val="21"/>
              </w:rPr>
              <w:t xml:space="preserve">. </w:t>
            </w:r>
            <w:r>
              <w:rPr>
                <w:spacing w:val="24"/>
                <w:position w:val="1"/>
                <w:sz w:val="21"/>
              </w:rPr>
              <w:t>对失信责任主</w:t>
            </w:r>
            <w:r>
              <w:rPr>
                <w:spacing w:val="2"/>
                <w:sz w:val="21"/>
              </w:rPr>
              <w:t>体申请适用海关认证企业管理的，不予通过认证。已经</w:t>
            </w:r>
            <w:r>
              <w:rPr>
                <w:spacing w:val="2"/>
                <w:w w:val="95"/>
                <w:sz w:val="21"/>
              </w:rPr>
              <w:t>成为认证企业的，</w:t>
            </w:r>
          </w:p>
          <w:p>
            <w:pPr>
              <w:pStyle w:val="8"/>
              <w:ind w:left="14"/>
              <w:rPr>
                <w:sz w:val="21"/>
              </w:rPr>
            </w:pPr>
            <w:r>
              <w:rPr>
                <w:spacing w:val="2"/>
                <w:w w:val="95"/>
                <w:sz w:val="21"/>
              </w:rPr>
              <w:t>按照规定下调企业</w:t>
            </w:r>
          </w:p>
        </w:tc>
        <w:tc>
          <w:tcPr>
            <w:tcW w:w="9915" w:type="dxa"/>
          </w:tcPr>
          <w:p>
            <w:pPr>
              <w:pStyle w:val="8"/>
              <w:spacing w:before="59"/>
              <w:ind w:left="13"/>
              <w:rPr>
                <w:b/>
                <w:sz w:val="21"/>
              </w:rPr>
            </w:pPr>
            <w:r>
              <w:rPr>
                <w:b/>
                <w:sz w:val="21"/>
              </w:rPr>
              <w:t>《海关认证企业标准》</w:t>
            </w:r>
          </w:p>
          <w:p>
            <w:pPr>
              <w:pStyle w:val="8"/>
              <w:spacing w:before="94" w:line="319" w:lineRule="auto"/>
              <w:ind w:left="13" w:right="5" w:firstLine="316"/>
              <w:rPr>
                <w:sz w:val="21"/>
              </w:rPr>
            </w:pPr>
            <w:r>
              <w:rPr>
                <w:sz w:val="21"/>
              </w:rPr>
              <w:t>（九</w:t>
            </w:r>
            <w:r>
              <w:rPr>
                <w:spacing w:val="-13"/>
                <w:sz w:val="21"/>
              </w:rPr>
              <w:t>）</w:t>
            </w:r>
            <w:r>
              <w:rPr>
                <w:spacing w:val="-5"/>
                <w:sz w:val="21"/>
              </w:rPr>
              <w:t xml:space="preserve">未有不良外部信用 高级认证第 </w:t>
            </w:r>
            <w:r>
              <w:rPr>
                <w:rFonts w:ascii="Times New Roman" w:eastAsia="Times New Roman"/>
                <w:sz w:val="21"/>
              </w:rPr>
              <w:t xml:space="preserve">23 </w:t>
            </w:r>
            <w:r>
              <w:rPr>
                <w:spacing w:val="-11"/>
                <w:sz w:val="21"/>
              </w:rPr>
              <w:t xml:space="preserve">项、低级认证第 </w:t>
            </w:r>
            <w:r>
              <w:rPr>
                <w:rFonts w:ascii="Times New Roman" w:eastAsia="Times New Roman"/>
                <w:sz w:val="21"/>
              </w:rPr>
              <w:t xml:space="preserve">20 </w:t>
            </w:r>
            <w:r>
              <w:rPr>
                <w:spacing w:val="-4"/>
                <w:sz w:val="21"/>
              </w:rPr>
              <w:t>项 外部信用 企业或者其法定代表人</w:t>
            </w:r>
            <w:r>
              <w:rPr>
                <w:sz w:val="21"/>
              </w:rPr>
              <w:t>（负责人</w:t>
            </w:r>
            <w:r>
              <w:rPr>
                <w:spacing w:val="-10"/>
                <w:sz w:val="21"/>
              </w:rPr>
              <w:t>）</w:t>
            </w:r>
            <w:r>
              <w:rPr>
                <w:spacing w:val="-7"/>
                <w:sz w:val="21"/>
              </w:rPr>
              <w:t xml:space="preserve">、负责关务的高级管理人员、财务负责人连续 </w:t>
            </w:r>
            <w:r>
              <w:rPr>
                <w:rFonts w:ascii="Times New Roman" w:eastAsia="Times New Roman"/>
                <w:sz w:val="21"/>
              </w:rPr>
              <w:t xml:space="preserve">1 </w:t>
            </w:r>
            <w:r>
              <w:rPr>
                <w:spacing w:val="-7"/>
                <w:sz w:val="21"/>
              </w:rPr>
              <w:t>年在工商、商务、税务、银行、外汇、检验检疫、公安检察院、法院等部门未被列入经营异常名录、失信企业或者人员名单、黑名单企业、人员。</w:t>
            </w:r>
          </w:p>
          <w:p>
            <w:pPr>
              <w:pStyle w:val="8"/>
              <w:spacing w:before="4"/>
              <w:ind w:left="13"/>
              <w:rPr>
                <w:b/>
                <w:sz w:val="21"/>
              </w:rPr>
            </w:pPr>
            <w:r>
              <w:rPr>
                <w:b/>
                <w:sz w:val="21"/>
              </w:rPr>
              <w:t>《中华人民共和国海关企业信用管理暂行办法》</w:t>
            </w:r>
          </w:p>
          <w:p>
            <w:pPr>
              <w:pStyle w:val="8"/>
              <w:spacing w:before="91"/>
              <w:ind w:left="433"/>
              <w:rPr>
                <w:sz w:val="21"/>
              </w:rPr>
            </w:pPr>
            <w:r>
              <w:rPr>
                <w:sz w:val="21"/>
              </w:rPr>
              <w:t>第十条 企业有下列情形之一的，海关认定为失信企业：</w:t>
            </w:r>
          </w:p>
        </w:tc>
        <w:tc>
          <w:tcPr>
            <w:tcW w:w="1979" w:type="dxa"/>
          </w:tcPr>
          <w:p>
            <w:pPr>
              <w:pStyle w:val="8"/>
              <w:rPr>
                <w:rFonts w:ascii="Times New Roman"/>
                <w:sz w:val="20"/>
              </w:rPr>
            </w:pPr>
          </w:p>
          <w:p>
            <w:pPr>
              <w:pStyle w:val="8"/>
              <w:rPr>
                <w:rFonts w:ascii="Times New Roman"/>
                <w:sz w:val="20"/>
              </w:rPr>
            </w:pPr>
          </w:p>
          <w:p>
            <w:pPr>
              <w:pStyle w:val="8"/>
              <w:spacing w:before="9"/>
              <w:rPr>
                <w:rFonts w:ascii="Times New Roman"/>
                <w:sz w:val="27"/>
              </w:rPr>
            </w:pPr>
          </w:p>
          <w:p>
            <w:pPr>
              <w:pStyle w:val="8"/>
              <w:spacing w:line="225" w:lineRule="exact"/>
              <w:ind w:left="-122"/>
              <w:rPr>
                <w:sz w:val="21"/>
              </w:rPr>
            </w:pPr>
            <w:r>
              <w:rPr>
                <w:w w:val="99"/>
                <w:sz w:val="21"/>
              </w:rPr>
              <w:t>、</w:t>
            </w:r>
          </w:p>
          <w:p>
            <w:pPr>
              <w:pStyle w:val="8"/>
              <w:spacing w:line="225" w:lineRule="exact"/>
              <w:ind w:left="567"/>
              <w:rPr>
                <w:sz w:val="21"/>
              </w:rPr>
            </w:pPr>
            <w:r>
              <w:rPr>
                <w:sz w:val="21"/>
              </w:rPr>
              <w:t>海关总署</w:t>
            </w:r>
          </w:p>
        </w:tc>
      </w:tr>
    </w:tbl>
    <w:p>
      <w:pPr>
        <w:spacing w:after="0" w:line="225" w:lineRule="exact"/>
        <w:rPr>
          <w:sz w:val="21"/>
        </w:rPr>
        <w:sectPr>
          <w:pgSz w:w="16840" w:h="11910" w:orient="landscape"/>
          <w:pgMar w:top="1100" w:right="960" w:bottom="1160" w:left="1700" w:header="0" w:footer="979" w:gutter="0"/>
        </w:sectPr>
      </w:pPr>
    </w:p>
    <w:p>
      <w:pPr>
        <w:pStyle w:val="3"/>
        <w:rPr>
          <w:rFonts w:ascii="Times New Roman"/>
          <w:sz w:val="29"/>
        </w:rPr>
      </w:pPr>
    </w:p>
    <w:tbl>
      <w:tblPr>
        <w:tblStyle w:val="4"/>
        <w:tblW w:w="0" w:type="auto"/>
        <w:tblInd w:w="34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43"/>
        <w:gridCol w:w="9915"/>
        <w:gridCol w:w="197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 w:hRule="atLeast"/>
        </w:trPr>
        <w:tc>
          <w:tcPr>
            <w:tcW w:w="1743" w:type="dxa"/>
          </w:tcPr>
          <w:p>
            <w:pPr>
              <w:pStyle w:val="8"/>
              <w:spacing w:before="63" w:line="438" w:lineRule="exact"/>
              <w:ind w:left="271"/>
              <w:rPr>
                <w:rFonts w:hint="eastAsia" w:ascii="Arial Unicode MS" w:eastAsia="Arial Unicode MS"/>
                <w:sz w:val="30"/>
              </w:rPr>
            </w:pPr>
            <w:r>
              <w:rPr>
                <w:rFonts w:hint="eastAsia" w:ascii="Arial Unicode MS" w:eastAsia="Arial Unicode MS"/>
                <w:sz w:val="30"/>
              </w:rPr>
              <w:t>惩戒措施</w:t>
            </w:r>
          </w:p>
        </w:tc>
        <w:tc>
          <w:tcPr>
            <w:tcW w:w="9915" w:type="dxa"/>
          </w:tcPr>
          <w:p>
            <w:pPr>
              <w:pStyle w:val="8"/>
              <w:spacing w:line="502" w:lineRule="exact"/>
              <w:ind w:left="3886" w:right="3878"/>
              <w:jc w:val="center"/>
              <w:rPr>
                <w:rFonts w:hint="eastAsia" w:ascii="Arial Unicode MS" w:eastAsia="Arial Unicode MS"/>
                <w:sz w:val="30"/>
              </w:rPr>
            </w:pPr>
            <w:r>
              <w:rPr>
                <w:rFonts w:hint="eastAsia" w:ascii="Arial Unicode MS" w:eastAsia="Arial Unicode MS"/>
                <w:sz w:val="30"/>
              </w:rPr>
              <w:t>法律及政策依据</w:t>
            </w:r>
          </w:p>
        </w:tc>
        <w:tc>
          <w:tcPr>
            <w:tcW w:w="1979" w:type="dxa"/>
          </w:tcPr>
          <w:p>
            <w:pPr>
              <w:pStyle w:val="8"/>
              <w:spacing w:line="502" w:lineRule="exact"/>
              <w:ind w:left="387"/>
              <w:rPr>
                <w:rFonts w:hint="eastAsia" w:ascii="Arial Unicode MS" w:eastAsia="Arial Unicode MS"/>
                <w:sz w:val="30"/>
              </w:rPr>
            </w:pPr>
            <w:r>
              <w:rPr>
                <w:rFonts w:hint="eastAsia" w:ascii="Arial Unicode MS" w:eastAsia="Arial Unicode MS"/>
                <w:sz w:val="30"/>
              </w:rPr>
              <w:t>实施部门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09" w:hRule="atLeast"/>
        </w:trPr>
        <w:tc>
          <w:tcPr>
            <w:tcW w:w="1743" w:type="dxa"/>
          </w:tcPr>
          <w:p>
            <w:pPr>
              <w:pStyle w:val="8"/>
              <w:spacing w:before="58"/>
              <w:ind w:left="14"/>
              <w:rPr>
                <w:sz w:val="21"/>
              </w:rPr>
            </w:pPr>
            <w:r>
              <w:rPr>
                <w:sz w:val="21"/>
              </w:rPr>
              <w:t>信用等级。</w:t>
            </w:r>
          </w:p>
        </w:tc>
        <w:tc>
          <w:tcPr>
            <w:tcW w:w="9915" w:type="dxa"/>
          </w:tcPr>
          <w:p>
            <w:pPr>
              <w:pStyle w:val="8"/>
              <w:spacing w:before="60"/>
              <w:ind w:left="433"/>
              <w:rPr>
                <w:sz w:val="21"/>
              </w:rPr>
            </w:pPr>
            <w:r>
              <w:rPr>
                <w:sz w:val="21"/>
              </w:rPr>
              <w:t>（一）有走私犯罪或者走私行为的；</w:t>
            </w:r>
          </w:p>
          <w:p>
            <w:pPr>
              <w:pStyle w:val="8"/>
              <w:spacing w:before="91"/>
              <w:ind w:left="433"/>
              <w:rPr>
                <w:sz w:val="21"/>
              </w:rPr>
            </w:pPr>
            <w:r>
              <w:rPr>
                <w:sz w:val="21"/>
              </w:rPr>
              <w:t>（二）</w:t>
            </w:r>
            <w:r>
              <w:rPr>
                <w:spacing w:val="-11"/>
                <w:sz w:val="21"/>
              </w:rPr>
              <w:t xml:space="preserve">非报关企业 </w:t>
            </w:r>
            <w:r>
              <w:rPr>
                <w:rFonts w:ascii="Times New Roman" w:eastAsia="Times New Roman"/>
                <w:sz w:val="21"/>
              </w:rPr>
              <w:t>1</w:t>
            </w:r>
            <w:r>
              <w:rPr>
                <w:rFonts w:ascii="Times New Roman" w:eastAsia="Times New Roman"/>
                <w:spacing w:val="-12"/>
                <w:sz w:val="21"/>
              </w:rPr>
              <w:t xml:space="preserve"> </w:t>
            </w:r>
            <w:r>
              <w:rPr>
                <w:sz w:val="21"/>
              </w:rPr>
              <w:t>年内违反海关监管规定行为次数超过上年度报关单、进出境备案清单等相关单证总</w:t>
            </w:r>
          </w:p>
          <w:p>
            <w:pPr>
              <w:pStyle w:val="8"/>
              <w:spacing w:before="91"/>
              <w:ind w:left="13"/>
              <w:rPr>
                <w:sz w:val="21"/>
              </w:rPr>
            </w:pPr>
            <w:r>
              <w:rPr>
                <w:spacing w:val="-3"/>
                <w:sz w:val="21"/>
              </w:rPr>
              <w:t xml:space="preserve">票数千分之一且被海关行政处罚金额超过 </w:t>
            </w:r>
            <w:r>
              <w:rPr>
                <w:rFonts w:ascii="Times New Roman" w:eastAsia="Times New Roman"/>
                <w:sz w:val="21"/>
              </w:rPr>
              <w:t>10</w:t>
            </w:r>
            <w:r>
              <w:rPr>
                <w:rFonts w:ascii="Times New Roman" w:eastAsia="Times New Roman"/>
                <w:spacing w:val="-6"/>
                <w:sz w:val="21"/>
              </w:rPr>
              <w:t xml:space="preserve"> </w:t>
            </w:r>
            <w:r>
              <w:rPr>
                <w:spacing w:val="-8"/>
                <w:sz w:val="21"/>
              </w:rPr>
              <w:t xml:space="preserve">万元的违规行为 </w:t>
            </w:r>
            <w:r>
              <w:rPr>
                <w:rFonts w:ascii="Times New Roman" w:eastAsia="Times New Roman"/>
                <w:sz w:val="21"/>
              </w:rPr>
              <w:t>2</w:t>
            </w:r>
            <w:r>
              <w:rPr>
                <w:rFonts w:ascii="Times New Roman" w:eastAsia="Times New Roman"/>
                <w:spacing w:val="-6"/>
                <w:sz w:val="21"/>
              </w:rPr>
              <w:t xml:space="preserve"> </w:t>
            </w:r>
            <w:r>
              <w:rPr>
                <w:spacing w:val="-10"/>
                <w:sz w:val="21"/>
              </w:rPr>
              <w:t>次以上的，或者被海关行政处罚金额累计超过</w:t>
            </w:r>
          </w:p>
          <w:p>
            <w:pPr>
              <w:pStyle w:val="8"/>
              <w:spacing w:before="91"/>
              <w:ind w:left="13"/>
              <w:rPr>
                <w:sz w:val="21"/>
              </w:rPr>
            </w:pPr>
            <w:r>
              <w:rPr>
                <w:rFonts w:ascii="Times New Roman" w:eastAsia="Times New Roman"/>
                <w:sz w:val="21"/>
              </w:rPr>
              <w:t xml:space="preserve">100 </w:t>
            </w:r>
            <w:r>
              <w:rPr>
                <w:sz w:val="21"/>
              </w:rPr>
              <w:t>万元的；</w:t>
            </w:r>
          </w:p>
          <w:p>
            <w:pPr>
              <w:pStyle w:val="8"/>
              <w:spacing w:before="91"/>
              <w:ind w:left="433"/>
              <w:rPr>
                <w:sz w:val="21"/>
              </w:rPr>
            </w:pPr>
            <w:r>
              <w:rPr>
                <w:spacing w:val="-12"/>
                <w:sz w:val="21"/>
              </w:rPr>
              <w:t xml:space="preserve">报关企业 </w:t>
            </w:r>
            <w:r>
              <w:rPr>
                <w:rFonts w:ascii="Times New Roman" w:eastAsia="Times New Roman"/>
                <w:sz w:val="21"/>
              </w:rPr>
              <w:t xml:space="preserve">1 </w:t>
            </w:r>
            <w:r>
              <w:rPr>
                <w:sz w:val="21"/>
              </w:rPr>
              <w:t>年内违反海关监管规定行为次数超过上年度报关单、进出境备案清单总票数万分之五的，或</w:t>
            </w:r>
          </w:p>
          <w:p>
            <w:pPr>
              <w:pStyle w:val="8"/>
              <w:spacing w:before="91"/>
              <w:ind w:left="13"/>
              <w:rPr>
                <w:sz w:val="21"/>
              </w:rPr>
            </w:pPr>
            <w:r>
              <w:rPr>
                <w:sz w:val="21"/>
              </w:rPr>
              <w:t xml:space="preserve">者被海关行政处罚金额累计超过 </w:t>
            </w:r>
            <w:r>
              <w:rPr>
                <w:rFonts w:ascii="Times New Roman" w:eastAsia="Times New Roman"/>
                <w:sz w:val="21"/>
              </w:rPr>
              <w:t xml:space="preserve">10 </w:t>
            </w:r>
            <w:r>
              <w:rPr>
                <w:sz w:val="21"/>
              </w:rPr>
              <w:t>万元的；</w:t>
            </w:r>
          </w:p>
          <w:p>
            <w:pPr>
              <w:pStyle w:val="8"/>
              <w:spacing w:before="91"/>
              <w:ind w:left="433"/>
              <w:rPr>
                <w:sz w:val="21"/>
              </w:rPr>
            </w:pPr>
            <w:r>
              <w:rPr>
                <w:sz w:val="21"/>
              </w:rPr>
              <w:t>（三）拖欠应缴税款、应缴罚没款项的；</w:t>
            </w:r>
          </w:p>
          <w:p>
            <w:pPr>
              <w:pStyle w:val="8"/>
              <w:spacing w:before="91"/>
              <w:ind w:left="433"/>
              <w:rPr>
                <w:sz w:val="21"/>
              </w:rPr>
            </w:pPr>
            <w:r>
              <w:rPr>
                <w:sz w:val="21"/>
              </w:rPr>
              <w:t xml:space="preserve">（四）上一季度报关差错率高于同期全国平均报关差错率 </w:t>
            </w:r>
            <w:r>
              <w:rPr>
                <w:rFonts w:ascii="Times New Roman" w:eastAsia="Times New Roman"/>
                <w:sz w:val="21"/>
              </w:rPr>
              <w:t xml:space="preserve">1 </w:t>
            </w:r>
            <w:r>
              <w:rPr>
                <w:sz w:val="21"/>
              </w:rPr>
              <w:t>倍以上的；</w:t>
            </w:r>
          </w:p>
          <w:p>
            <w:pPr>
              <w:pStyle w:val="8"/>
              <w:spacing w:before="91"/>
              <w:ind w:left="433"/>
              <w:rPr>
                <w:sz w:val="21"/>
              </w:rPr>
            </w:pPr>
            <w:r>
              <w:rPr>
                <w:sz w:val="21"/>
              </w:rPr>
              <w:t>（五）经过实地查看，确认企业登记的信息失实且无法与企业取得联系的；</w:t>
            </w:r>
          </w:p>
          <w:p>
            <w:pPr>
              <w:pStyle w:val="8"/>
              <w:spacing w:before="91"/>
              <w:ind w:left="433"/>
              <w:rPr>
                <w:sz w:val="21"/>
              </w:rPr>
            </w:pPr>
            <w:r>
              <w:rPr>
                <w:sz w:val="21"/>
              </w:rPr>
              <w:t>（六）被海关依法暂停从事报关业务的；</w:t>
            </w:r>
          </w:p>
          <w:p>
            <w:pPr>
              <w:pStyle w:val="8"/>
              <w:spacing w:before="90"/>
              <w:ind w:left="433"/>
              <w:rPr>
                <w:sz w:val="21"/>
              </w:rPr>
            </w:pPr>
            <w:r>
              <w:rPr>
                <w:sz w:val="21"/>
              </w:rPr>
              <w:t>（七）涉嫌走私、违反海关监管规定拒不配合海关进行调查的；</w:t>
            </w:r>
          </w:p>
          <w:p>
            <w:pPr>
              <w:pStyle w:val="8"/>
              <w:spacing w:before="91"/>
              <w:ind w:left="433"/>
              <w:rPr>
                <w:sz w:val="21"/>
              </w:rPr>
            </w:pPr>
            <w:r>
              <w:rPr>
                <w:sz w:val="21"/>
              </w:rPr>
              <w:t>（八）假借海关或者其他企业名义获取不当利益的；</w:t>
            </w:r>
          </w:p>
          <w:p>
            <w:pPr>
              <w:pStyle w:val="8"/>
              <w:spacing w:before="91"/>
              <w:ind w:left="433"/>
              <w:rPr>
                <w:sz w:val="21"/>
              </w:rPr>
            </w:pPr>
            <w:r>
              <w:rPr>
                <w:w w:val="95"/>
                <w:sz w:val="21"/>
              </w:rPr>
              <w:t>（九）弄虚作假、伪造企业信用信息的；</w:t>
            </w:r>
          </w:p>
          <w:p>
            <w:pPr>
              <w:pStyle w:val="8"/>
              <w:spacing w:before="91"/>
              <w:ind w:left="433"/>
              <w:rPr>
                <w:sz w:val="21"/>
              </w:rPr>
            </w:pPr>
            <w:r>
              <w:rPr>
                <w:w w:val="95"/>
                <w:sz w:val="21"/>
              </w:rPr>
              <w:t>（十）其他海关认定为失信企业的情形。</w:t>
            </w:r>
          </w:p>
          <w:p>
            <w:pPr>
              <w:pStyle w:val="8"/>
              <w:spacing w:before="91"/>
              <w:ind w:left="433"/>
              <w:rPr>
                <w:sz w:val="21"/>
              </w:rPr>
            </w:pPr>
            <w:r>
              <w:rPr>
                <w:sz w:val="21"/>
              </w:rPr>
              <w:t>第十四条 企业有下列情形之一的，海关应当终止认证：</w:t>
            </w:r>
          </w:p>
          <w:p>
            <w:pPr>
              <w:pStyle w:val="8"/>
              <w:spacing w:before="91"/>
              <w:ind w:left="433"/>
              <w:rPr>
                <w:sz w:val="21"/>
              </w:rPr>
            </w:pPr>
            <w:r>
              <w:rPr>
                <w:sz w:val="21"/>
              </w:rPr>
              <w:t>（一）发生涉嫌走私或者违反海关监管规定的行为被海关立案侦查或者调查的；</w:t>
            </w:r>
          </w:p>
          <w:p>
            <w:pPr>
              <w:pStyle w:val="8"/>
              <w:spacing w:before="91"/>
              <w:ind w:left="433"/>
              <w:rPr>
                <w:sz w:val="21"/>
              </w:rPr>
            </w:pPr>
            <w:r>
              <w:rPr>
                <w:sz w:val="21"/>
              </w:rPr>
              <w:t>（二）主动撤回认证申请的；</w:t>
            </w:r>
          </w:p>
          <w:p>
            <w:pPr>
              <w:pStyle w:val="8"/>
              <w:spacing w:before="91"/>
              <w:ind w:left="433"/>
              <w:rPr>
                <w:sz w:val="21"/>
              </w:rPr>
            </w:pPr>
            <w:r>
              <w:rPr>
                <w:sz w:val="21"/>
              </w:rPr>
              <w:t>（三）其他应当终止认证的情形。</w:t>
            </w:r>
          </w:p>
        </w:tc>
        <w:tc>
          <w:tcPr>
            <w:tcW w:w="1979" w:type="dxa"/>
          </w:tcPr>
          <w:p>
            <w:pPr>
              <w:pStyle w:val="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28" w:hRule="atLeast"/>
        </w:trPr>
        <w:tc>
          <w:tcPr>
            <w:tcW w:w="1743" w:type="dxa"/>
          </w:tcPr>
          <w:p>
            <w:pPr>
              <w:pStyle w:val="8"/>
              <w:spacing w:before="6"/>
              <w:rPr>
                <w:rFonts w:ascii="Times New Roman"/>
                <w:sz w:val="20"/>
              </w:rPr>
            </w:pPr>
          </w:p>
          <w:p>
            <w:pPr>
              <w:pStyle w:val="8"/>
              <w:spacing w:line="321" w:lineRule="auto"/>
              <w:ind w:left="14" w:right="2"/>
              <w:jc w:val="both"/>
              <w:rPr>
                <w:sz w:val="21"/>
              </w:rPr>
            </w:pPr>
            <w:r>
              <w:rPr>
                <w:rFonts w:ascii="Times New Roman" w:eastAsia="Times New Roman"/>
                <w:sz w:val="21"/>
              </w:rPr>
              <w:t xml:space="preserve">23. </w:t>
            </w:r>
            <w:r>
              <w:rPr>
                <w:position w:val="1"/>
                <w:sz w:val="21"/>
              </w:rPr>
              <w:t>依法限制参与</w:t>
            </w:r>
            <w:r>
              <w:rPr>
                <w:sz w:val="21"/>
              </w:rPr>
              <w:t>依法必须招标的工程建设项目招投标活动。</w:t>
            </w:r>
          </w:p>
        </w:tc>
        <w:tc>
          <w:tcPr>
            <w:tcW w:w="9915" w:type="dxa"/>
          </w:tcPr>
          <w:p>
            <w:pPr>
              <w:pStyle w:val="8"/>
              <w:spacing w:before="61"/>
              <w:ind w:left="13"/>
              <w:jc w:val="both"/>
              <w:rPr>
                <w:b/>
                <w:sz w:val="21"/>
              </w:rPr>
            </w:pPr>
            <w:r>
              <w:rPr>
                <w:b/>
                <w:sz w:val="21"/>
              </w:rPr>
              <w:t xml:space="preserve">《企业信息公示暂行条例》（国务院令第 </w:t>
            </w:r>
            <w:r>
              <w:rPr>
                <w:rFonts w:ascii="Times New Roman" w:eastAsia="Times New Roman"/>
                <w:b/>
                <w:sz w:val="21"/>
              </w:rPr>
              <w:t xml:space="preserve">654 </w:t>
            </w:r>
            <w:r>
              <w:rPr>
                <w:b/>
                <w:sz w:val="21"/>
              </w:rPr>
              <w:t>号）</w:t>
            </w:r>
          </w:p>
          <w:p>
            <w:pPr>
              <w:pStyle w:val="8"/>
              <w:spacing w:before="91" w:line="321" w:lineRule="auto"/>
              <w:ind w:left="13" w:right="-29" w:firstLine="420"/>
              <w:jc w:val="both"/>
              <w:rPr>
                <w:sz w:val="21"/>
              </w:rPr>
            </w:pPr>
            <w:r>
              <w:rPr>
                <w:spacing w:val="-6"/>
                <w:sz w:val="21"/>
              </w:rPr>
              <w:t>第十八条 县级以上地方人民政府及其有关部门应当建立健全信用约束机制，在政府采购、工程招投标、</w:t>
            </w:r>
            <w:r>
              <w:rPr>
                <w:sz w:val="21"/>
              </w:rPr>
              <w:t>国有土地出让、授予荣誉称号等工作中，将企业信息作为重要考量因素，对被列入经营异常名录或者严重违法企业名单的企业依法予以限制或者禁入。</w:t>
            </w:r>
          </w:p>
          <w:p>
            <w:pPr>
              <w:pStyle w:val="8"/>
              <w:spacing w:line="267" w:lineRule="exact"/>
              <w:ind w:left="13" w:right="-29"/>
              <w:rPr>
                <w:b/>
                <w:sz w:val="21"/>
              </w:rPr>
            </w:pPr>
            <w:r>
              <w:rPr>
                <w:b/>
                <w:spacing w:val="-2"/>
                <w:w w:val="95"/>
                <w:sz w:val="21"/>
              </w:rPr>
              <w:t>《国务院关于建立完善守信联合激励和失信联合惩戒制度加快推进社会诚信建设的指导意见》</w:t>
            </w:r>
            <w:r>
              <w:rPr>
                <w:b/>
                <w:w w:val="95"/>
                <w:sz w:val="21"/>
              </w:rPr>
              <w:t>（</w:t>
            </w:r>
            <w:r>
              <w:rPr>
                <w:b/>
                <w:spacing w:val="-14"/>
                <w:w w:val="95"/>
                <w:sz w:val="21"/>
              </w:rPr>
              <w:t>国发〔</w:t>
            </w:r>
            <w:r>
              <w:rPr>
                <w:rFonts w:ascii="Times New Roman" w:eastAsia="Times New Roman"/>
                <w:b/>
                <w:w w:val="95"/>
                <w:sz w:val="21"/>
              </w:rPr>
              <w:t>2016</w:t>
            </w:r>
            <w:r>
              <w:rPr>
                <w:b/>
                <w:spacing w:val="-73"/>
                <w:w w:val="95"/>
                <w:sz w:val="21"/>
              </w:rPr>
              <w:t>〕</w:t>
            </w:r>
          </w:p>
        </w:tc>
        <w:tc>
          <w:tcPr>
            <w:tcW w:w="1979" w:type="dxa"/>
          </w:tcPr>
          <w:p>
            <w:pPr>
              <w:pStyle w:val="8"/>
              <w:spacing w:before="61" w:line="321" w:lineRule="auto"/>
              <w:ind w:left="15" w:right="2"/>
              <w:jc w:val="both"/>
              <w:rPr>
                <w:sz w:val="21"/>
              </w:rPr>
            </w:pPr>
            <w:r>
              <w:rPr>
                <w:spacing w:val="4"/>
                <w:sz w:val="21"/>
              </w:rPr>
              <w:t>国家发展改革委、工业和信息化部、住房城乡建设部、交通运</w:t>
            </w:r>
            <w:r>
              <w:rPr>
                <w:spacing w:val="4"/>
                <w:w w:val="95"/>
                <w:sz w:val="21"/>
              </w:rPr>
              <w:t>输部、水利部、商务</w:t>
            </w:r>
          </w:p>
          <w:p>
            <w:pPr>
              <w:pStyle w:val="8"/>
              <w:spacing w:line="267" w:lineRule="exact"/>
              <w:ind w:left="15"/>
              <w:rPr>
                <w:sz w:val="21"/>
              </w:rPr>
            </w:pPr>
            <w:r>
              <w:rPr>
                <w:spacing w:val="4"/>
                <w:w w:val="95"/>
                <w:sz w:val="21"/>
              </w:rPr>
              <w:t>部、市场监管总局、</w:t>
            </w:r>
          </w:p>
        </w:tc>
      </w:tr>
    </w:tbl>
    <w:p>
      <w:pPr>
        <w:spacing w:after="0" w:line="267" w:lineRule="exact"/>
        <w:rPr>
          <w:sz w:val="21"/>
        </w:rPr>
        <w:sectPr>
          <w:pgSz w:w="16840" w:h="11910" w:orient="landscape"/>
          <w:pgMar w:top="1100" w:right="960" w:bottom="1160" w:left="1700" w:header="0" w:footer="979" w:gutter="0"/>
        </w:sectPr>
      </w:pPr>
    </w:p>
    <w:p>
      <w:pPr>
        <w:pStyle w:val="3"/>
        <w:rPr>
          <w:rFonts w:ascii="Times New Roman"/>
          <w:sz w:val="29"/>
        </w:rPr>
      </w:pPr>
    </w:p>
    <w:tbl>
      <w:tblPr>
        <w:tblStyle w:val="4"/>
        <w:tblW w:w="0" w:type="auto"/>
        <w:tblInd w:w="34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43"/>
        <w:gridCol w:w="9915"/>
        <w:gridCol w:w="197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 w:hRule="atLeast"/>
        </w:trPr>
        <w:tc>
          <w:tcPr>
            <w:tcW w:w="1743" w:type="dxa"/>
          </w:tcPr>
          <w:p>
            <w:pPr>
              <w:pStyle w:val="8"/>
              <w:spacing w:before="63" w:line="438" w:lineRule="exact"/>
              <w:ind w:left="271"/>
              <w:rPr>
                <w:rFonts w:hint="eastAsia" w:ascii="Arial Unicode MS" w:eastAsia="Arial Unicode MS"/>
                <w:sz w:val="30"/>
              </w:rPr>
            </w:pPr>
            <w:r>
              <w:rPr>
                <w:rFonts w:hint="eastAsia" w:ascii="Arial Unicode MS" w:eastAsia="Arial Unicode MS"/>
                <w:sz w:val="30"/>
              </w:rPr>
              <w:t>惩戒措施</w:t>
            </w:r>
          </w:p>
        </w:tc>
        <w:tc>
          <w:tcPr>
            <w:tcW w:w="9915" w:type="dxa"/>
          </w:tcPr>
          <w:p>
            <w:pPr>
              <w:pStyle w:val="8"/>
              <w:spacing w:line="502" w:lineRule="exact"/>
              <w:ind w:left="3886" w:right="3878"/>
              <w:jc w:val="center"/>
              <w:rPr>
                <w:rFonts w:hint="eastAsia" w:ascii="Arial Unicode MS" w:eastAsia="Arial Unicode MS"/>
                <w:sz w:val="30"/>
              </w:rPr>
            </w:pPr>
            <w:r>
              <w:rPr>
                <w:rFonts w:hint="eastAsia" w:ascii="Arial Unicode MS" w:eastAsia="Arial Unicode MS"/>
                <w:sz w:val="30"/>
              </w:rPr>
              <w:t>法律及政策依据</w:t>
            </w:r>
          </w:p>
        </w:tc>
        <w:tc>
          <w:tcPr>
            <w:tcW w:w="1979" w:type="dxa"/>
          </w:tcPr>
          <w:p>
            <w:pPr>
              <w:pStyle w:val="8"/>
              <w:spacing w:line="502" w:lineRule="exact"/>
              <w:ind w:left="387"/>
              <w:rPr>
                <w:rFonts w:hint="eastAsia" w:ascii="Arial Unicode MS" w:eastAsia="Arial Unicode MS"/>
                <w:sz w:val="30"/>
              </w:rPr>
            </w:pPr>
            <w:r>
              <w:rPr>
                <w:rFonts w:hint="eastAsia" w:ascii="Arial Unicode MS" w:eastAsia="Arial Unicode MS"/>
                <w:sz w:val="30"/>
              </w:rPr>
              <w:t>实施部门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08" w:hRule="atLeast"/>
        </w:trPr>
        <w:tc>
          <w:tcPr>
            <w:tcW w:w="1743" w:type="dxa"/>
          </w:tcPr>
          <w:p>
            <w:pPr>
              <w:pStyle w:val="8"/>
              <w:rPr>
                <w:rFonts w:ascii="Times New Roman"/>
                <w:sz w:val="20"/>
              </w:rPr>
            </w:pPr>
          </w:p>
        </w:tc>
        <w:tc>
          <w:tcPr>
            <w:tcW w:w="9915" w:type="dxa"/>
          </w:tcPr>
          <w:p>
            <w:pPr>
              <w:pStyle w:val="8"/>
              <w:spacing w:before="60"/>
              <w:ind w:left="13"/>
              <w:jc w:val="both"/>
              <w:rPr>
                <w:b/>
                <w:sz w:val="21"/>
              </w:rPr>
            </w:pPr>
            <w:r>
              <w:rPr>
                <w:rFonts w:ascii="Times New Roman" w:eastAsia="Times New Roman"/>
                <w:b/>
                <w:sz w:val="21"/>
              </w:rPr>
              <w:t xml:space="preserve">33 </w:t>
            </w:r>
            <w:r>
              <w:rPr>
                <w:b/>
                <w:sz w:val="21"/>
              </w:rPr>
              <w:t>号）</w:t>
            </w:r>
          </w:p>
          <w:p>
            <w:pPr>
              <w:pStyle w:val="8"/>
              <w:spacing w:before="91" w:line="321" w:lineRule="auto"/>
              <w:ind w:left="13" w:right="5" w:firstLine="309"/>
              <w:jc w:val="both"/>
              <w:rPr>
                <w:sz w:val="21"/>
              </w:rPr>
            </w:pPr>
            <w:r>
              <w:rPr>
                <w:w w:val="95"/>
                <w:sz w:val="21"/>
              </w:rPr>
              <w:t>（十</w:t>
            </w:r>
            <w:r>
              <w:rPr>
                <w:spacing w:val="-20"/>
                <w:w w:val="95"/>
                <w:sz w:val="21"/>
              </w:rPr>
              <w:t>）</w:t>
            </w:r>
            <w:r>
              <w:rPr>
                <w:spacing w:val="-3"/>
                <w:w w:val="95"/>
                <w:sz w:val="21"/>
              </w:rPr>
              <w:t>依法依规加强对失信行为的行政性约束和惩戒。对严重失信主体，各地区、各有关部门应将其列为</w:t>
            </w:r>
            <w:r>
              <w:rPr>
                <w:spacing w:val="-3"/>
                <w:sz w:val="21"/>
              </w:rPr>
              <w:t>重点监管对象，依法依规采取行政性约束和惩戒措施。从严审核行政许可审批项目，从严控制生产许可证发放，限制新增项目审批、核准，限制股票发行上市融资或发行债券，限制在全国股份转让系统挂牌、融资，限制发起设立或参股金融机构以及小额贷款公司、融资担保公司、创业投资公司、互联网融资平台等机构，限制从事互联网信息服务等。严格限制申请财政性资金项目，限制参与有关公共资源交易活动，限制参与基础设施和公用事业特许经营。对严重失信企业及其法定代表人、主要负责人和对失信行为负有直接责任的注册执业人员等实施市场和行业禁入措施。及时撤销严重失信企业及其法定代表人、负责人、高级管理人员和对失信行为负有直接责任的董事、股东等人员的荣誉称号，取消参加评先评优资格。</w:t>
            </w:r>
          </w:p>
          <w:p>
            <w:pPr>
              <w:pStyle w:val="8"/>
              <w:spacing w:line="265" w:lineRule="exact"/>
              <w:ind w:left="13"/>
              <w:jc w:val="both"/>
              <w:rPr>
                <w:b/>
                <w:sz w:val="21"/>
              </w:rPr>
            </w:pPr>
            <w:r>
              <w:rPr>
                <w:b/>
                <w:sz w:val="21"/>
              </w:rPr>
              <w:t>《国务院办公厅关于运用大数据加强对市场主体服务和监管的若干意见》（国办发〔</w:t>
            </w:r>
            <w:r>
              <w:rPr>
                <w:rFonts w:ascii="Times New Roman" w:eastAsia="Times New Roman"/>
                <w:b/>
                <w:sz w:val="21"/>
              </w:rPr>
              <w:t>2015</w:t>
            </w:r>
            <w:r>
              <w:rPr>
                <w:b/>
                <w:sz w:val="21"/>
              </w:rPr>
              <w:t>〕</w:t>
            </w:r>
            <w:r>
              <w:rPr>
                <w:rFonts w:ascii="Times New Roman" w:eastAsia="Times New Roman"/>
                <w:b/>
                <w:sz w:val="21"/>
              </w:rPr>
              <w:t xml:space="preserve">51 </w:t>
            </w:r>
            <w:r>
              <w:rPr>
                <w:b/>
                <w:sz w:val="21"/>
              </w:rPr>
              <w:t>号）</w:t>
            </w:r>
          </w:p>
          <w:p>
            <w:pPr>
              <w:pStyle w:val="8"/>
              <w:spacing w:before="91" w:line="321" w:lineRule="auto"/>
              <w:ind w:left="13" w:right="3" w:firstLine="309"/>
              <w:rPr>
                <w:sz w:val="21"/>
              </w:rPr>
            </w:pPr>
            <w:r>
              <w:rPr>
                <w:w w:val="95"/>
                <w:sz w:val="21"/>
              </w:rPr>
              <w:t>（十三</w:t>
            </w:r>
            <w:r>
              <w:rPr>
                <w:spacing w:val="-41"/>
                <w:w w:val="95"/>
                <w:sz w:val="21"/>
              </w:rPr>
              <w:t>）</w:t>
            </w:r>
            <w:r>
              <w:rPr>
                <w:spacing w:val="-4"/>
                <w:w w:val="95"/>
                <w:sz w:val="21"/>
              </w:rPr>
              <w:t>建立健全失信联合惩戒机制。各级人民政府应将使用信用信息和信用报告嵌入行政管理和公共服</w:t>
            </w:r>
            <w:r>
              <w:rPr>
                <w:spacing w:val="-4"/>
                <w:sz w:val="21"/>
              </w:rPr>
              <w:t>务的各领域、各环节，作为必要条件或重要参考依据。充分发挥行政、司法、金融、社会等领域的综合监管效能，在市场准入、行政审批、资质认定、享受财政补贴和税收优惠政策、企业法定代表人和负责人任职资</w:t>
            </w:r>
            <w:r>
              <w:rPr>
                <w:spacing w:val="-10"/>
                <w:sz w:val="21"/>
              </w:rPr>
              <w:t>格审查、政府采购、政府购买服务、银行信贷、招标投标、国有土地出让、企业上市、货物通关、税收征缴</w:t>
            </w:r>
            <w:r>
              <w:rPr>
                <w:spacing w:val="-11"/>
                <w:sz w:val="21"/>
              </w:rPr>
              <w:t>社保缴费、外汇管理、劳动用工、价格制定、电子商务、产品质量、食品药品安全、消费品安全、知识产权</w:t>
            </w:r>
            <w:r>
              <w:rPr>
                <w:spacing w:val="-12"/>
                <w:sz w:val="21"/>
              </w:rPr>
              <w:t>环境保护、治安管理、人口管理、出入境管理、授予荣誉称号等方面，建立跨部门联动响应和失信约束机制对违法失信主体依法予以限制或禁入。建立各行业</w:t>
            </w:r>
            <w:r>
              <w:rPr>
                <w:rFonts w:ascii="Times New Roman" w:hAnsi="Times New Roman" w:eastAsia="Times New Roman"/>
                <w:spacing w:val="-12"/>
                <w:sz w:val="21"/>
              </w:rPr>
              <w:t>“</w:t>
            </w:r>
            <w:r>
              <w:rPr>
                <w:spacing w:val="-12"/>
                <w:sz w:val="21"/>
              </w:rPr>
              <w:t>黑名单</w:t>
            </w:r>
            <w:r>
              <w:rPr>
                <w:rFonts w:ascii="Times New Roman" w:hAnsi="Times New Roman" w:eastAsia="Times New Roman"/>
                <w:spacing w:val="-12"/>
                <w:sz w:val="21"/>
              </w:rPr>
              <w:t>”</w:t>
            </w:r>
            <w:r>
              <w:rPr>
                <w:spacing w:val="-12"/>
                <w:sz w:val="21"/>
              </w:rPr>
              <w:t>制度和市场退出机制。推动将申请人良好的信用状况作为各类行政许可的必备条件。</w:t>
            </w:r>
          </w:p>
          <w:p>
            <w:pPr>
              <w:pStyle w:val="8"/>
              <w:spacing w:line="265" w:lineRule="exact"/>
              <w:ind w:left="13"/>
              <w:rPr>
                <w:b/>
                <w:sz w:val="21"/>
              </w:rPr>
            </w:pPr>
            <w:r>
              <w:rPr>
                <w:b/>
                <w:sz w:val="21"/>
              </w:rPr>
              <w:t>《招标投标法实施条例》</w:t>
            </w:r>
          </w:p>
          <w:p>
            <w:pPr>
              <w:pStyle w:val="8"/>
              <w:spacing w:before="91" w:line="321" w:lineRule="auto"/>
              <w:ind w:left="13" w:right="5" w:firstLine="309"/>
              <w:jc w:val="both"/>
              <w:rPr>
                <w:sz w:val="21"/>
              </w:rPr>
            </w:pPr>
            <w:r>
              <w:rPr>
                <w:sz w:val="21"/>
              </w:rPr>
              <w:t>第六十八条 投标人以他人名义投标或者以其他方式弄虚作假骗取中标的，中标无效；构成犯罪的，依法追究刑事责任；尚不构成犯罪的，依照招标投标法第五十四条的规定处罚。依法必须进行招标的项目的投标人未中标的，对单位的罚款金额按照招标项目合同金额依照招标投标法规定的比例计算。</w:t>
            </w:r>
          </w:p>
          <w:p>
            <w:pPr>
              <w:pStyle w:val="8"/>
              <w:spacing w:line="267" w:lineRule="exact"/>
              <w:ind w:left="433"/>
              <w:rPr>
                <w:sz w:val="21"/>
              </w:rPr>
            </w:pPr>
            <w:r>
              <w:rPr>
                <w:sz w:val="21"/>
              </w:rPr>
              <w:t>投标人有下列行为之一的，属于招标投标法第五十四条规定的情节严重行为，由有关行政监督部门取消</w:t>
            </w:r>
          </w:p>
        </w:tc>
        <w:tc>
          <w:tcPr>
            <w:tcW w:w="1979" w:type="dxa"/>
          </w:tcPr>
          <w:p>
            <w:pPr>
              <w:pStyle w:val="8"/>
              <w:spacing w:before="60"/>
              <w:ind w:left="15"/>
              <w:rPr>
                <w:sz w:val="21"/>
              </w:rPr>
            </w:pPr>
            <w:r>
              <w:rPr>
                <w:sz w:val="21"/>
              </w:rPr>
              <w:t>民航局、铁路总公司</w:t>
            </w: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spacing w:before="7"/>
              <w:rPr>
                <w:rFonts w:ascii="Times New Roman"/>
                <w:sz w:val="23"/>
              </w:rPr>
            </w:pPr>
          </w:p>
          <w:p>
            <w:pPr>
              <w:pStyle w:val="8"/>
              <w:ind w:left="-122"/>
              <w:rPr>
                <w:sz w:val="21"/>
              </w:rPr>
            </w:pPr>
            <w:r>
              <w:rPr>
                <w:w w:val="99"/>
                <w:sz w:val="21"/>
              </w:rPr>
              <w:t>、</w:t>
            </w:r>
          </w:p>
          <w:p>
            <w:pPr>
              <w:pStyle w:val="8"/>
              <w:spacing w:before="91"/>
              <w:ind w:left="-122"/>
              <w:rPr>
                <w:sz w:val="21"/>
              </w:rPr>
            </w:pPr>
            <w:r>
              <w:rPr>
                <w:w w:val="99"/>
                <w:sz w:val="21"/>
              </w:rPr>
              <w:t>、</w:t>
            </w:r>
          </w:p>
          <w:p>
            <w:pPr>
              <w:pStyle w:val="8"/>
              <w:spacing w:before="91"/>
              <w:ind w:left="-122"/>
              <w:rPr>
                <w:sz w:val="21"/>
              </w:rPr>
            </w:pPr>
            <w:r>
              <w:rPr>
                <w:w w:val="99"/>
                <w:sz w:val="21"/>
              </w:rPr>
              <w:t>，</w:t>
            </w:r>
          </w:p>
        </w:tc>
      </w:tr>
    </w:tbl>
    <w:p>
      <w:pPr>
        <w:spacing w:after="0"/>
        <w:rPr>
          <w:sz w:val="21"/>
        </w:rPr>
        <w:sectPr>
          <w:pgSz w:w="16840" w:h="11910" w:orient="landscape"/>
          <w:pgMar w:top="1100" w:right="960" w:bottom="1160" w:left="1700" w:header="0" w:footer="979" w:gutter="0"/>
        </w:sectPr>
      </w:pPr>
    </w:p>
    <w:p>
      <w:pPr>
        <w:pStyle w:val="3"/>
        <w:rPr>
          <w:rFonts w:ascii="Times New Roman"/>
          <w:sz w:val="29"/>
        </w:rPr>
      </w:pPr>
    </w:p>
    <w:tbl>
      <w:tblPr>
        <w:tblStyle w:val="4"/>
        <w:tblW w:w="0" w:type="auto"/>
        <w:tblInd w:w="34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43"/>
        <w:gridCol w:w="9915"/>
        <w:gridCol w:w="197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 w:hRule="atLeast"/>
        </w:trPr>
        <w:tc>
          <w:tcPr>
            <w:tcW w:w="1743" w:type="dxa"/>
          </w:tcPr>
          <w:p>
            <w:pPr>
              <w:pStyle w:val="8"/>
              <w:spacing w:before="63" w:line="438" w:lineRule="exact"/>
              <w:ind w:left="271"/>
              <w:rPr>
                <w:rFonts w:hint="eastAsia" w:ascii="Arial Unicode MS" w:eastAsia="Arial Unicode MS"/>
                <w:sz w:val="30"/>
              </w:rPr>
            </w:pPr>
            <w:r>
              <w:rPr>
                <w:rFonts w:hint="eastAsia" w:ascii="Arial Unicode MS" w:eastAsia="Arial Unicode MS"/>
                <w:sz w:val="30"/>
              </w:rPr>
              <w:t>惩戒措施</w:t>
            </w:r>
          </w:p>
        </w:tc>
        <w:tc>
          <w:tcPr>
            <w:tcW w:w="9915" w:type="dxa"/>
          </w:tcPr>
          <w:p>
            <w:pPr>
              <w:pStyle w:val="8"/>
              <w:spacing w:line="502" w:lineRule="exact"/>
              <w:ind w:left="3886" w:right="3878"/>
              <w:jc w:val="center"/>
              <w:rPr>
                <w:rFonts w:hint="eastAsia" w:ascii="Arial Unicode MS" w:eastAsia="Arial Unicode MS"/>
                <w:sz w:val="30"/>
              </w:rPr>
            </w:pPr>
            <w:r>
              <w:rPr>
                <w:rFonts w:hint="eastAsia" w:ascii="Arial Unicode MS" w:eastAsia="Arial Unicode MS"/>
                <w:sz w:val="30"/>
              </w:rPr>
              <w:t>法律及政策依据</w:t>
            </w:r>
          </w:p>
        </w:tc>
        <w:tc>
          <w:tcPr>
            <w:tcW w:w="1979" w:type="dxa"/>
          </w:tcPr>
          <w:p>
            <w:pPr>
              <w:pStyle w:val="8"/>
              <w:spacing w:line="502" w:lineRule="exact"/>
              <w:ind w:left="387"/>
              <w:rPr>
                <w:rFonts w:hint="eastAsia" w:ascii="Arial Unicode MS" w:eastAsia="Arial Unicode MS"/>
                <w:sz w:val="30"/>
              </w:rPr>
            </w:pPr>
            <w:r>
              <w:rPr>
                <w:rFonts w:hint="eastAsia" w:ascii="Arial Unicode MS" w:eastAsia="Arial Unicode MS"/>
                <w:sz w:val="30"/>
              </w:rPr>
              <w:t>实施部门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9" w:hRule="atLeast"/>
        </w:trPr>
        <w:tc>
          <w:tcPr>
            <w:tcW w:w="1743" w:type="dxa"/>
          </w:tcPr>
          <w:p>
            <w:pPr>
              <w:pStyle w:val="8"/>
              <w:rPr>
                <w:rFonts w:ascii="Times New Roman"/>
                <w:sz w:val="20"/>
              </w:rPr>
            </w:pPr>
          </w:p>
        </w:tc>
        <w:tc>
          <w:tcPr>
            <w:tcW w:w="9915" w:type="dxa"/>
          </w:tcPr>
          <w:p>
            <w:pPr>
              <w:pStyle w:val="8"/>
              <w:spacing w:before="60"/>
              <w:ind w:left="13"/>
              <w:rPr>
                <w:sz w:val="21"/>
              </w:rPr>
            </w:pPr>
            <w:r>
              <w:rPr>
                <w:sz w:val="21"/>
              </w:rPr>
              <w:t xml:space="preserve">其 </w:t>
            </w:r>
            <w:r>
              <w:rPr>
                <w:rFonts w:ascii="Times New Roman" w:eastAsia="Times New Roman"/>
                <w:sz w:val="21"/>
              </w:rPr>
              <w:t xml:space="preserve">1 </w:t>
            </w:r>
            <w:r>
              <w:rPr>
                <w:sz w:val="21"/>
              </w:rPr>
              <w:t xml:space="preserve">年至 </w:t>
            </w:r>
            <w:r>
              <w:rPr>
                <w:rFonts w:ascii="Times New Roman" w:eastAsia="Times New Roman"/>
                <w:sz w:val="21"/>
              </w:rPr>
              <w:t xml:space="preserve">3 </w:t>
            </w:r>
            <w:r>
              <w:rPr>
                <w:sz w:val="21"/>
              </w:rPr>
              <w:t>年内参加依法必须进行招标的项目的投标资格：</w:t>
            </w:r>
          </w:p>
          <w:p>
            <w:pPr>
              <w:pStyle w:val="8"/>
              <w:spacing w:before="91"/>
              <w:ind w:left="433"/>
              <w:rPr>
                <w:sz w:val="21"/>
              </w:rPr>
            </w:pPr>
            <w:r>
              <w:rPr>
                <w:sz w:val="21"/>
              </w:rPr>
              <w:t>（一）伪造、变造资格、资质证书或者其他许可证件骗取中标；</w:t>
            </w:r>
          </w:p>
          <w:p>
            <w:pPr>
              <w:pStyle w:val="8"/>
              <w:spacing w:before="91"/>
              <w:ind w:left="433"/>
              <w:rPr>
                <w:sz w:val="21"/>
              </w:rPr>
            </w:pPr>
            <w:r>
              <w:rPr>
                <w:sz w:val="21"/>
              </w:rPr>
              <w:t>（二）</w:t>
            </w:r>
            <w:r>
              <w:rPr>
                <w:rFonts w:ascii="Times New Roman" w:eastAsia="Times New Roman"/>
                <w:sz w:val="21"/>
              </w:rPr>
              <w:t xml:space="preserve">3 </w:t>
            </w:r>
            <w:r>
              <w:rPr>
                <w:sz w:val="21"/>
              </w:rPr>
              <w:t xml:space="preserve">年内 </w:t>
            </w:r>
            <w:r>
              <w:rPr>
                <w:rFonts w:ascii="Times New Roman" w:eastAsia="Times New Roman"/>
                <w:sz w:val="21"/>
              </w:rPr>
              <w:t xml:space="preserve">2 </w:t>
            </w:r>
            <w:r>
              <w:rPr>
                <w:sz w:val="21"/>
              </w:rPr>
              <w:t>次以上使用他人名义投标；</w:t>
            </w:r>
          </w:p>
          <w:p>
            <w:pPr>
              <w:pStyle w:val="8"/>
              <w:spacing w:before="91"/>
              <w:ind w:left="433"/>
              <w:rPr>
                <w:sz w:val="21"/>
              </w:rPr>
            </w:pPr>
            <w:r>
              <w:rPr>
                <w:sz w:val="21"/>
              </w:rPr>
              <w:t xml:space="preserve">（三）弄虚作假骗取中标给招标人造成直接经济损失 </w:t>
            </w:r>
            <w:r>
              <w:rPr>
                <w:rFonts w:ascii="Times New Roman" w:eastAsia="Times New Roman"/>
                <w:sz w:val="21"/>
              </w:rPr>
              <w:t xml:space="preserve">30 </w:t>
            </w:r>
            <w:r>
              <w:rPr>
                <w:sz w:val="21"/>
              </w:rPr>
              <w:t>万元以上；</w:t>
            </w:r>
          </w:p>
          <w:p>
            <w:pPr>
              <w:pStyle w:val="8"/>
              <w:spacing w:before="91"/>
              <w:ind w:left="433"/>
              <w:rPr>
                <w:sz w:val="21"/>
              </w:rPr>
            </w:pPr>
            <w:r>
              <w:rPr>
                <w:sz w:val="21"/>
              </w:rPr>
              <w:t>（四）其他弄虚作假骗取中标情节严重的行为。</w:t>
            </w:r>
          </w:p>
          <w:p>
            <w:pPr>
              <w:pStyle w:val="8"/>
              <w:spacing w:before="91" w:line="321" w:lineRule="auto"/>
              <w:ind w:left="13" w:right="20" w:firstLine="420"/>
              <w:rPr>
                <w:sz w:val="21"/>
              </w:rPr>
            </w:pPr>
            <w:r>
              <w:rPr>
                <w:spacing w:val="-3"/>
                <w:sz w:val="21"/>
              </w:rPr>
              <w:t xml:space="preserve">投标人自本条第二款规定的处罚执行期限届满之日起 </w:t>
            </w:r>
            <w:r>
              <w:rPr>
                <w:rFonts w:ascii="Times New Roman" w:eastAsia="Times New Roman"/>
                <w:sz w:val="21"/>
              </w:rPr>
              <w:t xml:space="preserve">3 </w:t>
            </w:r>
            <w:r>
              <w:rPr>
                <w:sz w:val="21"/>
              </w:rPr>
              <w:t>年内又有该款所列违法行为之一的，或者弄虚作假骗取中标情节特别严重的，由工商行政管理机关吊销营业执照。</w:t>
            </w:r>
          </w:p>
          <w:p>
            <w:pPr>
              <w:pStyle w:val="8"/>
              <w:spacing w:line="268" w:lineRule="exact"/>
              <w:ind w:left="13"/>
              <w:rPr>
                <w:b/>
                <w:sz w:val="21"/>
              </w:rPr>
            </w:pPr>
            <w:r>
              <w:rPr>
                <w:b/>
                <w:sz w:val="21"/>
              </w:rPr>
              <w:t>《工程建设项目施工招标投标办法》</w:t>
            </w:r>
          </w:p>
          <w:p>
            <w:pPr>
              <w:pStyle w:val="8"/>
              <w:tabs>
                <w:tab w:val="left" w:pos="1485"/>
              </w:tabs>
              <w:spacing w:before="91"/>
              <w:ind w:left="433"/>
              <w:rPr>
                <w:sz w:val="21"/>
              </w:rPr>
            </w:pPr>
            <w:r>
              <w:rPr>
                <w:sz w:val="21"/>
              </w:rPr>
              <w:t>第二十条</w:t>
            </w:r>
            <w:r>
              <w:rPr>
                <w:sz w:val="21"/>
              </w:rPr>
              <w:tab/>
            </w:r>
            <w:r>
              <w:rPr>
                <w:sz w:val="21"/>
              </w:rPr>
              <w:t>资格审查应主要审查潜在投标人或者投标人是否符合下列条件：</w:t>
            </w:r>
          </w:p>
          <w:p>
            <w:pPr>
              <w:pStyle w:val="8"/>
              <w:spacing w:before="91"/>
              <w:ind w:left="433"/>
              <w:rPr>
                <w:sz w:val="21"/>
              </w:rPr>
            </w:pPr>
            <w:r>
              <w:rPr>
                <w:sz w:val="21"/>
              </w:rPr>
              <w:t>（一）具有独立订立合同的权利；</w:t>
            </w:r>
          </w:p>
          <w:p>
            <w:pPr>
              <w:pStyle w:val="8"/>
              <w:spacing w:before="91" w:line="321" w:lineRule="auto"/>
              <w:ind w:left="13" w:right="111" w:firstLine="420"/>
              <w:rPr>
                <w:sz w:val="21"/>
              </w:rPr>
            </w:pPr>
            <w:r>
              <w:rPr>
                <w:w w:val="95"/>
                <w:sz w:val="21"/>
              </w:rPr>
              <w:t>（二</w:t>
            </w:r>
            <w:r>
              <w:rPr>
                <w:spacing w:val="-13"/>
                <w:w w:val="95"/>
                <w:sz w:val="21"/>
              </w:rPr>
              <w:t>）</w:t>
            </w:r>
            <w:r>
              <w:rPr>
                <w:spacing w:val="-6"/>
                <w:w w:val="95"/>
                <w:sz w:val="21"/>
              </w:rPr>
              <w:t>具有履行合同的能力，包括专业、技术资格和能力，资金、设备和其他物质设施状况，管理能力</w:t>
            </w:r>
            <w:r>
              <w:rPr>
                <w:spacing w:val="-6"/>
                <w:sz w:val="21"/>
              </w:rPr>
              <w:t>经验、信誉和相应的从业人员；</w:t>
            </w:r>
          </w:p>
          <w:p>
            <w:pPr>
              <w:pStyle w:val="8"/>
              <w:spacing w:line="268" w:lineRule="exact"/>
              <w:ind w:left="433"/>
              <w:rPr>
                <w:sz w:val="21"/>
              </w:rPr>
            </w:pPr>
            <w:r>
              <w:rPr>
                <w:sz w:val="21"/>
              </w:rPr>
              <w:t>（三）没有处于被责令停业，投标资格被取消，财产被接管、冻结，破产状态；</w:t>
            </w:r>
          </w:p>
          <w:p>
            <w:pPr>
              <w:pStyle w:val="8"/>
              <w:spacing w:before="91"/>
              <w:ind w:left="433"/>
              <w:rPr>
                <w:sz w:val="21"/>
              </w:rPr>
            </w:pPr>
            <w:r>
              <w:rPr>
                <w:sz w:val="21"/>
              </w:rPr>
              <w:t>（四）在最近三年内没有骗取中标和严重违约及重大工程质量问题；</w:t>
            </w:r>
          </w:p>
          <w:p>
            <w:pPr>
              <w:pStyle w:val="8"/>
              <w:spacing w:before="90"/>
              <w:ind w:left="433"/>
              <w:rPr>
                <w:sz w:val="21"/>
              </w:rPr>
            </w:pPr>
            <w:r>
              <w:rPr>
                <w:sz w:val="21"/>
              </w:rPr>
              <w:t>（五）国家规定的其他资格条件。</w:t>
            </w:r>
          </w:p>
          <w:p>
            <w:pPr>
              <w:pStyle w:val="8"/>
              <w:spacing w:line="360" w:lineRule="atLeast"/>
              <w:ind w:left="13" w:right="3" w:firstLine="525"/>
              <w:rPr>
                <w:sz w:val="21"/>
              </w:rPr>
            </w:pPr>
            <w:r>
              <w:rPr>
                <w:spacing w:val="-8"/>
                <w:w w:val="95"/>
                <w:sz w:val="21"/>
              </w:rPr>
              <w:t>资格审查时，招标人不得以不合理的条件限制、排斥潜在投标人或者投标人，不得对潜在投标人或者投</w:t>
            </w:r>
            <w:r>
              <w:rPr>
                <w:spacing w:val="-8"/>
                <w:sz w:val="21"/>
              </w:rPr>
              <w:t>标人实行歧视待遇。任何单位和个人不得以行政手段或者其他不合理方式限制投标人的数量。</w:t>
            </w:r>
          </w:p>
        </w:tc>
        <w:tc>
          <w:tcPr>
            <w:tcW w:w="1979" w:type="dxa"/>
          </w:tcPr>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spacing w:before="3"/>
              <w:rPr>
                <w:rFonts w:ascii="Times New Roman"/>
                <w:sz w:val="18"/>
              </w:rPr>
            </w:pPr>
          </w:p>
          <w:p>
            <w:pPr>
              <w:pStyle w:val="8"/>
              <w:ind w:left="-122"/>
              <w:rPr>
                <w:sz w:val="21"/>
              </w:rPr>
            </w:pPr>
            <w:r>
              <w:rPr>
                <w:w w:val="99"/>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88" w:hRule="atLeast"/>
        </w:trPr>
        <w:tc>
          <w:tcPr>
            <w:tcW w:w="1743" w:type="dxa"/>
          </w:tcPr>
          <w:p>
            <w:pPr>
              <w:pStyle w:val="8"/>
              <w:rPr>
                <w:rFonts w:ascii="Times New Roman"/>
                <w:sz w:val="20"/>
              </w:rPr>
            </w:pPr>
          </w:p>
          <w:p>
            <w:pPr>
              <w:pStyle w:val="8"/>
              <w:rPr>
                <w:rFonts w:ascii="Times New Roman"/>
                <w:sz w:val="20"/>
              </w:rPr>
            </w:pPr>
          </w:p>
          <w:p>
            <w:pPr>
              <w:pStyle w:val="8"/>
              <w:spacing w:before="136" w:line="321" w:lineRule="auto"/>
              <w:ind w:left="14" w:right="38"/>
              <w:rPr>
                <w:sz w:val="21"/>
              </w:rPr>
            </w:pPr>
            <w:r>
              <w:rPr>
                <w:rFonts w:ascii="Times New Roman" w:eastAsia="Times New Roman"/>
                <w:sz w:val="21"/>
              </w:rPr>
              <w:t>24.</w:t>
            </w:r>
            <w:r>
              <w:rPr>
                <w:position w:val="1"/>
                <w:sz w:val="21"/>
              </w:rPr>
              <w:t>依法限制参与</w:t>
            </w:r>
            <w:r>
              <w:rPr>
                <w:sz w:val="21"/>
              </w:rPr>
              <w:t>基础设施和公用事业特许经营。</w:t>
            </w:r>
          </w:p>
        </w:tc>
        <w:tc>
          <w:tcPr>
            <w:tcW w:w="9915" w:type="dxa"/>
          </w:tcPr>
          <w:p>
            <w:pPr>
              <w:pStyle w:val="8"/>
              <w:spacing w:before="61" w:line="321" w:lineRule="auto"/>
              <w:ind w:left="13" w:right="110"/>
              <w:jc w:val="both"/>
              <w:rPr>
                <w:b/>
                <w:sz w:val="21"/>
              </w:rPr>
            </w:pPr>
            <w:r>
              <w:rPr>
                <w:b/>
                <w:spacing w:val="-2"/>
                <w:w w:val="95"/>
                <w:sz w:val="21"/>
              </w:rPr>
              <w:t>《国务院关于建立完善守信联合激励和失信联合惩戒制度加快推进社会诚信建设的指导意见》</w:t>
            </w:r>
            <w:r>
              <w:rPr>
                <w:b/>
                <w:w w:val="95"/>
                <w:sz w:val="21"/>
              </w:rPr>
              <w:t>（</w:t>
            </w:r>
            <w:r>
              <w:rPr>
                <w:b/>
                <w:spacing w:val="-14"/>
                <w:w w:val="95"/>
                <w:sz w:val="21"/>
              </w:rPr>
              <w:t>国发〔</w:t>
            </w:r>
            <w:r>
              <w:rPr>
                <w:rFonts w:ascii="Times New Roman" w:eastAsia="Times New Roman"/>
                <w:b/>
                <w:w w:val="95"/>
                <w:sz w:val="21"/>
              </w:rPr>
              <w:t xml:space="preserve">2016      </w:t>
            </w:r>
            <w:r>
              <w:rPr>
                <w:rFonts w:ascii="Times New Roman" w:eastAsia="Times New Roman"/>
                <w:b/>
                <w:sz w:val="21"/>
              </w:rPr>
              <w:t>33</w:t>
            </w:r>
            <w:r>
              <w:rPr>
                <w:rFonts w:ascii="Times New Roman" w:eastAsia="Times New Roman"/>
                <w:b/>
                <w:spacing w:val="-1"/>
                <w:sz w:val="21"/>
              </w:rPr>
              <w:t xml:space="preserve"> </w:t>
            </w:r>
            <w:r>
              <w:rPr>
                <w:b/>
                <w:sz w:val="21"/>
              </w:rPr>
              <w:t>号）</w:t>
            </w:r>
          </w:p>
          <w:p>
            <w:pPr>
              <w:pStyle w:val="8"/>
              <w:spacing w:line="321" w:lineRule="auto"/>
              <w:ind w:left="13" w:right="-29" w:firstLine="420"/>
              <w:jc w:val="both"/>
              <w:rPr>
                <w:sz w:val="21"/>
              </w:rPr>
            </w:pPr>
            <w:r>
              <w:rPr>
                <w:sz w:val="21"/>
              </w:rPr>
              <w:t>（十）依法依规加强对失信行为的行政性约束和惩戒。对严重失信主体，各地区、各有关部门应将其列为重点监管对象，依法依规采取行政性约束和惩戒措施。从严审核行政许可审批项目，从严控制生产许可证</w:t>
            </w:r>
            <w:r>
              <w:rPr>
                <w:w w:val="95"/>
                <w:sz w:val="21"/>
              </w:rPr>
              <w:t>发放，限制新增项目审批、核准，限制股票发行上市融资或发行债券，限制在全国股份转让系统挂牌、融资，</w:t>
            </w:r>
            <w:r>
              <w:rPr>
                <w:sz w:val="21"/>
              </w:rPr>
              <w:t>限制发起设立或参股金融机构以及小额贷款公司、融资担保公司、创业投资公司、互联网融资平台等机构，</w:t>
            </w:r>
          </w:p>
        </w:tc>
        <w:tc>
          <w:tcPr>
            <w:tcW w:w="1979" w:type="dxa"/>
          </w:tcPr>
          <w:p>
            <w:pPr>
              <w:pStyle w:val="8"/>
              <w:spacing w:before="61"/>
              <w:ind w:left="-122"/>
              <w:rPr>
                <w:b/>
                <w:sz w:val="21"/>
              </w:rPr>
            </w:pPr>
            <w:r>
              <w:rPr>
                <w:b/>
                <w:w w:val="99"/>
                <w:sz w:val="21"/>
              </w:rPr>
              <w:t>〕</w:t>
            </w:r>
          </w:p>
          <w:p>
            <w:pPr>
              <w:pStyle w:val="8"/>
              <w:spacing w:before="91" w:line="321" w:lineRule="auto"/>
              <w:ind w:left="15" w:right="2"/>
              <w:jc w:val="both"/>
              <w:rPr>
                <w:sz w:val="21"/>
              </w:rPr>
            </w:pPr>
            <w:r>
              <w:rPr>
                <w:sz w:val="21"/>
              </w:rPr>
              <w:t>国家发展改革委、财政部、住房城乡建设部、交通运输部、水利部</w:t>
            </w:r>
          </w:p>
        </w:tc>
      </w:tr>
    </w:tbl>
    <w:p>
      <w:pPr>
        <w:spacing w:after="0" w:line="321" w:lineRule="auto"/>
        <w:jc w:val="both"/>
        <w:rPr>
          <w:sz w:val="21"/>
        </w:rPr>
        <w:sectPr>
          <w:footerReference r:id="rId7" w:type="default"/>
          <w:pgSz w:w="16840" w:h="11910" w:orient="landscape"/>
          <w:pgMar w:top="1100" w:right="960" w:bottom="1160" w:left="1700" w:header="0" w:footer="979" w:gutter="0"/>
          <w:pgNumType w:start="30"/>
        </w:sectPr>
      </w:pPr>
    </w:p>
    <w:p>
      <w:pPr>
        <w:pStyle w:val="3"/>
        <w:rPr>
          <w:rFonts w:ascii="Times New Roman"/>
          <w:sz w:val="29"/>
        </w:rPr>
      </w:pPr>
    </w:p>
    <w:tbl>
      <w:tblPr>
        <w:tblStyle w:val="4"/>
        <w:tblW w:w="0" w:type="auto"/>
        <w:tblInd w:w="34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43"/>
        <w:gridCol w:w="9915"/>
        <w:gridCol w:w="197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 w:hRule="atLeast"/>
        </w:trPr>
        <w:tc>
          <w:tcPr>
            <w:tcW w:w="1743" w:type="dxa"/>
          </w:tcPr>
          <w:p>
            <w:pPr>
              <w:pStyle w:val="8"/>
              <w:spacing w:before="63" w:line="438" w:lineRule="exact"/>
              <w:ind w:left="271"/>
              <w:rPr>
                <w:rFonts w:hint="eastAsia" w:ascii="Arial Unicode MS" w:eastAsia="Arial Unicode MS"/>
                <w:sz w:val="30"/>
              </w:rPr>
            </w:pPr>
            <w:r>
              <w:rPr>
                <w:rFonts w:hint="eastAsia" w:ascii="Arial Unicode MS" w:eastAsia="Arial Unicode MS"/>
                <w:sz w:val="30"/>
              </w:rPr>
              <w:t>惩戒措施</w:t>
            </w:r>
          </w:p>
        </w:tc>
        <w:tc>
          <w:tcPr>
            <w:tcW w:w="9915" w:type="dxa"/>
          </w:tcPr>
          <w:p>
            <w:pPr>
              <w:pStyle w:val="8"/>
              <w:spacing w:line="502" w:lineRule="exact"/>
              <w:ind w:left="3886" w:right="3878"/>
              <w:jc w:val="center"/>
              <w:rPr>
                <w:rFonts w:hint="eastAsia" w:ascii="Arial Unicode MS" w:eastAsia="Arial Unicode MS"/>
                <w:sz w:val="30"/>
              </w:rPr>
            </w:pPr>
            <w:r>
              <w:rPr>
                <w:rFonts w:hint="eastAsia" w:ascii="Arial Unicode MS" w:eastAsia="Arial Unicode MS"/>
                <w:sz w:val="30"/>
              </w:rPr>
              <w:t>法律及政策依据</w:t>
            </w:r>
          </w:p>
        </w:tc>
        <w:tc>
          <w:tcPr>
            <w:tcW w:w="1979" w:type="dxa"/>
          </w:tcPr>
          <w:p>
            <w:pPr>
              <w:pStyle w:val="8"/>
              <w:spacing w:line="502" w:lineRule="exact"/>
              <w:ind w:left="387"/>
              <w:rPr>
                <w:rFonts w:hint="eastAsia" w:ascii="Arial Unicode MS" w:eastAsia="Arial Unicode MS"/>
                <w:sz w:val="30"/>
              </w:rPr>
            </w:pPr>
            <w:r>
              <w:rPr>
                <w:rFonts w:hint="eastAsia" w:ascii="Arial Unicode MS" w:eastAsia="Arial Unicode MS"/>
                <w:sz w:val="30"/>
              </w:rPr>
              <w:t>实施部门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9" w:hRule="atLeast"/>
        </w:trPr>
        <w:tc>
          <w:tcPr>
            <w:tcW w:w="1743" w:type="dxa"/>
          </w:tcPr>
          <w:p>
            <w:pPr>
              <w:pStyle w:val="8"/>
              <w:rPr>
                <w:rFonts w:ascii="Times New Roman"/>
                <w:sz w:val="20"/>
              </w:rPr>
            </w:pPr>
          </w:p>
        </w:tc>
        <w:tc>
          <w:tcPr>
            <w:tcW w:w="9915" w:type="dxa"/>
          </w:tcPr>
          <w:p>
            <w:pPr>
              <w:pStyle w:val="8"/>
              <w:spacing w:before="60" w:line="321" w:lineRule="auto"/>
              <w:ind w:left="13" w:right="20"/>
              <w:jc w:val="both"/>
              <w:rPr>
                <w:sz w:val="21"/>
              </w:rPr>
            </w:pPr>
            <w:r>
              <w:rPr>
                <w:w w:val="95"/>
                <w:sz w:val="21"/>
              </w:rPr>
              <w:t>限制从事互联网信息服务等。严格限制申请财政性资金项目，限制参与有关公共资源交易活动，限制参与基础设施和公用事业特许经营。对严重失信企业及其法定代表人、主要负责人和对失信行为负有直接责任的注册执业人员等实施市场和行业禁入措施。及时撤销严重失信企业及其法定代表人、负责人、高级管理人员和</w:t>
            </w:r>
            <w:r>
              <w:rPr>
                <w:sz w:val="21"/>
              </w:rPr>
              <w:t>对失信行为负有直接责任的董事、股东等人员的荣誉称号，取消参加评先评优资格。</w:t>
            </w:r>
          </w:p>
          <w:p>
            <w:pPr>
              <w:pStyle w:val="8"/>
              <w:spacing w:line="267" w:lineRule="exact"/>
              <w:ind w:left="13"/>
              <w:rPr>
                <w:b/>
                <w:sz w:val="21"/>
              </w:rPr>
            </w:pPr>
            <w:r>
              <w:rPr>
                <w:b/>
                <w:sz w:val="21"/>
              </w:rPr>
              <w:t>《基础设施和公用事业特许经营管理办法》</w:t>
            </w:r>
          </w:p>
          <w:p>
            <w:pPr>
              <w:pStyle w:val="8"/>
              <w:spacing w:before="91" w:line="321" w:lineRule="auto"/>
              <w:ind w:left="13" w:right="3" w:firstLine="420"/>
              <w:jc w:val="both"/>
              <w:rPr>
                <w:sz w:val="21"/>
              </w:rPr>
            </w:pPr>
            <w:r>
              <w:rPr>
                <w:spacing w:val="-8"/>
                <w:sz w:val="21"/>
              </w:rPr>
              <w:t>第十七条 实施机构应当公平择优选择具有相应管理经验、专业能力、融资实力以及信用状况良好的法人或者其他组织作为特许经营者。鼓励金融机构与参与竞争的法人或其他组织共同制定投融资方案。特许经营</w:t>
            </w:r>
            <w:r>
              <w:rPr>
                <w:spacing w:val="-10"/>
                <w:sz w:val="21"/>
              </w:rPr>
              <w:t xml:space="preserve">者选择应当符合内外资准入等有关法律、行政法规 </w:t>
            </w:r>
            <w:r>
              <w:rPr>
                <w:rFonts w:ascii="Times New Roman" w:eastAsia="Times New Roman"/>
                <w:sz w:val="21"/>
              </w:rPr>
              <w:t xml:space="preserve">6 </w:t>
            </w:r>
            <w:r>
              <w:rPr>
                <w:sz w:val="21"/>
              </w:rPr>
              <w:t>规定。依法选定的特许经营者，应当向社会公示。</w:t>
            </w:r>
          </w:p>
          <w:p>
            <w:pPr>
              <w:pStyle w:val="8"/>
              <w:spacing w:line="321" w:lineRule="auto"/>
              <w:ind w:left="13" w:right="20" w:firstLine="420"/>
              <w:rPr>
                <w:sz w:val="21"/>
              </w:rPr>
            </w:pPr>
            <w:r>
              <w:rPr>
                <w:spacing w:val="-10"/>
                <w:sz w:val="21"/>
              </w:rPr>
              <w:t>第五十三条 特许经营者违反法律、行政法规和国家强制性标准，严重危害公共利益，或者造成重大质量</w:t>
            </w:r>
            <w:r>
              <w:rPr>
                <w:spacing w:val="-10"/>
                <w:w w:val="95"/>
                <w:sz w:val="21"/>
              </w:rPr>
              <w:t>安全事故或者突发环境事件的，有关部门应当责令限期改正并依法予以行政处罚；拒不改正、情节严重的</w:t>
            </w:r>
            <w:r>
              <w:rPr>
                <w:spacing w:val="-10"/>
                <w:sz w:val="21"/>
              </w:rPr>
              <w:t>可以终止特许经营协议；构成犯罪的，依法追究刑事责任。</w:t>
            </w:r>
          </w:p>
          <w:p>
            <w:pPr>
              <w:pStyle w:val="8"/>
              <w:spacing w:line="267" w:lineRule="exact"/>
              <w:ind w:left="433"/>
              <w:rPr>
                <w:sz w:val="21"/>
              </w:rPr>
            </w:pPr>
            <w:r>
              <w:rPr>
                <w:spacing w:val="-6"/>
                <w:sz w:val="21"/>
              </w:rPr>
              <w:t>第五十六条 县级以上人民政府有关部门应当对特许经营者及其从业人员的不良行为建立信用记录，纳入</w:t>
            </w:r>
          </w:p>
          <w:p>
            <w:pPr>
              <w:pStyle w:val="8"/>
              <w:spacing w:before="89"/>
              <w:ind w:left="13"/>
              <w:rPr>
                <w:sz w:val="21"/>
              </w:rPr>
            </w:pPr>
            <w:r>
              <w:rPr>
                <w:sz w:val="21"/>
              </w:rPr>
              <w:t>全国统一的信用信息共享交换平台。对严重违法失信行为依法予以曝光，并会同有关部门实施联合惩戒。</w:t>
            </w:r>
          </w:p>
        </w:tc>
        <w:tc>
          <w:tcPr>
            <w:tcW w:w="1979" w:type="dxa"/>
          </w:tcPr>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spacing w:before="8"/>
              <w:rPr>
                <w:rFonts w:ascii="Times New Roman"/>
                <w:sz w:val="15"/>
              </w:rPr>
            </w:pPr>
          </w:p>
          <w:p>
            <w:pPr>
              <w:pStyle w:val="8"/>
              <w:ind w:left="-122"/>
              <w:rPr>
                <w:sz w:val="21"/>
              </w:rPr>
            </w:pPr>
            <w:r>
              <w:rPr>
                <w:w w:val="99"/>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28" w:hRule="atLeast"/>
        </w:trPr>
        <w:tc>
          <w:tcPr>
            <w:tcW w:w="1743" w:type="dxa"/>
          </w:tcPr>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spacing w:before="166" w:line="321" w:lineRule="auto"/>
              <w:ind w:left="14" w:right="38"/>
              <w:rPr>
                <w:sz w:val="21"/>
              </w:rPr>
            </w:pPr>
            <w:r>
              <w:rPr>
                <w:rFonts w:ascii="Times New Roman" w:eastAsia="Times New Roman"/>
                <w:sz w:val="21"/>
              </w:rPr>
              <w:t>25.</w:t>
            </w:r>
            <w:r>
              <w:rPr>
                <w:position w:val="1"/>
                <w:sz w:val="21"/>
              </w:rPr>
              <w:t>依法限制享受</w:t>
            </w:r>
            <w:r>
              <w:rPr>
                <w:sz w:val="21"/>
              </w:rPr>
              <w:t>投资等领域优惠政策。</w:t>
            </w:r>
          </w:p>
        </w:tc>
        <w:tc>
          <w:tcPr>
            <w:tcW w:w="9915" w:type="dxa"/>
          </w:tcPr>
          <w:p>
            <w:pPr>
              <w:pStyle w:val="8"/>
              <w:spacing w:before="61" w:line="321" w:lineRule="auto"/>
              <w:ind w:left="433" w:right="936" w:hanging="420"/>
              <w:rPr>
                <w:sz w:val="21"/>
              </w:rPr>
            </w:pPr>
            <w:r>
              <w:rPr>
                <w:b/>
                <w:sz w:val="21"/>
              </w:rPr>
              <w:t>《国务院关于印发社会信用体系建设规划纲要（</w:t>
            </w:r>
            <w:r>
              <w:rPr>
                <w:rFonts w:ascii="Times New Roman" w:hAnsi="Times New Roman" w:eastAsia="Times New Roman"/>
                <w:b/>
                <w:sz w:val="21"/>
              </w:rPr>
              <w:t xml:space="preserve">2014—2020 </w:t>
            </w:r>
            <w:r>
              <w:rPr>
                <w:b/>
                <w:sz w:val="21"/>
              </w:rPr>
              <w:t>年）的通知》（国发〔</w:t>
            </w:r>
            <w:r>
              <w:rPr>
                <w:rFonts w:ascii="Times New Roman" w:hAnsi="Times New Roman" w:eastAsia="Times New Roman"/>
                <w:b/>
                <w:sz w:val="21"/>
              </w:rPr>
              <w:t>2014</w:t>
            </w:r>
            <w:r>
              <w:rPr>
                <w:b/>
                <w:sz w:val="21"/>
              </w:rPr>
              <w:t>〕</w:t>
            </w:r>
            <w:r>
              <w:rPr>
                <w:rFonts w:ascii="Times New Roman" w:hAnsi="Times New Roman" w:eastAsia="Times New Roman"/>
                <w:b/>
                <w:sz w:val="21"/>
              </w:rPr>
              <w:t xml:space="preserve">21 </w:t>
            </w:r>
            <w:r>
              <w:rPr>
                <w:b/>
                <w:sz w:val="21"/>
              </w:rPr>
              <w:t xml:space="preserve">号） </w:t>
            </w:r>
            <w:r>
              <w:rPr>
                <w:sz w:val="21"/>
              </w:rPr>
              <w:t>完善以奖惩制度为重点的社会信用体系运行机制。</w:t>
            </w:r>
          </w:p>
          <w:p>
            <w:pPr>
              <w:pStyle w:val="8"/>
              <w:spacing w:line="321" w:lineRule="auto"/>
              <w:ind w:left="13" w:right="20" w:firstLine="420"/>
              <w:rPr>
                <w:sz w:val="21"/>
              </w:rPr>
            </w:pPr>
            <w:r>
              <w:rPr>
                <w:w w:val="95"/>
                <w:sz w:val="21"/>
              </w:rPr>
              <w:t>运行机制是保障社会信用体系各系统协调运行的制度基础。其中，守信激励和失信惩戒机制直接作用于</w:t>
            </w:r>
            <w:r>
              <w:rPr>
                <w:sz w:val="21"/>
              </w:rPr>
              <w:t>各个社会主体信用行为，是社会信用体系运行的核心机制。</w:t>
            </w:r>
          </w:p>
          <w:p>
            <w:pPr>
              <w:pStyle w:val="8"/>
              <w:spacing w:line="268" w:lineRule="exact"/>
              <w:ind w:left="433"/>
              <w:rPr>
                <w:sz w:val="21"/>
              </w:rPr>
            </w:pPr>
            <w:r>
              <w:rPr>
                <w:sz w:val="21"/>
              </w:rPr>
              <w:t>构建守信激励和失信惩戒机制。</w:t>
            </w:r>
          </w:p>
          <w:p>
            <w:pPr>
              <w:pStyle w:val="8"/>
              <w:spacing w:before="90" w:line="321" w:lineRule="auto"/>
              <w:ind w:left="13" w:right="20" w:firstLine="420"/>
              <w:jc w:val="both"/>
              <w:rPr>
                <w:sz w:val="21"/>
              </w:rPr>
            </w:pPr>
            <w:r>
              <w:rPr>
                <w:w w:val="95"/>
                <w:sz w:val="21"/>
              </w:rPr>
              <w:t>加强对守信主体的奖励和激励。加大对守信行为的表彰和宣传力度。按规定对诚信企业和模范个人给予表彰，通过新闻媒体广泛宣传，营造守信光荣的舆论氛围。发展改革、财政、金融、环境保护、住房城乡建设、交通运输、商务、工商、税务、质检、安全监管、海关、知识产权等部门，在市场监管和公共服务过程</w:t>
            </w:r>
            <w:r>
              <w:rPr>
                <w:spacing w:val="-7"/>
                <w:sz w:val="21"/>
              </w:rPr>
              <w:t>中，要深化信用信息和信用产品的应用，对诚实守信者实行优先办理、简化程序等</w:t>
            </w:r>
            <w:r>
              <w:rPr>
                <w:rFonts w:ascii="Times New Roman" w:hAnsi="Times New Roman" w:eastAsia="Times New Roman"/>
                <w:sz w:val="21"/>
              </w:rPr>
              <w:t>“</w:t>
            </w:r>
            <w:r>
              <w:rPr>
                <w:sz w:val="21"/>
              </w:rPr>
              <w:t>绿色通道</w:t>
            </w:r>
            <w:r>
              <w:rPr>
                <w:rFonts w:ascii="Times New Roman" w:hAnsi="Times New Roman" w:eastAsia="Times New Roman"/>
                <w:sz w:val="21"/>
              </w:rPr>
              <w:t>”</w:t>
            </w:r>
            <w:r>
              <w:rPr>
                <w:sz w:val="21"/>
              </w:rPr>
              <w:t>支持激励政策</w:t>
            </w:r>
          </w:p>
          <w:p>
            <w:pPr>
              <w:pStyle w:val="8"/>
              <w:spacing w:line="267" w:lineRule="exact"/>
              <w:ind w:left="433"/>
              <w:rPr>
                <w:sz w:val="21"/>
              </w:rPr>
            </w:pPr>
            <w:r>
              <w:rPr>
                <w:sz w:val="21"/>
              </w:rPr>
              <w:t>加强对失信主体的约束和惩戒。强化行政监管性约束和惩戒。在现有行政处罚措施的基础上，健全失信</w:t>
            </w:r>
          </w:p>
        </w:tc>
        <w:tc>
          <w:tcPr>
            <w:tcW w:w="1979" w:type="dxa"/>
          </w:tcPr>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spacing w:before="121" w:line="321" w:lineRule="auto"/>
              <w:ind w:left="15" w:right="2"/>
              <w:rPr>
                <w:sz w:val="21"/>
              </w:rPr>
            </w:pPr>
            <w:r>
              <w:rPr>
                <w:sz w:val="21"/>
              </w:rPr>
              <w:t>国家发展改革委等有关单位</w:t>
            </w:r>
          </w:p>
          <w:p>
            <w:pPr>
              <w:pStyle w:val="8"/>
              <w:rPr>
                <w:rFonts w:ascii="Times New Roman"/>
                <w:sz w:val="20"/>
              </w:rPr>
            </w:pPr>
          </w:p>
          <w:p>
            <w:pPr>
              <w:pStyle w:val="8"/>
              <w:rPr>
                <w:rFonts w:ascii="Times New Roman"/>
                <w:sz w:val="20"/>
              </w:rPr>
            </w:pPr>
          </w:p>
          <w:p>
            <w:pPr>
              <w:pStyle w:val="8"/>
              <w:spacing w:before="6"/>
              <w:rPr>
                <w:rFonts w:ascii="Times New Roman"/>
                <w:sz w:val="22"/>
              </w:rPr>
            </w:pPr>
          </w:p>
          <w:p>
            <w:pPr>
              <w:pStyle w:val="8"/>
              <w:ind w:left="-122"/>
              <w:rPr>
                <w:sz w:val="21"/>
              </w:rPr>
            </w:pPr>
            <w:r>
              <w:rPr>
                <w:w w:val="99"/>
                <w:sz w:val="21"/>
              </w:rPr>
              <w:t>。</w:t>
            </w:r>
          </w:p>
        </w:tc>
      </w:tr>
    </w:tbl>
    <w:p>
      <w:pPr>
        <w:spacing w:after="0"/>
        <w:rPr>
          <w:sz w:val="21"/>
        </w:rPr>
        <w:sectPr>
          <w:pgSz w:w="16840" w:h="11910" w:orient="landscape"/>
          <w:pgMar w:top="1100" w:right="960" w:bottom="1160" w:left="1700" w:header="0" w:footer="979" w:gutter="0"/>
        </w:sectPr>
      </w:pPr>
    </w:p>
    <w:p>
      <w:pPr>
        <w:pStyle w:val="3"/>
        <w:rPr>
          <w:rFonts w:ascii="Times New Roman"/>
          <w:sz w:val="29"/>
        </w:rPr>
      </w:pPr>
    </w:p>
    <w:tbl>
      <w:tblPr>
        <w:tblStyle w:val="4"/>
        <w:tblW w:w="0" w:type="auto"/>
        <w:tblInd w:w="34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43"/>
        <w:gridCol w:w="9915"/>
        <w:gridCol w:w="197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 w:hRule="atLeast"/>
        </w:trPr>
        <w:tc>
          <w:tcPr>
            <w:tcW w:w="1743" w:type="dxa"/>
          </w:tcPr>
          <w:p>
            <w:pPr>
              <w:pStyle w:val="8"/>
              <w:spacing w:before="63" w:line="438" w:lineRule="exact"/>
              <w:ind w:left="271"/>
              <w:rPr>
                <w:rFonts w:hint="eastAsia" w:ascii="Arial Unicode MS" w:eastAsia="Arial Unicode MS"/>
                <w:sz w:val="30"/>
              </w:rPr>
            </w:pPr>
            <w:r>
              <w:rPr>
                <w:rFonts w:hint="eastAsia" w:ascii="Arial Unicode MS" w:eastAsia="Arial Unicode MS"/>
                <w:sz w:val="30"/>
              </w:rPr>
              <w:t>惩戒措施</w:t>
            </w:r>
          </w:p>
        </w:tc>
        <w:tc>
          <w:tcPr>
            <w:tcW w:w="9915" w:type="dxa"/>
          </w:tcPr>
          <w:p>
            <w:pPr>
              <w:pStyle w:val="8"/>
              <w:spacing w:line="502" w:lineRule="exact"/>
              <w:ind w:left="3886" w:right="3878"/>
              <w:jc w:val="center"/>
              <w:rPr>
                <w:rFonts w:hint="eastAsia" w:ascii="Arial Unicode MS" w:eastAsia="Arial Unicode MS"/>
                <w:sz w:val="30"/>
              </w:rPr>
            </w:pPr>
            <w:r>
              <w:rPr>
                <w:rFonts w:hint="eastAsia" w:ascii="Arial Unicode MS" w:eastAsia="Arial Unicode MS"/>
                <w:sz w:val="30"/>
              </w:rPr>
              <w:t>法律及政策依据</w:t>
            </w:r>
          </w:p>
        </w:tc>
        <w:tc>
          <w:tcPr>
            <w:tcW w:w="1979" w:type="dxa"/>
          </w:tcPr>
          <w:p>
            <w:pPr>
              <w:pStyle w:val="8"/>
              <w:spacing w:line="502" w:lineRule="exact"/>
              <w:ind w:left="387"/>
              <w:rPr>
                <w:rFonts w:hint="eastAsia" w:ascii="Arial Unicode MS" w:eastAsia="Arial Unicode MS"/>
                <w:sz w:val="30"/>
              </w:rPr>
            </w:pPr>
            <w:r>
              <w:rPr>
                <w:rFonts w:hint="eastAsia" w:ascii="Arial Unicode MS" w:eastAsia="Arial Unicode MS"/>
                <w:sz w:val="30"/>
              </w:rPr>
              <w:t>实施部门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08" w:hRule="atLeast"/>
        </w:trPr>
        <w:tc>
          <w:tcPr>
            <w:tcW w:w="1743" w:type="dxa"/>
          </w:tcPr>
          <w:p>
            <w:pPr>
              <w:pStyle w:val="8"/>
              <w:rPr>
                <w:rFonts w:ascii="Times New Roman"/>
                <w:sz w:val="20"/>
              </w:rPr>
            </w:pPr>
          </w:p>
        </w:tc>
        <w:tc>
          <w:tcPr>
            <w:tcW w:w="9915" w:type="dxa"/>
          </w:tcPr>
          <w:p>
            <w:pPr>
              <w:pStyle w:val="8"/>
              <w:spacing w:before="60" w:line="321" w:lineRule="auto"/>
              <w:ind w:left="13" w:right="20"/>
              <w:jc w:val="both"/>
              <w:rPr>
                <w:sz w:val="21"/>
              </w:rPr>
            </w:pPr>
            <w:r>
              <w:rPr>
                <w:w w:val="95"/>
                <w:sz w:val="21"/>
              </w:rPr>
              <w:t>惩戒制度，建立各行业黑名单制度和市场退出机制。推动各级人民政府在市场监管和公共服务的市场准入、资质认定、行政审批、政策扶持等方面实施信用分类监管，结合监管对象的失信类别和程度，使失信者受到惩戒。逐步建立行政许可申请人信用承诺制度，并开展申请人信用审查，确保申请人在政府推荐的征信机构中有信用记录，配合征信机构开展信用信息采集工作。推动形成市场性约束和惩戒。制定信用基准性评价指标体系和评价方法，完善失信信息记录和披露制度，使失信者在市场交易中受到制约。推动形成行业性约束和惩戒。通过行业协会制定行业自律规则并监督会员遵守。对违规的失信者，按照情节轻重，对机构会员和个人会员实行警告、行业内通报批评、公开谴责等惩戒措施。推动形成社会性约束和惩戒。完善社会舆论监督机制，加强对失信行为的披露和曝光，发挥群众评议讨论、批评报道等作用，通过社会的道德谴责，形成</w:t>
            </w:r>
            <w:r>
              <w:rPr>
                <w:sz w:val="21"/>
              </w:rPr>
              <w:t>社会震慑力，约束社会成员的失信行为。</w:t>
            </w:r>
          </w:p>
          <w:p>
            <w:pPr>
              <w:pStyle w:val="8"/>
              <w:spacing w:line="264" w:lineRule="exact"/>
              <w:ind w:left="433"/>
              <w:rPr>
                <w:sz w:val="21"/>
              </w:rPr>
            </w:pPr>
            <w:r>
              <w:rPr>
                <w:sz w:val="21"/>
              </w:rPr>
              <w:t>建立失信行为有奖举报制度。切实落实对举报人的奖励，保护举报人的合法权益。</w:t>
            </w:r>
          </w:p>
          <w:p>
            <w:pPr>
              <w:pStyle w:val="8"/>
              <w:spacing w:before="91" w:line="321" w:lineRule="auto"/>
              <w:ind w:left="13" w:right="20" w:firstLine="420"/>
              <w:rPr>
                <w:sz w:val="21"/>
              </w:rPr>
            </w:pPr>
            <w:r>
              <w:rPr>
                <w:w w:val="95"/>
                <w:sz w:val="21"/>
              </w:rPr>
              <w:t>建立多部门、跨地区信用联合奖惩机制。通过信用信息交换共享，实现多部门、跨地区信用奖惩联动，</w:t>
            </w:r>
            <w:r>
              <w:rPr>
                <w:sz w:val="21"/>
              </w:rPr>
              <w:t>使守信者处处受益、失信者寸步难行。</w:t>
            </w:r>
          </w:p>
          <w:p>
            <w:pPr>
              <w:pStyle w:val="8"/>
              <w:spacing w:line="268" w:lineRule="exact"/>
              <w:ind w:left="13"/>
              <w:rPr>
                <w:b/>
                <w:sz w:val="21"/>
              </w:rPr>
            </w:pPr>
            <w:r>
              <w:rPr>
                <w:b/>
                <w:sz w:val="21"/>
              </w:rPr>
              <w:t>《国务院办公厅关于运用大数据加强对市场主体服务和监管的若干意见》（国办发〔</w:t>
            </w:r>
            <w:r>
              <w:rPr>
                <w:rFonts w:ascii="Times New Roman" w:eastAsia="Times New Roman"/>
                <w:b/>
                <w:sz w:val="21"/>
              </w:rPr>
              <w:t>2015</w:t>
            </w:r>
            <w:r>
              <w:rPr>
                <w:b/>
                <w:sz w:val="21"/>
              </w:rPr>
              <w:t>〕</w:t>
            </w:r>
            <w:r>
              <w:rPr>
                <w:rFonts w:ascii="Times New Roman" w:eastAsia="Times New Roman"/>
                <w:b/>
                <w:sz w:val="21"/>
              </w:rPr>
              <w:t xml:space="preserve">51 </w:t>
            </w:r>
            <w:r>
              <w:rPr>
                <w:b/>
                <w:sz w:val="21"/>
              </w:rPr>
              <w:t>号）</w:t>
            </w:r>
          </w:p>
          <w:p>
            <w:pPr>
              <w:pStyle w:val="8"/>
              <w:spacing w:before="91" w:line="321" w:lineRule="auto"/>
              <w:ind w:left="13" w:right="20" w:firstLine="420"/>
              <w:jc w:val="both"/>
              <w:rPr>
                <w:sz w:val="21"/>
              </w:rPr>
            </w:pPr>
            <w:r>
              <w:rPr>
                <w:w w:val="95"/>
                <w:sz w:val="21"/>
              </w:rPr>
              <w:t>（十三）建立健全失信联合惩戒机制。各级人民政府应将使用信用信息和信用报告嵌入行政管理和公共服务的各领域、各环节，作为必要条件或重要参考依据。充分发挥行政、司法、金融、社会等领域的综合监管效能，在市场准入、行政审批、资质认定、享受财政补贴和税收优惠政策、企业法定代表人和负责人任职资格审查、政府采购、政府购买服务、银行信贷、招标投标、国有土地出让、企业上市、货物通关、税收征缴、社保缴费、外汇管理、劳动用工、价格制定、电子商务、产品质量、食品药品安全、消费品安全、知识产权、环境保护、治安管理、人口管理、出入境管理、授予荣誉称号等方面，建立跨部门联动响应和失信约</w:t>
            </w:r>
            <w:r>
              <w:rPr>
                <w:sz w:val="21"/>
              </w:rPr>
              <w:t>束机制，对违法失信主体依法予以限制或禁入。建立各行业</w:t>
            </w:r>
            <w:r>
              <w:rPr>
                <w:rFonts w:ascii="Times New Roman" w:hAnsi="Times New Roman" w:eastAsia="Times New Roman"/>
                <w:sz w:val="21"/>
              </w:rPr>
              <w:t>“</w:t>
            </w:r>
            <w:r>
              <w:rPr>
                <w:sz w:val="21"/>
              </w:rPr>
              <w:t>黑名单</w:t>
            </w:r>
            <w:r>
              <w:rPr>
                <w:rFonts w:ascii="Times New Roman" w:hAnsi="Times New Roman" w:eastAsia="Times New Roman"/>
                <w:sz w:val="21"/>
              </w:rPr>
              <w:t>”</w:t>
            </w:r>
            <w:r>
              <w:rPr>
                <w:sz w:val="21"/>
              </w:rPr>
              <w:t>制度和市场退出机制。推动将申请人良好的信用状况作为各类行政许可的必备条件。</w:t>
            </w:r>
          </w:p>
          <w:p>
            <w:pPr>
              <w:pStyle w:val="8"/>
              <w:spacing w:line="265" w:lineRule="exact"/>
              <w:ind w:left="13"/>
              <w:rPr>
                <w:rFonts w:ascii="Times New Roman" w:eastAsia="Times New Roman"/>
                <w:b/>
                <w:sz w:val="21"/>
              </w:rPr>
            </w:pPr>
            <w:r>
              <w:rPr>
                <w:b/>
                <w:spacing w:val="-2"/>
                <w:sz w:val="21"/>
              </w:rPr>
              <w:t>《国务院关于建立完善守信联合激励和失信联合惩戒制度加快推进社会诚信建设的指导意见》</w:t>
            </w:r>
            <w:r>
              <w:rPr>
                <w:b/>
                <w:sz w:val="21"/>
              </w:rPr>
              <w:t>（</w:t>
            </w:r>
            <w:r>
              <w:rPr>
                <w:b/>
                <w:spacing w:val="-14"/>
                <w:sz w:val="21"/>
              </w:rPr>
              <w:t>国发〔</w:t>
            </w:r>
            <w:r>
              <w:rPr>
                <w:rFonts w:ascii="Times New Roman" w:eastAsia="Times New Roman"/>
                <w:b/>
                <w:sz w:val="21"/>
              </w:rPr>
              <w:t>2016</w:t>
            </w:r>
          </w:p>
          <w:p>
            <w:pPr>
              <w:pStyle w:val="8"/>
              <w:spacing w:before="91"/>
              <w:ind w:left="13"/>
              <w:rPr>
                <w:b/>
                <w:sz w:val="21"/>
              </w:rPr>
            </w:pPr>
            <w:r>
              <w:rPr>
                <w:rFonts w:ascii="Times New Roman" w:eastAsia="Times New Roman"/>
                <w:b/>
                <w:sz w:val="21"/>
              </w:rPr>
              <w:t xml:space="preserve">33 </w:t>
            </w:r>
            <w:r>
              <w:rPr>
                <w:b/>
                <w:sz w:val="21"/>
              </w:rPr>
              <w:t>号）</w:t>
            </w:r>
          </w:p>
        </w:tc>
        <w:tc>
          <w:tcPr>
            <w:tcW w:w="1979" w:type="dxa"/>
          </w:tcPr>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spacing w:before="8"/>
              <w:rPr>
                <w:rFonts w:ascii="Times New Roman"/>
                <w:sz w:val="22"/>
              </w:rPr>
            </w:pPr>
          </w:p>
          <w:p>
            <w:pPr>
              <w:pStyle w:val="8"/>
              <w:ind w:left="-122"/>
              <w:rPr>
                <w:b/>
                <w:sz w:val="21"/>
              </w:rPr>
            </w:pPr>
            <w:r>
              <w:rPr>
                <w:b/>
                <w:w w:val="99"/>
                <w:sz w:val="21"/>
              </w:rPr>
              <w:t>〕</w:t>
            </w:r>
          </w:p>
        </w:tc>
      </w:tr>
    </w:tbl>
    <w:p>
      <w:pPr>
        <w:spacing w:after="0"/>
        <w:rPr>
          <w:sz w:val="21"/>
        </w:rPr>
        <w:sectPr>
          <w:pgSz w:w="16840" w:h="11910" w:orient="landscape"/>
          <w:pgMar w:top="1100" w:right="960" w:bottom="1160" w:left="1700" w:header="0" w:footer="979" w:gutter="0"/>
        </w:sectPr>
      </w:pPr>
    </w:p>
    <w:p>
      <w:pPr>
        <w:pStyle w:val="3"/>
        <w:rPr>
          <w:rFonts w:ascii="Times New Roman"/>
          <w:sz w:val="29"/>
        </w:rPr>
      </w:pPr>
    </w:p>
    <w:tbl>
      <w:tblPr>
        <w:tblStyle w:val="4"/>
        <w:tblW w:w="0" w:type="auto"/>
        <w:tblInd w:w="34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43"/>
        <w:gridCol w:w="9915"/>
        <w:gridCol w:w="197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 w:hRule="atLeast"/>
        </w:trPr>
        <w:tc>
          <w:tcPr>
            <w:tcW w:w="1743" w:type="dxa"/>
          </w:tcPr>
          <w:p>
            <w:pPr>
              <w:pStyle w:val="8"/>
              <w:spacing w:before="63" w:line="438" w:lineRule="exact"/>
              <w:ind w:left="271"/>
              <w:rPr>
                <w:rFonts w:hint="eastAsia" w:ascii="Arial Unicode MS" w:eastAsia="Arial Unicode MS"/>
                <w:sz w:val="30"/>
              </w:rPr>
            </w:pPr>
            <w:r>
              <w:rPr>
                <w:rFonts w:hint="eastAsia" w:ascii="Arial Unicode MS" w:eastAsia="Arial Unicode MS"/>
                <w:sz w:val="30"/>
              </w:rPr>
              <w:t>惩戒措施</w:t>
            </w:r>
          </w:p>
        </w:tc>
        <w:tc>
          <w:tcPr>
            <w:tcW w:w="9915" w:type="dxa"/>
          </w:tcPr>
          <w:p>
            <w:pPr>
              <w:pStyle w:val="8"/>
              <w:spacing w:line="502" w:lineRule="exact"/>
              <w:ind w:left="3886" w:right="3878"/>
              <w:jc w:val="center"/>
              <w:rPr>
                <w:rFonts w:hint="eastAsia" w:ascii="Arial Unicode MS" w:eastAsia="Arial Unicode MS"/>
                <w:sz w:val="30"/>
              </w:rPr>
            </w:pPr>
            <w:r>
              <w:rPr>
                <w:rFonts w:hint="eastAsia" w:ascii="Arial Unicode MS" w:eastAsia="Arial Unicode MS"/>
                <w:sz w:val="30"/>
              </w:rPr>
              <w:t>法律及政策依据</w:t>
            </w:r>
          </w:p>
        </w:tc>
        <w:tc>
          <w:tcPr>
            <w:tcW w:w="1979" w:type="dxa"/>
          </w:tcPr>
          <w:p>
            <w:pPr>
              <w:pStyle w:val="8"/>
              <w:spacing w:line="502" w:lineRule="exact"/>
              <w:ind w:left="387"/>
              <w:rPr>
                <w:rFonts w:hint="eastAsia" w:ascii="Arial Unicode MS" w:eastAsia="Arial Unicode MS"/>
                <w:sz w:val="30"/>
              </w:rPr>
            </w:pPr>
            <w:r>
              <w:rPr>
                <w:rFonts w:hint="eastAsia" w:ascii="Arial Unicode MS" w:eastAsia="Arial Unicode MS"/>
                <w:sz w:val="30"/>
              </w:rPr>
              <w:t>实施部门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10" w:hRule="atLeast"/>
        </w:trPr>
        <w:tc>
          <w:tcPr>
            <w:tcW w:w="1743" w:type="dxa"/>
          </w:tcPr>
          <w:p>
            <w:pPr>
              <w:pStyle w:val="8"/>
              <w:rPr>
                <w:rFonts w:ascii="Times New Roman"/>
                <w:sz w:val="20"/>
              </w:rPr>
            </w:pPr>
          </w:p>
        </w:tc>
        <w:tc>
          <w:tcPr>
            <w:tcW w:w="9915" w:type="dxa"/>
          </w:tcPr>
          <w:p>
            <w:pPr>
              <w:pStyle w:val="8"/>
              <w:spacing w:before="60" w:line="321" w:lineRule="auto"/>
              <w:ind w:left="13" w:right="20" w:firstLine="420"/>
              <w:rPr>
                <w:sz w:val="21"/>
              </w:rPr>
            </w:pPr>
            <w:r>
              <w:rPr>
                <w:w w:val="95"/>
                <w:sz w:val="21"/>
              </w:rPr>
              <w:t>（十）依法依规加强对失信行为的行政性约束和惩戒。对严重失信主体，各地区、各有关部门应将其列为重点监管对象，依法依规采取行政性约束和惩戒措施。从严审核行政许可审批项目，从严控制生产许可证</w:t>
            </w:r>
            <w:r>
              <w:rPr>
                <w:spacing w:val="-9"/>
                <w:sz w:val="21"/>
              </w:rPr>
              <w:t>发放，限制新增项目审批、核准，限制股票发行上市融资或发行债券，限制在全国股份转让系统挂牌、融资</w:t>
            </w:r>
            <w:r>
              <w:rPr>
                <w:spacing w:val="-9"/>
                <w:w w:val="95"/>
                <w:sz w:val="21"/>
              </w:rPr>
              <w:t>限制发起设立或参股金融机构以及小额贷款公司、融资担保公司、创业投资公司、互联网融资平台等机构，限制从事互联网信息服务等。严格限制申请财政性资金项目，限制参与有关公共资源交易活动，限制参与基础设施和公用事业特许经营。对严重失信企业及其法定代表人、主要负责人和对失信行为负有直接责任的注册执业人员等实施市场和行业禁入措施。及时撤销严重失信企业及其法定代表人、负责人、高级管理人员和</w:t>
            </w:r>
            <w:r>
              <w:rPr>
                <w:sz w:val="21"/>
              </w:rPr>
              <w:t>对失信行为负有直接责任的董事、股东等人员的荣誉称号，取消参加评先评优资格。</w:t>
            </w:r>
          </w:p>
        </w:tc>
        <w:tc>
          <w:tcPr>
            <w:tcW w:w="1979" w:type="dxa"/>
          </w:tcPr>
          <w:p>
            <w:pPr>
              <w:pStyle w:val="8"/>
              <w:rPr>
                <w:rFonts w:ascii="Times New Roman"/>
                <w:sz w:val="20"/>
              </w:rPr>
            </w:pPr>
          </w:p>
          <w:p>
            <w:pPr>
              <w:pStyle w:val="8"/>
              <w:rPr>
                <w:rFonts w:ascii="Times New Roman"/>
                <w:sz w:val="20"/>
              </w:rPr>
            </w:pPr>
          </w:p>
          <w:p>
            <w:pPr>
              <w:pStyle w:val="8"/>
              <w:spacing w:before="9"/>
              <w:rPr>
                <w:rFonts w:ascii="Times New Roman"/>
                <w:sz w:val="27"/>
              </w:rPr>
            </w:pPr>
          </w:p>
          <w:p>
            <w:pPr>
              <w:pStyle w:val="8"/>
              <w:spacing w:before="1"/>
              <w:ind w:left="-122"/>
              <w:rPr>
                <w:sz w:val="21"/>
              </w:rPr>
            </w:pPr>
            <w:r>
              <w:rPr>
                <w:w w:val="99"/>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28" w:hRule="atLeast"/>
        </w:trPr>
        <w:tc>
          <w:tcPr>
            <w:tcW w:w="1743" w:type="dxa"/>
          </w:tcPr>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spacing w:before="8"/>
              <w:rPr>
                <w:rFonts w:ascii="Times New Roman"/>
                <w:sz w:val="25"/>
              </w:rPr>
            </w:pPr>
          </w:p>
          <w:p>
            <w:pPr>
              <w:pStyle w:val="8"/>
              <w:spacing w:line="321" w:lineRule="auto"/>
              <w:ind w:left="14" w:right="38"/>
              <w:rPr>
                <w:sz w:val="21"/>
              </w:rPr>
            </w:pPr>
            <w:r>
              <w:rPr>
                <w:rFonts w:ascii="Times New Roman" w:eastAsia="Times New Roman"/>
                <w:sz w:val="21"/>
              </w:rPr>
              <w:t>26.</w:t>
            </w:r>
            <w:r>
              <w:rPr>
                <w:position w:val="1"/>
                <w:sz w:val="21"/>
              </w:rPr>
              <w:t>依法限制新网</w:t>
            </w:r>
            <w:r>
              <w:rPr>
                <w:sz w:val="21"/>
              </w:rPr>
              <w:t>站开办；在申请经营性互联网信息服务时，将失信信息作为审核相关许可的重要参考。</w:t>
            </w:r>
          </w:p>
        </w:tc>
        <w:tc>
          <w:tcPr>
            <w:tcW w:w="9915" w:type="dxa"/>
          </w:tcPr>
          <w:p>
            <w:pPr>
              <w:pStyle w:val="8"/>
              <w:spacing w:before="61"/>
              <w:ind w:left="13"/>
              <w:rPr>
                <w:b/>
                <w:sz w:val="21"/>
              </w:rPr>
            </w:pPr>
            <w:r>
              <w:rPr>
                <w:b/>
                <w:sz w:val="21"/>
              </w:rPr>
              <w:t>《互联网信息服务管理办法》</w:t>
            </w:r>
          </w:p>
          <w:p>
            <w:pPr>
              <w:pStyle w:val="8"/>
              <w:spacing w:before="91" w:line="321" w:lineRule="auto"/>
              <w:ind w:left="13" w:right="3" w:firstLine="420"/>
              <w:jc w:val="both"/>
              <w:rPr>
                <w:sz w:val="21"/>
              </w:rPr>
            </w:pPr>
            <w:r>
              <w:rPr>
                <w:spacing w:val="-12"/>
                <w:sz w:val="21"/>
              </w:rPr>
              <w:t>第五条 从事新闻、出版、教育、医疗保健、药品和医疗器械等互联网信息服务，依照法律、行政法规以及国家有关规定须经有关主管部门审核同意的，在申请经营许可或者履行备案手续前，应当依法经有关主管部门审核同意。</w:t>
            </w:r>
          </w:p>
          <w:p>
            <w:pPr>
              <w:pStyle w:val="8"/>
              <w:spacing w:line="321" w:lineRule="auto"/>
              <w:ind w:right="20" w:firstLine="597" w:firstLineChars="300"/>
              <w:rPr>
                <w:sz w:val="21"/>
              </w:rPr>
            </w:pPr>
            <w:r>
              <w:rPr>
                <w:w w:val="95"/>
                <w:sz w:val="21"/>
              </w:rPr>
              <w:t>国务院信息产业主管部门和省、自治区、直辖市电信管理机构，依法对互联网信息服务实施监督管理。新闻、出版、教育、卫生、药品监督管理、工商行政管理和公安、国家安全等有关主管部门，在各自职责范围内依法对互联网信息内容实施监督管理。</w:t>
            </w:r>
          </w:p>
          <w:p>
            <w:pPr>
              <w:pStyle w:val="8"/>
              <w:spacing w:before="89" w:line="321" w:lineRule="auto"/>
              <w:ind w:left="13" w:right="3" w:firstLine="420"/>
              <w:rPr>
                <w:sz w:val="21"/>
              </w:rPr>
            </w:pPr>
            <w:r>
              <w:rPr>
                <w:spacing w:val="-10"/>
                <w:sz w:val="21"/>
              </w:rPr>
              <w:t>第二十条 制作、复制、发布、传播本办法第十五条所列内容之一的信息，构成犯罪的，依法追究刑事责任；尚不构成犯罪的，由公安机关、国家安全机关依照《中华人民共和国治安管理处罚法》、《计算机信息</w:t>
            </w:r>
            <w:r>
              <w:rPr>
                <w:spacing w:val="-14"/>
                <w:sz w:val="21"/>
              </w:rPr>
              <w:t>网络国际联网安全保护管理办法》等有关法律、行政法规的规定予以处罚；对经营性互联网信息服务提供者并由发证机关责令停业整顿直至吊销经营许可证，通知企业登记机关；对非经营性互联网信息服务提供者，并由备案机关责令暂时关闭网站直至关闭网站。</w:t>
            </w:r>
          </w:p>
          <w:p>
            <w:pPr>
              <w:pStyle w:val="8"/>
              <w:spacing w:line="266" w:lineRule="exact"/>
              <w:ind w:left="13"/>
              <w:rPr>
                <w:b/>
                <w:sz w:val="21"/>
              </w:rPr>
            </w:pPr>
            <w:r>
              <w:rPr>
                <w:b/>
                <w:sz w:val="21"/>
              </w:rPr>
              <w:t>《关于建立境内违法互联网站黑名单管理制度的通知》</w:t>
            </w:r>
          </w:p>
          <w:p>
            <w:pPr>
              <w:pStyle w:val="8"/>
              <w:spacing w:line="360" w:lineRule="atLeast"/>
              <w:ind w:left="13" w:right="20" w:firstLine="420"/>
              <w:rPr>
                <w:sz w:val="21"/>
              </w:rPr>
            </w:pPr>
            <w:r>
              <w:rPr>
                <w:w w:val="95"/>
                <w:sz w:val="21"/>
              </w:rPr>
              <w:t>二十、对于列入违法互联网站黑名单的境内互联网站，涉及获准从事新闻、出版、教育、医疗保健、药品和医疗器械、文化、视听节目服务等互联网信息服务的，互联网相关管理部门应取消相应批准。有经营许</w:t>
            </w:r>
          </w:p>
        </w:tc>
        <w:tc>
          <w:tcPr>
            <w:tcW w:w="1979" w:type="dxa"/>
          </w:tcPr>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spacing w:before="5"/>
              <w:rPr>
                <w:rFonts w:ascii="Times New Roman"/>
                <w:sz w:val="24"/>
              </w:rPr>
            </w:pPr>
          </w:p>
          <w:p>
            <w:pPr>
              <w:pStyle w:val="8"/>
              <w:ind w:left="253"/>
              <w:rPr>
                <w:sz w:val="21"/>
              </w:rPr>
            </w:pPr>
            <w:r>
              <w:rPr>
                <w:sz w:val="21"/>
              </w:rPr>
              <w:t>工业和信息化部</w:t>
            </w:r>
          </w:p>
          <w:p>
            <w:pPr>
              <w:pStyle w:val="8"/>
              <w:rPr>
                <w:rFonts w:ascii="Times New Roman"/>
                <w:sz w:val="20"/>
              </w:rPr>
            </w:pPr>
          </w:p>
          <w:p>
            <w:pPr>
              <w:pStyle w:val="8"/>
              <w:spacing w:before="2"/>
              <w:rPr>
                <w:rFonts w:ascii="Times New Roman"/>
                <w:sz w:val="19"/>
              </w:rPr>
            </w:pPr>
          </w:p>
          <w:p>
            <w:pPr>
              <w:pStyle w:val="8"/>
              <w:spacing w:before="1"/>
              <w:ind w:left="-122"/>
              <w:rPr>
                <w:sz w:val="21"/>
              </w:rPr>
            </w:pPr>
            <w:r>
              <w:rPr>
                <w:w w:val="99"/>
                <w:sz w:val="21"/>
              </w:rPr>
              <w:t>，</w:t>
            </w:r>
          </w:p>
        </w:tc>
      </w:tr>
    </w:tbl>
    <w:p>
      <w:pPr>
        <w:spacing w:after="0"/>
        <w:rPr>
          <w:sz w:val="21"/>
        </w:rPr>
        <w:sectPr>
          <w:pgSz w:w="16840" w:h="11910" w:orient="landscape"/>
          <w:pgMar w:top="1100" w:right="960" w:bottom="1160" w:left="1700" w:header="0" w:footer="979" w:gutter="0"/>
        </w:sectPr>
      </w:pPr>
    </w:p>
    <w:p>
      <w:pPr>
        <w:pStyle w:val="3"/>
        <w:rPr>
          <w:rFonts w:ascii="Times New Roman"/>
          <w:sz w:val="29"/>
        </w:rPr>
      </w:pPr>
    </w:p>
    <w:tbl>
      <w:tblPr>
        <w:tblStyle w:val="4"/>
        <w:tblW w:w="0" w:type="auto"/>
        <w:tblInd w:w="34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43"/>
        <w:gridCol w:w="9915"/>
        <w:gridCol w:w="197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 w:hRule="atLeast"/>
        </w:trPr>
        <w:tc>
          <w:tcPr>
            <w:tcW w:w="1743" w:type="dxa"/>
          </w:tcPr>
          <w:p>
            <w:pPr>
              <w:pStyle w:val="8"/>
              <w:spacing w:before="63" w:line="438" w:lineRule="exact"/>
              <w:ind w:left="271"/>
              <w:rPr>
                <w:rFonts w:hint="eastAsia" w:ascii="Arial Unicode MS" w:eastAsia="Arial Unicode MS"/>
                <w:sz w:val="30"/>
              </w:rPr>
            </w:pPr>
            <w:r>
              <w:rPr>
                <w:rFonts w:hint="eastAsia" w:ascii="Arial Unicode MS" w:eastAsia="Arial Unicode MS"/>
                <w:sz w:val="30"/>
              </w:rPr>
              <w:t>惩戒措施</w:t>
            </w:r>
          </w:p>
        </w:tc>
        <w:tc>
          <w:tcPr>
            <w:tcW w:w="9915" w:type="dxa"/>
          </w:tcPr>
          <w:p>
            <w:pPr>
              <w:pStyle w:val="8"/>
              <w:spacing w:line="502" w:lineRule="exact"/>
              <w:ind w:left="3886" w:right="3878"/>
              <w:jc w:val="center"/>
              <w:rPr>
                <w:rFonts w:hint="eastAsia" w:ascii="Arial Unicode MS" w:eastAsia="Arial Unicode MS"/>
                <w:sz w:val="30"/>
              </w:rPr>
            </w:pPr>
            <w:r>
              <w:rPr>
                <w:rFonts w:hint="eastAsia" w:ascii="Arial Unicode MS" w:eastAsia="Arial Unicode MS"/>
                <w:sz w:val="30"/>
              </w:rPr>
              <w:t>法律及政策依据</w:t>
            </w:r>
          </w:p>
        </w:tc>
        <w:tc>
          <w:tcPr>
            <w:tcW w:w="1979" w:type="dxa"/>
          </w:tcPr>
          <w:p>
            <w:pPr>
              <w:pStyle w:val="8"/>
              <w:spacing w:line="502" w:lineRule="exact"/>
              <w:ind w:left="387"/>
              <w:rPr>
                <w:rFonts w:hint="eastAsia" w:ascii="Arial Unicode MS" w:eastAsia="Arial Unicode MS"/>
                <w:sz w:val="30"/>
              </w:rPr>
            </w:pPr>
            <w:r>
              <w:rPr>
                <w:rFonts w:hint="eastAsia" w:ascii="Arial Unicode MS" w:eastAsia="Arial Unicode MS"/>
                <w:sz w:val="30"/>
              </w:rPr>
              <w:t>实施部门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0" w:hRule="atLeast"/>
        </w:trPr>
        <w:tc>
          <w:tcPr>
            <w:tcW w:w="1743" w:type="dxa"/>
          </w:tcPr>
          <w:p>
            <w:pPr>
              <w:pStyle w:val="8"/>
              <w:rPr>
                <w:rFonts w:ascii="Times New Roman"/>
                <w:sz w:val="20"/>
              </w:rPr>
            </w:pPr>
          </w:p>
        </w:tc>
        <w:tc>
          <w:tcPr>
            <w:tcW w:w="9915" w:type="dxa"/>
          </w:tcPr>
          <w:p>
            <w:pPr>
              <w:pStyle w:val="8"/>
              <w:spacing w:before="60" w:line="321" w:lineRule="auto"/>
              <w:ind w:left="13" w:right="20"/>
              <w:rPr>
                <w:sz w:val="21"/>
              </w:rPr>
            </w:pPr>
            <w:r>
              <w:rPr>
                <w:w w:val="95"/>
                <w:sz w:val="21"/>
              </w:rPr>
              <w:t>可的，互联网相关管理部门应将依法取消批准的意见，抄送工商行政管理部门依法办理相应经营范围交更或</w:t>
            </w:r>
            <w:r>
              <w:rPr>
                <w:sz w:val="21"/>
              </w:rPr>
              <w:t>注销登记。</w:t>
            </w:r>
          </w:p>
          <w:p>
            <w:pPr>
              <w:pStyle w:val="8"/>
              <w:spacing w:line="321" w:lineRule="auto"/>
              <w:ind w:left="13" w:right="20" w:firstLine="420"/>
              <w:jc w:val="both"/>
              <w:rPr>
                <w:sz w:val="21"/>
              </w:rPr>
            </w:pPr>
            <w:r>
              <w:rPr>
                <w:w w:val="95"/>
                <w:sz w:val="21"/>
              </w:rPr>
              <w:t>二十一、对于新申办的网站，互联网行业主管部门应认真审核。如发现其属于已列入违法互联网站黑名单的网站（即网站名称、网站域名、网站主办者身份信息与违法互联网站黑名单记录的信息均相同的），互联网行业主管部门不得再同意其备案或许可，各互联网相关管理部门不得再批准其提供新闻、出版、教育、医疗保健、药品和医疗器械、文化、视听节目服务等互联网信息服务，公益性互联单位和各相关电信企业不</w:t>
            </w:r>
            <w:r>
              <w:rPr>
                <w:sz w:val="21"/>
              </w:rPr>
              <w:t>得再为其提供相关接入服务，域名注册单位不得再为其提供域名解析服务。</w:t>
            </w:r>
          </w:p>
        </w:tc>
        <w:tc>
          <w:tcPr>
            <w:tcW w:w="1979" w:type="dxa"/>
          </w:tcPr>
          <w:p>
            <w:pPr>
              <w:pStyle w:val="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88" w:hRule="atLeast"/>
        </w:trPr>
        <w:tc>
          <w:tcPr>
            <w:tcW w:w="1743" w:type="dxa"/>
          </w:tcPr>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spacing w:before="4"/>
              <w:rPr>
                <w:rFonts w:ascii="Times New Roman"/>
                <w:sz w:val="21"/>
              </w:rPr>
            </w:pPr>
          </w:p>
          <w:p>
            <w:pPr>
              <w:pStyle w:val="8"/>
              <w:spacing w:line="321" w:lineRule="auto"/>
              <w:ind w:left="14" w:right="38"/>
              <w:rPr>
                <w:sz w:val="21"/>
              </w:rPr>
            </w:pPr>
            <w:r>
              <w:rPr>
                <w:rFonts w:ascii="Times New Roman" w:eastAsia="Times New Roman"/>
                <w:sz w:val="21"/>
              </w:rPr>
              <w:t>27.</w:t>
            </w:r>
            <w:r>
              <w:rPr>
                <w:position w:val="1"/>
                <w:sz w:val="21"/>
              </w:rPr>
              <w:t>依法限制其作</w:t>
            </w:r>
            <w:r>
              <w:rPr>
                <w:sz w:val="21"/>
              </w:rPr>
              <w:t>为供应商参与政府采购活动；依法限制其作为装备承制单位参与武器装备采购。</w:t>
            </w:r>
          </w:p>
        </w:tc>
        <w:tc>
          <w:tcPr>
            <w:tcW w:w="9915" w:type="dxa"/>
          </w:tcPr>
          <w:p>
            <w:pPr>
              <w:pStyle w:val="8"/>
              <w:spacing w:before="61"/>
              <w:ind w:left="13"/>
              <w:rPr>
                <w:b/>
                <w:sz w:val="21"/>
              </w:rPr>
            </w:pPr>
            <w:r>
              <w:rPr>
                <w:b/>
                <w:sz w:val="21"/>
              </w:rPr>
              <w:t>《中华人民共和国政府采购法》</w:t>
            </w:r>
          </w:p>
          <w:p>
            <w:pPr>
              <w:pStyle w:val="8"/>
              <w:spacing w:before="91"/>
              <w:ind w:left="433"/>
              <w:rPr>
                <w:sz w:val="21"/>
              </w:rPr>
            </w:pPr>
            <w:r>
              <w:rPr>
                <w:sz w:val="21"/>
              </w:rPr>
              <w:t>第二十二条 供应商参加政府采购活动应当具备下列条件：</w:t>
            </w:r>
          </w:p>
          <w:p>
            <w:pPr>
              <w:pStyle w:val="8"/>
              <w:spacing w:before="91"/>
              <w:ind w:left="493"/>
              <w:rPr>
                <w:sz w:val="21"/>
              </w:rPr>
            </w:pPr>
            <w:r>
              <w:rPr>
                <w:sz w:val="21"/>
              </w:rPr>
              <w:t>（一）具有独立承担民事责任的能力；</w:t>
            </w:r>
          </w:p>
          <w:p>
            <w:pPr>
              <w:pStyle w:val="8"/>
              <w:spacing w:before="91"/>
              <w:ind w:left="493"/>
              <w:rPr>
                <w:sz w:val="21"/>
              </w:rPr>
            </w:pPr>
            <w:r>
              <w:rPr>
                <w:w w:val="95"/>
                <w:sz w:val="21"/>
              </w:rPr>
              <w:t>（二）具有良好的商业信誉和健全的财务会计制度；</w:t>
            </w:r>
          </w:p>
          <w:p>
            <w:pPr>
              <w:pStyle w:val="8"/>
              <w:spacing w:before="91"/>
              <w:ind w:left="493"/>
              <w:rPr>
                <w:sz w:val="21"/>
              </w:rPr>
            </w:pPr>
            <w:r>
              <w:rPr>
                <w:w w:val="95"/>
                <w:sz w:val="21"/>
              </w:rPr>
              <w:t>（三）具有履行合同所必需的设备和专业技术能力；</w:t>
            </w:r>
          </w:p>
          <w:p>
            <w:pPr>
              <w:pStyle w:val="8"/>
              <w:spacing w:before="91"/>
              <w:ind w:left="493"/>
              <w:rPr>
                <w:sz w:val="21"/>
              </w:rPr>
            </w:pPr>
            <w:r>
              <w:rPr>
                <w:w w:val="95"/>
                <w:sz w:val="21"/>
              </w:rPr>
              <w:t>（四）有依法缴纳税收和社会保障资金的良好记录；</w:t>
            </w:r>
          </w:p>
          <w:p>
            <w:pPr>
              <w:pStyle w:val="8"/>
              <w:spacing w:before="91"/>
              <w:ind w:left="493"/>
              <w:rPr>
                <w:sz w:val="21"/>
              </w:rPr>
            </w:pPr>
            <w:r>
              <w:rPr>
                <w:sz w:val="21"/>
              </w:rPr>
              <w:t>（五）参加政府采购活动前三年内，在经营活动中没有重大违法记录；</w:t>
            </w:r>
          </w:p>
          <w:p>
            <w:pPr>
              <w:pStyle w:val="8"/>
              <w:spacing w:before="90"/>
              <w:ind w:left="493"/>
              <w:rPr>
                <w:sz w:val="21"/>
              </w:rPr>
            </w:pPr>
            <w:r>
              <w:rPr>
                <w:sz w:val="21"/>
              </w:rPr>
              <w:t>（六）法律、行政法规规定的其他条件。</w:t>
            </w:r>
          </w:p>
          <w:p>
            <w:pPr>
              <w:pStyle w:val="8"/>
              <w:spacing w:before="91" w:line="321" w:lineRule="auto"/>
              <w:ind w:left="13" w:right="20" w:firstLine="420"/>
              <w:rPr>
                <w:sz w:val="21"/>
              </w:rPr>
            </w:pPr>
            <w:r>
              <w:rPr>
                <w:w w:val="95"/>
                <w:sz w:val="21"/>
              </w:rPr>
              <w:t>采购人可以根据采购项目的特殊要求，规定供应商的特定条件，但不得以不合理的条件对供应商实行差</w:t>
            </w:r>
            <w:r>
              <w:rPr>
                <w:sz w:val="21"/>
              </w:rPr>
              <w:t>别待遇或者歧视待遇。</w:t>
            </w:r>
          </w:p>
          <w:p>
            <w:pPr>
              <w:pStyle w:val="8"/>
              <w:spacing w:line="268" w:lineRule="exact"/>
              <w:ind w:left="13"/>
              <w:rPr>
                <w:b/>
                <w:sz w:val="21"/>
              </w:rPr>
            </w:pPr>
            <w:r>
              <w:rPr>
                <w:b/>
                <w:sz w:val="21"/>
              </w:rPr>
              <w:t>《中华人民共和国政府采购法实施条例》</w:t>
            </w:r>
          </w:p>
          <w:p>
            <w:pPr>
              <w:pStyle w:val="8"/>
              <w:spacing w:before="91" w:line="321" w:lineRule="auto"/>
              <w:ind w:left="13" w:right="5" w:firstLine="420"/>
              <w:rPr>
                <w:sz w:val="21"/>
              </w:rPr>
            </w:pPr>
            <w:r>
              <w:rPr>
                <w:spacing w:val="-7"/>
                <w:sz w:val="21"/>
              </w:rPr>
              <w:t>第十九条 政府采购法第二十二条第一款第五项所称重大违法记录，是指供应商因违法经营受到刑事处罚或者责令停产停业、吊销许可证或者执照、较大数额罚款等行政处罚。</w:t>
            </w:r>
          </w:p>
          <w:p>
            <w:pPr>
              <w:pStyle w:val="8"/>
              <w:spacing w:line="321" w:lineRule="auto"/>
              <w:ind w:left="13" w:right="20" w:firstLine="420"/>
              <w:rPr>
                <w:sz w:val="21"/>
              </w:rPr>
            </w:pPr>
            <w:r>
              <w:rPr>
                <w:spacing w:val="-5"/>
                <w:sz w:val="21"/>
              </w:rPr>
              <w:t xml:space="preserve">供应商在参加政府采购活动前 </w:t>
            </w:r>
            <w:r>
              <w:rPr>
                <w:rFonts w:ascii="Times New Roman" w:eastAsia="Times New Roman"/>
                <w:sz w:val="21"/>
              </w:rPr>
              <w:t xml:space="preserve">3 </w:t>
            </w:r>
            <w:r>
              <w:rPr>
                <w:sz w:val="21"/>
              </w:rPr>
              <w:t>年内因违法经营被禁止在一定期限内参加政府采购活动，期限届满的， 可以参加政府采购活动。</w:t>
            </w:r>
          </w:p>
          <w:p>
            <w:pPr>
              <w:pStyle w:val="8"/>
              <w:spacing w:line="268" w:lineRule="exact"/>
              <w:ind w:left="13"/>
              <w:rPr>
                <w:b/>
                <w:sz w:val="21"/>
              </w:rPr>
            </w:pPr>
            <w:r>
              <w:rPr>
                <w:b/>
                <w:sz w:val="21"/>
              </w:rPr>
              <w:t>《国务院关于印发社会信用体系建设规划纲要（</w:t>
            </w:r>
            <w:r>
              <w:rPr>
                <w:rFonts w:ascii="Times New Roman" w:hAnsi="Times New Roman" w:eastAsia="Times New Roman"/>
                <w:b/>
                <w:sz w:val="21"/>
              </w:rPr>
              <w:t xml:space="preserve">2014—2020 </w:t>
            </w:r>
            <w:r>
              <w:rPr>
                <w:b/>
                <w:sz w:val="21"/>
              </w:rPr>
              <w:t>年）的通知》（国发〔</w:t>
            </w:r>
            <w:r>
              <w:rPr>
                <w:rFonts w:ascii="Times New Roman" w:hAnsi="Times New Roman" w:eastAsia="Times New Roman"/>
                <w:b/>
                <w:sz w:val="21"/>
              </w:rPr>
              <w:t>2014</w:t>
            </w:r>
            <w:r>
              <w:rPr>
                <w:b/>
                <w:sz w:val="21"/>
              </w:rPr>
              <w:t>〕</w:t>
            </w:r>
            <w:r>
              <w:rPr>
                <w:rFonts w:ascii="Times New Roman" w:hAnsi="Times New Roman" w:eastAsia="Times New Roman"/>
                <w:b/>
                <w:sz w:val="21"/>
              </w:rPr>
              <w:t xml:space="preserve">21 </w:t>
            </w:r>
            <w:r>
              <w:rPr>
                <w:b/>
                <w:sz w:val="21"/>
              </w:rPr>
              <w:t>号）</w:t>
            </w:r>
          </w:p>
        </w:tc>
        <w:tc>
          <w:tcPr>
            <w:tcW w:w="1979" w:type="dxa"/>
          </w:tcPr>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spacing w:before="5"/>
              <w:rPr>
                <w:rFonts w:ascii="Times New Roman"/>
                <w:sz w:val="24"/>
              </w:rPr>
            </w:pPr>
          </w:p>
          <w:p>
            <w:pPr>
              <w:pStyle w:val="8"/>
              <w:spacing w:line="321" w:lineRule="auto"/>
              <w:ind w:left="567" w:right="33" w:hanging="524"/>
              <w:rPr>
                <w:sz w:val="21"/>
              </w:rPr>
            </w:pPr>
            <w:r>
              <w:rPr>
                <w:sz w:val="21"/>
              </w:rPr>
              <w:t>财政部、中央军委装备发展部</w:t>
            </w:r>
          </w:p>
        </w:tc>
      </w:tr>
    </w:tbl>
    <w:p>
      <w:pPr>
        <w:spacing w:after="0" w:line="321" w:lineRule="auto"/>
        <w:rPr>
          <w:sz w:val="21"/>
        </w:rPr>
        <w:sectPr>
          <w:pgSz w:w="16840" w:h="11910" w:orient="landscape"/>
          <w:pgMar w:top="1100" w:right="960" w:bottom="1160" w:left="1700" w:header="0" w:footer="979" w:gutter="0"/>
        </w:sectPr>
      </w:pPr>
    </w:p>
    <w:p>
      <w:pPr>
        <w:pStyle w:val="3"/>
        <w:rPr>
          <w:rFonts w:ascii="Times New Roman"/>
          <w:sz w:val="29"/>
        </w:rPr>
      </w:pPr>
    </w:p>
    <w:tbl>
      <w:tblPr>
        <w:tblStyle w:val="4"/>
        <w:tblW w:w="0" w:type="auto"/>
        <w:tblInd w:w="34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43"/>
        <w:gridCol w:w="9915"/>
        <w:gridCol w:w="197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 w:hRule="atLeast"/>
        </w:trPr>
        <w:tc>
          <w:tcPr>
            <w:tcW w:w="1743" w:type="dxa"/>
          </w:tcPr>
          <w:p>
            <w:pPr>
              <w:pStyle w:val="8"/>
              <w:spacing w:before="63" w:line="438" w:lineRule="exact"/>
              <w:ind w:left="271"/>
              <w:rPr>
                <w:rFonts w:hint="eastAsia" w:ascii="Arial Unicode MS" w:eastAsia="Arial Unicode MS"/>
                <w:sz w:val="30"/>
              </w:rPr>
            </w:pPr>
            <w:r>
              <w:rPr>
                <w:rFonts w:hint="eastAsia" w:ascii="Arial Unicode MS" w:eastAsia="Arial Unicode MS"/>
                <w:sz w:val="30"/>
              </w:rPr>
              <w:t>惩戒措施</w:t>
            </w:r>
          </w:p>
        </w:tc>
        <w:tc>
          <w:tcPr>
            <w:tcW w:w="9915" w:type="dxa"/>
          </w:tcPr>
          <w:p>
            <w:pPr>
              <w:pStyle w:val="8"/>
              <w:spacing w:line="502" w:lineRule="exact"/>
              <w:ind w:left="3886" w:right="3878"/>
              <w:jc w:val="center"/>
              <w:rPr>
                <w:rFonts w:hint="eastAsia" w:ascii="Arial Unicode MS" w:eastAsia="Arial Unicode MS"/>
                <w:sz w:val="30"/>
              </w:rPr>
            </w:pPr>
            <w:r>
              <w:rPr>
                <w:rFonts w:hint="eastAsia" w:ascii="Arial Unicode MS" w:eastAsia="Arial Unicode MS"/>
                <w:sz w:val="30"/>
              </w:rPr>
              <w:t>法律及政策依据</w:t>
            </w:r>
          </w:p>
        </w:tc>
        <w:tc>
          <w:tcPr>
            <w:tcW w:w="1979" w:type="dxa"/>
          </w:tcPr>
          <w:p>
            <w:pPr>
              <w:pStyle w:val="8"/>
              <w:spacing w:line="502" w:lineRule="exact"/>
              <w:ind w:left="387"/>
              <w:rPr>
                <w:rFonts w:hint="eastAsia" w:ascii="Arial Unicode MS" w:eastAsia="Arial Unicode MS"/>
                <w:sz w:val="30"/>
              </w:rPr>
            </w:pPr>
            <w:r>
              <w:rPr>
                <w:rFonts w:hint="eastAsia" w:ascii="Arial Unicode MS" w:eastAsia="Arial Unicode MS"/>
                <w:sz w:val="30"/>
              </w:rPr>
              <w:t>实施部门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90" w:hRule="atLeast"/>
        </w:trPr>
        <w:tc>
          <w:tcPr>
            <w:tcW w:w="1743" w:type="dxa"/>
          </w:tcPr>
          <w:p>
            <w:pPr>
              <w:pStyle w:val="8"/>
              <w:rPr>
                <w:rFonts w:ascii="Times New Roman"/>
                <w:sz w:val="20"/>
              </w:rPr>
            </w:pPr>
          </w:p>
        </w:tc>
        <w:tc>
          <w:tcPr>
            <w:tcW w:w="9915" w:type="dxa"/>
          </w:tcPr>
          <w:p>
            <w:pPr>
              <w:pStyle w:val="8"/>
              <w:spacing w:before="60" w:line="321" w:lineRule="auto"/>
              <w:ind w:left="13" w:right="20" w:firstLine="420"/>
              <w:jc w:val="both"/>
              <w:rPr>
                <w:sz w:val="21"/>
              </w:rPr>
            </w:pPr>
            <w:r>
              <w:rPr>
                <w:w w:val="95"/>
                <w:sz w:val="21"/>
              </w:rPr>
              <w:t>政府采购领域信用建设。加强政府采购信用管理，强化联动惩戒，保护政府采购当事人的合法权益。制定供应商、评审专家、政府采购代理机构以及相关从业人员的信用记录标准。依法建立政府采购供应商不良行为记录名单，对列入不良行为记录名单的供应商，在一定期限内禁止参加政府采购活动。完善政府采购市场的准入和退出机制，充分利用工商、税务、金融、检察等其他部门提供的信用信息，加强对政府采购当事人和相关人员的信用管理。加快建设全国统一的政府采购管理交易系统，提高政府采购活动透明度，实现信</w:t>
            </w:r>
            <w:r>
              <w:rPr>
                <w:sz w:val="21"/>
              </w:rPr>
              <w:t>用信息的统一发布和共享。</w:t>
            </w:r>
          </w:p>
        </w:tc>
        <w:tc>
          <w:tcPr>
            <w:tcW w:w="1979" w:type="dxa"/>
          </w:tcPr>
          <w:p>
            <w:pPr>
              <w:pStyle w:val="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8" w:hRule="atLeast"/>
        </w:trPr>
        <w:tc>
          <w:tcPr>
            <w:tcW w:w="1743" w:type="dxa"/>
          </w:tcPr>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spacing w:before="7"/>
              <w:rPr>
                <w:rFonts w:ascii="Times New Roman"/>
                <w:sz w:val="19"/>
              </w:rPr>
            </w:pPr>
          </w:p>
          <w:p>
            <w:pPr>
              <w:pStyle w:val="8"/>
              <w:spacing w:line="321" w:lineRule="auto"/>
              <w:ind w:left="14" w:right="156"/>
              <w:rPr>
                <w:sz w:val="21"/>
              </w:rPr>
            </w:pPr>
            <w:r>
              <w:rPr>
                <w:rFonts w:ascii="Times New Roman" w:eastAsia="Times New Roman"/>
                <w:sz w:val="21"/>
              </w:rPr>
              <w:t>28.</w:t>
            </w:r>
            <w:r>
              <w:rPr>
                <w:position w:val="1"/>
                <w:sz w:val="21"/>
              </w:rPr>
              <w:t>依法限制取得</w:t>
            </w:r>
            <w:r>
              <w:rPr>
                <w:sz w:val="21"/>
              </w:rPr>
              <w:t>政府供应土地。</w:t>
            </w:r>
          </w:p>
        </w:tc>
        <w:tc>
          <w:tcPr>
            <w:tcW w:w="9915" w:type="dxa"/>
          </w:tcPr>
          <w:p>
            <w:pPr>
              <w:pStyle w:val="8"/>
              <w:spacing w:before="61"/>
              <w:ind w:left="13"/>
              <w:jc w:val="both"/>
              <w:rPr>
                <w:b/>
                <w:sz w:val="21"/>
              </w:rPr>
            </w:pPr>
            <w:r>
              <w:rPr>
                <w:b/>
                <w:sz w:val="21"/>
              </w:rPr>
              <w:t>《国务院关于促进市场公平竞争维护市场正常秩序的若干意见》（国发〔</w:t>
            </w:r>
            <w:r>
              <w:rPr>
                <w:rFonts w:ascii="Times New Roman" w:eastAsia="Times New Roman"/>
                <w:b/>
                <w:sz w:val="21"/>
              </w:rPr>
              <w:t>2014</w:t>
            </w:r>
            <w:r>
              <w:rPr>
                <w:b/>
                <w:sz w:val="21"/>
              </w:rPr>
              <w:t>〕</w:t>
            </w:r>
            <w:r>
              <w:rPr>
                <w:rFonts w:ascii="Times New Roman" w:eastAsia="Times New Roman"/>
                <w:b/>
                <w:sz w:val="21"/>
              </w:rPr>
              <w:t xml:space="preserve">20 </w:t>
            </w:r>
            <w:r>
              <w:rPr>
                <w:b/>
                <w:sz w:val="21"/>
              </w:rPr>
              <w:t>号）</w:t>
            </w:r>
          </w:p>
          <w:p>
            <w:pPr>
              <w:pStyle w:val="8"/>
              <w:spacing w:before="91" w:line="321" w:lineRule="auto"/>
              <w:ind w:left="13" w:right="20" w:firstLine="420"/>
              <w:jc w:val="both"/>
              <w:rPr>
                <w:sz w:val="21"/>
              </w:rPr>
            </w:pPr>
            <w:r>
              <w:rPr>
                <w:w w:val="95"/>
                <w:sz w:val="21"/>
              </w:rPr>
              <w:t>（十五）建立健全守信激励和失信惩戒机制。将市场主体的信用信息作为实施行政管理的重要参考。根据市场主体信用状况实行分类分级、动态监管，建立健全经营异常名录制度，对违背市场竞争原则和侵犯消</w:t>
            </w:r>
            <w:r>
              <w:rPr>
                <w:sz w:val="21"/>
              </w:rPr>
              <w:t>费者、劳动者合法权益的市场主体建立</w:t>
            </w:r>
            <w:r>
              <w:rPr>
                <w:rFonts w:ascii="Times New Roman" w:hAnsi="Times New Roman" w:eastAsia="Times New Roman"/>
                <w:sz w:val="21"/>
              </w:rPr>
              <w:t>“</w:t>
            </w:r>
            <w:r>
              <w:rPr>
                <w:sz w:val="21"/>
              </w:rPr>
              <w:t>黑名单</w:t>
            </w:r>
            <w:r>
              <w:rPr>
                <w:rFonts w:ascii="Times New Roman" w:hAnsi="Times New Roman" w:eastAsia="Times New Roman"/>
                <w:sz w:val="21"/>
              </w:rPr>
              <w:t>”</w:t>
            </w:r>
            <w:r>
              <w:rPr>
                <w:sz w:val="21"/>
              </w:rPr>
              <w:t>制度。（工商总局牵头负责）对守信主体予以支持和激励，</w:t>
            </w:r>
            <w:r>
              <w:rPr>
                <w:w w:val="95"/>
                <w:sz w:val="21"/>
              </w:rPr>
              <w:t>对失信主体在经营、投融资、取得政府供应土地、进出口、出入境、注册新公司、工程招投标、政府采购</w:t>
            </w:r>
            <w:r>
              <w:rPr>
                <w:rFonts w:hint="eastAsia"/>
                <w:w w:val="95"/>
                <w:sz w:val="21"/>
                <w:lang w:eastAsia="zh-CN"/>
              </w:rPr>
              <w:t>、</w:t>
            </w:r>
            <w:r>
              <w:rPr>
                <w:w w:val="95"/>
                <w:sz w:val="21"/>
              </w:rPr>
              <w:t>获得荣誉、安全许可、生产许可、从业任职资格、资质审核等方面依法予以限制或禁止，对严重违法失信主</w:t>
            </w:r>
            <w:r>
              <w:rPr>
                <w:sz w:val="21"/>
              </w:rPr>
              <w:t>体实行市场禁入制度。</w:t>
            </w:r>
          </w:p>
          <w:p>
            <w:pPr>
              <w:pStyle w:val="8"/>
              <w:spacing w:line="266" w:lineRule="exact"/>
              <w:ind w:left="13"/>
              <w:jc w:val="both"/>
              <w:rPr>
                <w:b/>
                <w:sz w:val="21"/>
              </w:rPr>
            </w:pPr>
            <w:r>
              <w:rPr>
                <w:b/>
                <w:sz w:val="21"/>
              </w:rPr>
              <w:t xml:space="preserve">《企业信息公示暂行条例》（国务院令第 </w:t>
            </w:r>
            <w:r>
              <w:rPr>
                <w:rFonts w:ascii="Times New Roman" w:eastAsia="Times New Roman"/>
                <w:b/>
                <w:sz w:val="21"/>
              </w:rPr>
              <w:t xml:space="preserve">654 </w:t>
            </w:r>
            <w:r>
              <w:rPr>
                <w:b/>
                <w:sz w:val="21"/>
              </w:rPr>
              <w:t>号）</w:t>
            </w:r>
          </w:p>
          <w:p>
            <w:pPr>
              <w:pStyle w:val="8"/>
              <w:spacing w:before="91" w:line="321" w:lineRule="auto"/>
              <w:ind w:left="13" w:right="20" w:firstLine="525"/>
              <w:rPr>
                <w:sz w:val="21"/>
              </w:rPr>
            </w:pPr>
            <w:r>
              <w:rPr>
                <w:spacing w:val="-6"/>
                <w:sz w:val="21"/>
              </w:rPr>
              <w:t>第十八条 县级以上地方人民政府及其有关部门应当建立健全信用约束机制，在政府采购、工程招投标</w:t>
            </w:r>
            <w:r>
              <w:rPr>
                <w:spacing w:val="-6"/>
                <w:w w:val="95"/>
                <w:sz w:val="21"/>
              </w:rPr>
              <w:t>国有土地出让、授予荣誉称号等工作中，将企业信息作为重要考量因素，对被列入经营异常名录或者严重违</w:t>
            </w:r>
            <w:r>
              <w:rPr>
                <w:spacing w:val="-6"/>
                <w:sz w:val="21"/>
              </w:rPr>
              <w:t>法企业名单的企业依法予以限制或者禁入。</w:t>
            </w:r>
          </w:p>
          <w:p>
            <w:pPr>
              <w:pStyle w:val="8"/>
              <w:spacing w:line="321" w:lineRule="auto"/>
              <w:ind w:left="13" w:right="394"/>
              <w:rPr>
                <w:b/>
                <w:sz w:val="21"/>
              </w:rPr>
            </w:pPr>
            <w:r>
              <w:rPr>
                <w:b/>
                <w:spacing w:val="-2"/>
                <w:w w:val="95"/>
                <w:sz w:val="21"/>
              </w:rPr>
              <w:t>《国务院关于建立完善守信联合激励和失信联合惩戒制度加快推进社会诚信建设的指导意见》</w:t>
            </w:r>
            <w:r>
              <w:rPr>
                <w:b/>
                <w:w w:val="95"/>
                <w:sz w:val="21"/>
              </w:rPr>
              <w:t>（</w:t>
            </w:r>
            <w:r>
              <w:rPr>
                <w:b/>
                <w:spacing w:val="-14"/>
                <w:w w:val="95"/>
                <w:sz w:val="21"/>
              </w:rPr>
              <w:t>国发〔</w:t>
            </w:r>
            <w:r>
              <w:rPr>
                <w:rFonts w:ascii="Times New Roman" w:eastAsia="Times New Roman"/>
                <w:b/>
                <w:w w:val="95"/>
                <w:sz w:val="21"/>
              </w:rPr>
              <w:t xml:space="preserve">2016      </w:t>
            </w:r>
            <w:r>
              <w:rPr>
                <w:rFonts w:ascii="Times New Roman" w:eastAsia="Times New Roman"/>
                <w:b/>
                <w:sz w:val="21"/>
              </w:rPr>
              <w:t>33</w:t>
            </w:r>
            <w:r>
              <w:rPr>
                <w:rFonts w:ascii="Times New Roman" w:eastAsia="Times New Roman"/>
                <w:b/>
                <w:spacing w:val="-1"/>
                <w:sz w:val="21"/>
              </w:rPr>
              <w:t xml:space="preserve"> </w:t>
            </w:r>
            <w:r>
              <w:rPr>
                <w:b/>
                <w:sz w:val="21"/>
              </w:rPr>
              <w:t>号）</w:t>
            </w:r>
          </w:p>
          <w:p>
            <w:pPr>
              <w:pStyle w:val="8"/>
              <w:spacing w:line="321" w:lineRule="auto"/>
              <w:ind w:left="13" w:right="20" w:firstLine="420"/>
              <w:jc w:val="both"/>
              <w:rPr>
                <w:sz w:val="21"/>
              </w:rPr>
            </w:pPr>
            <w:r>
              <w:rPr>
                <w:w w:val="95"/>
                <w:sz w:val="21"/>
              </w:rPr>
              <w:t>（十）依法依规加强对失信行为的行政性约束和惩戒。对严重失信主体，各地区、各有关部门应将其列为重点监管对象，依法依规采取行政性约束和惩戒措施。从严审核行政许可审批项目，从严控制生产许可证</w:t>
            </w:r>
            <w:r>
              <w:rPr>
                <w:spacing w:val="-9"/>
                <w:sz w:val="21"/>
              </w:rPr>
              <w:t>发放，限制新增项目审批、核准，限制股票发行上市融资或发行债券，限制在全国股份转让系统挂牌、融资</w:t>
            </w:r>
            <w:r>
              <w:rPr>
                <w:sz w:val="21"/>
              </w:rPr>
              <w:t>限制发起设立或参股金融机构以及小额贷款公司、融资担保公司、创业投资公司、互联网融资平台等机构，</w:t>
            </w:r>
          </w:p>
        </w:tc>
        <w:tc>
          <w:tcPr>
            <w:tcW w:w="1979" w:type="dxa"/>
          </w:tcPr>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spacing w:before="8"/>
              <w:rPr>
                <w:rFonts w:ascii="Times New Roman"/>
                <w:sz w:val="15"/>
              </w:rPr>
            </w:pPr>
          </w:p>
          <w:p>
            <w:pPr>
              <w:pStyle w:val="8"/>
              <w:tabs>
                <w:tab w:val="left" w:pos="464"/>
              </w:tabs>
              <w:spacing w:before="1"/>
              <w:ind w:left="-122"/>
              <w:rPr>
                <w:sz w:val="21"/>
              </w:rPr>
            </w:pPr>
            <w:r>
              <w:rPr>
                <w:sz w:val="21"/>
              </w:rPr>
              <w:t>、</w:t>
            </w:r>
            <w:r>
              <w:rPr>
                <w:sz w:val="21"/>
              </w:rPr>
              <w:tab/>
            </w:r>
            <w:r>
              <w:rPr>
                <w:sz w:val="21"/>
              </w:rPr>
              <w:t>自然资源部</w:t>
            </w:r>
          </w:p>
          <w:p>
            <w:pPr>
              <w:pStyle w:val="8"/>
              <w:rPr>
                <w:rFonts w:ascii="Times New Roman"/>
                <w:sz w:val="20"/>
              </w:rPr>
            </w:pPr>
          </w:p>
          <w:p>
            <w:pPr>
              <w:pStyle w:val="8"/>
              <w:rPr>
                <w:rFonts w:ascii="Times New Roman"/>
                <w:sz w:val="20"/>
              </w:rPr>
            </w:pPr>
          </w:p>
          <w:p>
            <w:pPr>
              <w:pStyle w:val="8"/>
              <w:rPr>
                <w:rFonts w:ascii="Times New Roman"/>
                <w:sz w:val="20"/>
              </w:rPr>
            </w:pPr>
          </w:p>
          <w:p>
            <w:pPr>
              <w:pStyle w:val="8"/>
              <w:spacing w:before="121"/>
              <w:ind w:left="-122"/>
              <w:rPr>
                <w:b/>
                <w:sz w:val="21"/>
              </w:rPr>
            </w:pPr>
            <w:r>
              <w:rPr>
                <w:b/>
                <w:w w:val="99"/>
                <w:sz w:val="21"/>
              </w:rPr>
              <w:t>〕</w:t>
            </w: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spacing w:before="9"/>
              <w:rPr>
                <w:rFonts w:ascii="Times New Roman"/>
                <w:sz w:val="21"/>
              </w:rPr>
            </w:pPr>
          </w:p>
          <w:p>
            <w:pPr>
              <w:pStyle w:val="8"/>
              <w:ind w:left="-122"/>
              <w:rPr>
                <w:sz w:val="21"/>
              </w:rPr>
            </w:pPr>
            <w:r>
              <w:rPr>
                <w:w w:val="99"/>
                <w:sz w:val="21"/>
              </w:rPr>
              <w:t>，</w:t>
            </w:r>
          </w:p>
        </w:tc>
      </w:tr>
    </w:tbl>
    <w:p>
      <w:pPr>
        <w:spacing w:after="0"/>
        <w:rPr>
          <w:sz w:val="21"/>
        </w:rPr>
        <w:sectPr>
          <w:pgSz w:w="16840" w:h="11910" w:orient="landscape"/>
          <w:pgMar w:top="1100" w:right="960" w:bottom="1160" w:left="1700" w:header="0" w:footer="979" w:gutter="0"/>
        </w:sectPr>
      </w:pPr>
    </w:p>
    <w:p>
      <w:pPr>
        <w:pStyle w:val="3"/>
        <w:rPr>
          <w:rFonts w:ascii="Times New Roman"/>
          <w:sz w:val="29"/>
        </w:rPr>
      </w:pPr>
    </w:p>
    <w:tbl>
      <w:tblPr>
        <w:tblStyle w:val="4"/>
        <w:tblW w:w="0" w:type="auto"/>
        <w:tblInd w:w="34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43"/>
        <w:gridCol w:w="9915"/>
        <w:gridCol w:w="197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 w:hRule="atLeast"/>
        </w:trPr>
        <w:tc>
          <w:tcPr>
            <w:tcW w:w="1743" w:type="dxa"/>
          </w:tcPr>
          <w:p>
            <w:pPr>
              <w:pStyle w:val="8"/>
              <w:spacing w:before="63" w:line="438" w:lineRule="exact"/>
              <w:ind w:left="271"/>
              <w:rPr>
                <w:rFonts w:hint="eastAsia" w:ascii="Arial Unicode MS" w:eastAsia="Arial Unicode MS"/>
                <w:sz w:val="30"/>
              </w:rPr>
            </w:pPr>
            <w:r>
              <w:rPr>
                <w:rFonts w:hint="eastAsia" w:ascii="Arial Unicode MS" w:eastAsia="Arial Unicode MS"/>
                <w:sz w:val="30"/>
              </w:rPr>
              <w:t>惩戒措施</w:t>
            </w:r>
          </w:p>
        </w:tc>
        <w:tc>
          <w:tcPr>
            <w:tcW w:w="9915" w:type="dxa"/>
          </w:tcPr>
          <w:p>
            <w:pPr>
              <w:pStyle w:val="8"/>
              <w:spacing w:line="502" w:lineRule="exact"/>
              <w:ind w:left="3886" w:right="3878"/>
              <w:jc w:val="center"/>
              <w:rPr>
                <w:rFonts w:hint="eastAsia" w:ascii="Arial Unicode MS" w:eastAsia="Arial Unicode MS"/>
                <w:sz w:val="30"/>
              </w:rPr>
            </w:pPr>
            <w:r>
              <w:rPr>
                <w:rFonts w:hint="eastAsia" w:ascii="Arial Unicode MS" w:eastAsia="Arial Unicode MS"/>
                <w:sz w:val="30"/>
              </w:rPr>
              <w:t>法律及政策依据</w:t>
            </w:r>
          </w:p>
        </w:tc>
        <w:tc>
          <w:tcPr>
            <w:tcW w:w="1979" w:type="dxa"/>
          </w:tcPr>
          <w:p>
            <w:pPr>
              <w:pStyle w:val="8"/>
              <w:spacing w:line="502" w:lineRule="exact"/>
              <w:ind w:left="387"/>
              <w:rPr>
                <w:rFonts w:hint="eastAsia" w:ascii="Arial Unicode MS" w:eastAsia="Arial Unicode MS"/>
                <w:sz w:val="30"/>
              </w:rPr>
            </w:pPr>
            <w:r>
              <w:rPr>
                <w:rFonts w:hint="eastAsia" w:ascii="Arial Unicode MS" w:eastAsia="Arial Unicode MS"/>
                <w:sz w:val="30"/>
              </w:rPr>
              <w:t>实施部门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70" w:hRule="atLeast"/>
        </w:trPr>
        <w:tc>
          <w:tcPr>
            <w:tcW w:w="1743" w:type="dxa"/>
          </w:tcPr>
          <w:p>
            <w:pPr>
              <w:pStyle w:val="8"/>
              <w:rPr>
                <w:rFonts w:ascii="Times New Roman"/>
                <w:sz w:val="20"/>
              </w:rPr>
            </w:pPr>
          </w:p>
        </w:tc>
        <w:tc>
          <w:tcPr>
            <w:tcW w:w="9915" w:type="dxa"/>
          </w:tcPr>
          <w:p>
            <w:pPr>
              <w:pStyle w:val="8"/>
              <w:spacing w:before="60" w:line="321" w:lineRule="auto"/>
              <w:ind w:left="13" w:right="20"/>
              <w:jc w:val="both"/>
              <w:rPr>
                <w:sz w:val="21"/>
              </w:rPr>
            </w:pPr>
            <w:r>
              <w:rPr>
                <w:w w:val="95"/>
                <w:sz w:val="21"/>
              </w:rPr>
              <w:t>限制从事互联网信息服务等。严格限制申请财政性资金项目，限制参与有关公共资源交易活动，限制参与基础设施和公用事业特许经营。对严重失信企业及其法定代表人、主要负责人和对失信行为负有直接责任的注册执业人员等实施市场和行业禁入措施。及时撤销严重失信企业及其法定代表人、负责人、高级管理人员和</w:t>
            </w:r>
            <w:r>
              <w:rPr>
                <w:sz w:val="21"/>
              </w:rPr>
              <w:t>对失信行为负有直接责任的董事、股东等人员的荣誉称号，取消参加评先评优资格。</w:t>
            </w:r>
          </w:p>
        </w:tc>
        <w:tc>
          <w:tcPr>
            <w:tcW w:w="1979" w:type="dxa"/>
          </w:tcPr>
          <w:p>
            <w:pPr>
              <w:pStyle w:val="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9" w:hRule="atLeast"/>
        </w:trPr>
        <w:tc>
          <w:tcPr>
            <w:tcW w:w="1743" w:type="dxa"/>
          </w:tcPr>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spacing w:before="8"/>
              <w:rPr>
                <w:rFonts w:ascii="Times New Roman"/>
                <w:sz w:val="25"/>
              </w:rPr>
            </w:pPr>
          </w:p>
          <w:p>
            <w:pPr>
              <w:pStyle w:val="8"/>
              <w:spacing w:line="321" w:lineRule="auto"/>
              <w:ind w:left="14" w:right="156"/>
              <w:rPr>
                <w:sz w:val="21"/>
              </w:rPr>
            </w:pPr>
            <w:r>
              <w:rPr>
                <w:rFonts w:ascii="Times New Roman" w:eastAsia="Times New Roman"/>
                <w:sz w:val="21"/>
              </w:rPr>
              <w:t>29.</w:t>
            </w:r>
            <w:r>
              <w:rPr>
                <w:position w:val="1"/>
                <w:sz w:val="21"/>
              </w:rPr>
              <w:t>依法限制取得</w:t>
            </w:r>
            <w:r>
              <w:rPr>
                <w:sz w:val="21"/>
              </w:rPr>
              <w:t>生产许可证。</w:t>
            </w:r>
          </w:p>
        </w:tc>
        <w:tc>
          <w:tcPr>
            <w:tcW w:w="9915" w:type="dxa"/>
          </w:tcPr>
          <w:p>
            <w:pPr>
              <w:pStyle w:val="8"/>
              <w:spacing w:before="61" w:line="321" w:lineRule="auto"/>
              <w:ind w:left="426" w:right="1829" w:hanging="413"/>
              <w:jc w:val="both"/>
              <w:rPr>
                <w:sz w:val="21"/>
              </w:rPr>
            </w:pPr>
            <w:r>
              <w:rPr>
                <w:b/>
                <w:sz w:val="21"/>
              </w:rPr>
              <w:t>《国务院关于促进市场公平竞争维护市场正常秩序的若干意见》（国发〔</w:t>
            </w:r>
            <w:r>
              <w:rPr>
                <w:rFonts w:ascii="Times New Roman" w:eastAsia="Times New Roman"/>
                <w:b/>
                <w:sz w:val="21"/>
              </w:rPr>
              <w:t>2014</w:t>
            </w:r>
            <w:r>
              <w:rPr>
                <w:b/>
                <w:sz w:val="21"/>
              </w:rPr>
              <w:t>〕</w:t>
            </w:r>
            <w:r>
              <w:rPr>
                <w:rFonts w:ascii="Times New Roman" w:eastAsia="Times New Roman"/>
                <w:b/>
                <w:sz w:val="21"/>
              </w:rPr>
              <w:t xml:space="preserve">20 </w:t>
            </w:r>
            <w:r>
              <w:rPr>
                <w:b/>
                <w:sz w:val="21"/>
              </w:rPr>
              <w:t xml:space="preserve">号） </w:t>
            </w:r>
            <w:r>
              <w:rPr>
                <w:sz w:val="21"/>
              </w:rPr>
              <w:t>四、夯实监管信用基础</w:t>
            </w:r>
          </w:p>
          <w:p>
            <w:pPr>
              <w:pStyle w:val="8"/>
              <w:spacing w:line="321" w:lineRule="auto"/>
              <w:ind w:left="13" w:right="20" w:firstLine="420"/>
              <w:jc w:val="both"/>
              <w:rPr>
                <w:sz w:val="21"/>
              </w:rPr>
            </w:pPr>
            <w:r>
              <w:rPr>
                <w:w w:val="95"/>
                <w:sz w:val="21"/>
              </w:rPr>
              <w:t>（十五）建立健全守信激励和失信惩戒机制。将市场主体的信用信息作为实施行政管理的重要参考。根据市场主体信用状况实行分类分级、动态监管，建立健全经营异常名录制度，对违背市场竞争原则和侵犯消</w:t>
            </w:r>
            <w:r>
              <w:rPr>
                <w:sz w:val="21"/>
              </w:rPr>
              <w:t>费者、劳动者合法权益的市场主体建立</w:t>
            </w:r>
            <w:r>
              <w:rPr>
                <w:rFonts w:ascii="Times New Roman" w:hAnsi="Times New Roman" w:eastAsia="Times New Roman"/>
                <w:sz w:val="21"/>
              </w:rPr>
              <w:t>“</w:t>
            </w:r>
            <w:r>
              <w:rPr>
                <w:sz w:val="21"/>
              </w:rPr>
              <w:t>黑名单</w:t>
            </w:r>
            <w:r>
              <w:rPr>
                <w:rFonts w:ascii="Times New Roman" w:hAnsi="Times New Roman" w:eastAsia="Times New Roman"/>
                <w:sz w:val="21"/>
              </w:rPr>
              <w:t>”</w:t>
            </w:r>
            <w:r>
              <w:rPr>
                <w:sz w:val="21"/>
              </w:rPr>
              <w:t>制度。（工商总局牵头负责）对守信主体予以支持和激励，</w:t>
            </w:r>
            <w:r>
              <w:rPr>
                <w:w w:val="95"/>
                <w:sz w:val="21"/>
              </w:rPr>
              <w:t>对失信主体在经营、投融资、取得政府供应土地、进出口、出入境、注册新公司、工程招投标、政府采购、获得荣誉、安全许可、生产许可、从业任职资格、资质审核等方面依法予以限制或禁止，对严重违法失信主</w:t>
            </w:r>
            <w:r>
              <w:rPr>
                <w:sz w:val="21"/>
              </w:rPr>
              <w:t>体实行市场禁入制度。（各相关市场监管部门按职责分工分别负责）</w:t>
            </w:r>
          </w:p>
          <w:p>
            <w:pPr>
              <w:pStyle w:val="8"/>
              <w:spacing w:line="266" w:lineRule="exact"/>
              <w:ind w:left="13"/>
              <w:rPr>
                <w:b/>
                <w:sz w:val="21"/>
              </w:rPr>
            </w:pPr>
            <w:r>
              <w:rPr>
                <w:b/>
                <w:sz w:val="21"/>
              </w:rPr>
              <w:t>《工业产品生产许可证管理条例》</w:t>
            </w:r>
          </w:p>
          <w:p>
            <w:pPr>
              <w:pStyle w:val="8"/>
              <w:spacing w:before="90"/>
              <w:ind w:left="426"/>
              <w:rPr>
                <w:sz w:val="21"/>
              </w:rPr>
            </w:pPr>
            <w:r>
              <w:rPr>
                <w:sz w:val="21"/>
              </w:rPr>
              <w:t>第九条 企业取得生产许可证，应当符合下列条件：</w:t>
            </w:r>
          </w:p>
          <w:p>
            <w:pPr>
              <w:pStyle w:val="8"/>
              <w:spacing w:before="91"/>
              <w:ind w:left="433"/>
              <w:rPr>
                <w:sz w:val="21"/>
              </w:rPr>
            </w:pPr>
            <w:r>
              <w:rPr>
                <w:sz w:val="21"/>
              </w:rPr>
              <w:t>（十六）（三）有与所生产产品相适应的生产条件和检验检疫手段；</w:t>
            </w:r>
          </w:p>
        </w:tc>
        <w:tc>
          <w:tcPr>
            <w:tcW w:w="1979" w:type="dxa"/>
          </w:tcPr>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spacing w:before="9"/>
              <w:rPr>
                <w:rFonts w:ascii="Times New Roman"/>
                <w:sz w:val="21"/>
              </w:rPr>
            </w:pPr>
          </w:p>
          <w:p>
            <w:pPr>
              <w:pStyle w:val="8"/>
              <w:spacing w:before="1"/>
              <w:ind w:left="15"/>
              <w:rPr>
                <w:sz w:val="21"/>
              </w:rPr>
            </w:pPr>
            <w:r>
              <w:rPr>
                <w:sz w:val="21"/>
              </w:rPr>
              <w:t>市场监管总局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8" w:hRule="atLeast"/>
        </w:trPr>
        <w:tc>
          <w:tcPr>
            <w:tcW w:w="1743" w:type="dxa"/>
          </w:tcPr>
          <w:p>
            <w:pPr>
              <w:pStyle w:val="8"/>
              <w:spacing w:before="4"/>
              <w:rPr>
                <w:rFonts w:ascii="Times New Roman"/>
                <w:sz w:val="20"/>
              </w:rPr>
            </w:pPr>
          </w:p>
          <w:p>
            <w:pPr>
              <w:pStyle w:val="8"/>
              <w:spacing w:line="321" w:lineRule="auto"/>
              <w:ind w:left="14" w:right="2"/>
              <w:jc w:val="both"/>
              <w:rPr>
                <w:sz w:val="21"/>
              </w:rPr>
            </w:pPr>
            <w:r>
              <w:rPr>
                <w:rFonts w:ascii="Times New Roman" w:eastAsia="Times New Roman"/>
                <w:sz w:val="21"/>
              </w:rPr>
              <w:t xml:space="preserve">30. </w:t>
            </w:r>
            <w:r>
              <w:rPr>
                <w:position w:val="1"/>
                <w:sz w:val="21"/>
              </w:rPr>
              <w:t>依法限制取得</w:t>
            </w:r>
            <w:r>
              <w:rPr>
                <w:sz w:val="21"/>
              </w:rPr>
              <w:t>建筑开发规划选址许可、新增建设项目规划许可、水土保持方案许可和设施验收许可、施工许可等。</w:t>
            </w:r>
          </w:p>
        </w:tc>
        <w:tc>
          <w:tcPr>
            <w:tcW w:w="9915" w:type="dxa"/>
          </w:tcPr>
          <w:p>
            <w:pPr>
              <w:pStyle w:val="8"/>
              <w:spacing w:before="59"/>
              <w:ind w:left="13"/>
              <w:rPr>
                <w:b/>
                <w:sz w:val="21"/>
              </w:rPr>
            </w:pPr>
            <w:r>
              <w:rPr>
                <w:b/>
                <w:sz w:val="21"/>
              </w:rPr>
              <w:t>《中华人民共和国城乡规划法》</w:t>
            </w:r>
          </w:p>
          <w:p>
            <w:pPr>
              <w:pStyle w:val="8"/>
              <w:spacing w:before="91"/>
              <w:ind w:left="13"/>
              <w:rPr>
                <w:b/>
                <w:sz w:val="21"/>
              </w:rPr>
            </w:pPr>
            <w:r>
              <w:rPr>
                <w:b/>
                <w:sz w:val="21"/>
              </w:rPr>
              <w:t>《中华人民共和国环境影响评价法》</w:t>
            </w:r>
          </w:p>
          <w:p>
            <w:pPr>
              <w:pStyle w:val="8"/>
              <w:spacing w:before="91"/>
              <w:ind w:left="13"/>
              <w:rPr>
                <w:b/>
                <w:sz w:val="21"/>
              </w:rPr>
            </w:pPr>
            <w:r>
              <w:rPr>
                <w:b/>
                <w:sz w:val="21"/>
              </w:rPr>
              <w:t>《中华人民共和国建筑法》</w:t>
            </w:r>
          </w:p>
          <w:p>
            <w:pPr>
              <w:pStyle w:val="8"/>
              <w:spacing w:before="94"/>
              <w:ind w:left="13" w:right="-29"/>
              <w:rPr>
                <w:b/>
                <w:sz w:val="21"/>
              </w:rPr>
            </w:pPr>
            <w:r>
              <w:rPr>
                <w:b/>
                <w:spacing w:val="-2"/>
                <w:w w:val="95"/>
                <w:sz w:val="21"/>
              </w:rPr>
              <w:t>《国务院关于建立完善守信联合激励和失信联合惩戒制度加快推进社会诚信建设的指导意见》</w:t>
            </w:r>
            <w:r>
              <w:rPr>
                <w:b/>
                <w:w w:val="95"/>
                <w:sz w:val="21"/>
              </w:rPr>
              <w:t>（</w:t>
            </w:r>
            <w:r>
              <w:rPr>
                <w:b/>
                <w:spacing w:val="-14"/>
                <w:w w:val="95"/>
                <w:sz w:val="21"/>
              </w:rPr>
              <w:t>国发〔</w:t>
            </w:r>
            <w:r>
              <w:rPr>
                <w:rFonts w:ascii="Times New Roman" w:eastAsia="Times New Roman"/>
                <w:b/>
                <w:w w:val="95"/>
                <w:sz w:val="21"/>
              </w:rPr>
              <w:t>2016</w:t>
            </w:r>
            <w:r>
              <w:rPr>
                <w:b/>
                <w:spacing w:val="-73"/>
                <w:w w:val="95"/>
                <w:sz w:val="21"/>
              </w:rPr>
              <w:t>〕</w:t>
            </w:r>
          </w:p>
          <w:p>
            <w:pPr>
              <w:pStyle w:val="8"/>
              <w:spacing w:before="90"/>
              <w:ind w:left="13"/>
              <w:rPr>
                <w:b/>
                <w:sz w:val="21"/>
              </w:rPr>
            </w:pPr>
            <w:r>
              <w:rPr>
                <w:rFonts w:ascii="Times New Roman" w:eastAsia="Times New Roman"/>
                <w:b/>
                <w:sz w:val="21"/>
              </w:rPr>
              <w:t xml:space="preserve">33 </w:t>
            </w:r>
            <w:r>
              <w:rPr>
                <w:b/>
                <w:sz w:val="21"/>
              </w:rPr>
              <w:t>号）</w:t>
            </w:r>
          </w:p>
          <w:p>
            <w:pPr>
              <w:pStyle w:val="8"/>
              <w:spacing w:before="11" w:line="360" w:lineRule="exact"/>
              <w:ind w:left="13" w:right="20" w:firstLine="420"/>
              <w:jc w:val="both"/>
              <w:rPr>
                <w:sz w:val="21"/>
              </w:rPr>
            </w:pPr>
            <w:r>
              <w:rPr>
                <w:w w:val="95"/>
                <w:sz w:val="21"/>
              </w:rPr>
              <w:t>（十）依法依规加强对失信行为的行政性约束和惩戒。对严重失信主体，各地区、各有关部门应将其列为重点监管对象，依法依规采取行政性约束和惩戒措施。从严审核行政许可审批项目，从严控制生产许可证</w:t>
            </w:r>
            <w:r>
              <w:rPr>
                <w:spacing w:val="-9"/>
                <w:sz w:val="21"/>
              </w:rPr>
              <w:t>发放，限制新增项目审批、核准，限制股票发行上市融资或发行债券，限制在全国股份转让系统挂牌、融资</w:t>
            </w:r>
          </w:p>
        </w:tc>
        <w:tc>
          <w:tcPr>
            <w:tcW w:w="1979" w:type="dxa"/>
          </w:tcPr>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2"/>
              </w:rPr>
            </w:pPr>
          </w:p>
          <w:p>
            <w:pPr>
              <w:pStyle w:val="8"/>
              <w:spacing w:line="321" w:lineRule="auto"/>
              <w:ind w:left="15" w:right="2"/>
              <w:rPr>
                <w:sz w:val="21"/>
              </w:rPr>
            </w:pPr>
            <w:r>
              <w:rPr>
                <w:sz w:val="21"/>
              </w:rPr>
              <w:t>住房城乡建设部、水利部</w:t>
            </w:r>
          </w:p>
          <w:p>
            <w:pPr>
              <w:pStyle w:val="8"/>
              <w:rPr>
                <w:rFonts w:ascii="Times New Roman"/>
                <w:sz w:val="20"/>
              </w:rPr>
            </w:pPr>
          </w:p>
          <w:p>
            <w:pPr>
              <w:pStyle w:val="8"/>
              <w:rPr>
                <w:rFonts w:ascii="Times New Roman"/>
                <w:sz w:val="20"/>
              </w:rPr>
            </w:pPr>
          </w:p>
          <w:p>
            <w:pPr>
              <w:pStyle w:val="8"/>
              <w:spacing w:before="7"/>
              <w:rPr>
                <w:rFonts w:ascii="Times New Roman"/>
                <w:sz w:val="19"/>
              </w:rPr>
            </w:pPr>
          </w:p>
          <w:p>
            <w:pPr>
              <w:pStyle w:val="8"/>
              <w:ind w:left="-122"/>
              <w:rPr>
                <w:sz w:val="21"/>
              </w:rPr>
            </w:pPr>
            <w:r>
              <w:rPr>
                <w:w w:val="99"/>
                <w:sz w:val="21"/>
              </w:rPr>
              <w:t>，</w:t>
            </w:r>
          </w:p>
        </w:tc>
      </w:tr>
    </w:tbl>
    <w:p>
      <w:pPr>
        <w:spacing w:after="0"/>
        <w:rPr>
          <w:sz w:val="21"/>
        </w:rPr>
        <w:sectPr>
          <w:pgSz w:w="16840" w:h="11910" w:orient="landscape"/>
          <w:pgMar w:top="1100" w:right="960" w:bottom="1160" w:left="1700" w:header="0" w:footer="979" w:gutter="0"/>
        </w:sectPr>
      </w:pPr>
    </w:p>
    <w:p>
      <w:pPr>
        <w:pStyle w:val="3"/>
        <w:rPr>
          <w:rFonts w:ascii="Times New Roman"/>
          <w:sz w:val="29"/>
        </w:rPr>
      </w:pPr>
    </w:p>
    <w:tbl>
      <w:tblPr>
        <w:tblStyle w:val="4"/>
        <w:tblW w:w="0" w:type="auto"/>
        <w:tblInd w:w="34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43"/>
        <w:gridCol w:w="9915"/>
        <w:gridCol w:w="197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 w:hRule="atLeast"/>
        </w:trPr>
        <w:tc>
          <w:tcPr>
            <w:tcW w:w="1743" w:type="dxa"/>
          </w:tcPr>
          <w:p>
            <w:pPr>
              <w:pStyle w:val="8"/>
              <w:spacing w:before="63" w:line="438" w:lineRule="exact"/>
              <w:ind w:left="271"/>
              <w:rPr>
                <w:rFonts w:hint="eastAsia" w:ascii="Arial Unicode MS" w:eastAsia="Arial Unicode MS"/>
                <w:sz w:val="30"/>
              </w:rPr>
            </w:pPr>
            <w:r>
              <w:rPr>
                <w:rFonts w:hint="eastAsia" w:ascii="Arial Unicode MS" w:eastAsia="Arial Unicode MS"/>
                <w:sz w:val="30"/>
              </w:rPr>
              <w:t>惩戒措施</w:t>
            </w:r>
          </w:p>
        </w:tc>
        <w:tc>
          <w:tcPr>
            <w:tcW w:w="9915" w:type="dxa"/>
          </w:tcPr>
          <w:p>
            <w:pPr>
              <w:pStyle w:val="8"/>
              <w:spacing w:line="502" w:lineRule="exact"/>
              <w:ind w:left="3886" w:right="3878"/>
              <w:jc w:val="center"/>
              <w:rPr>
                <w:rFonts w:hint="eastAsia" w:ascii="Arial Unicode MS" w:eastAsia="Arial Unicode MS"/>
                <w:sz w:val="30"/>
              </w:rPr>
            </w:pPr>
            <w:r>
              <w:rPr>
                <w:rFonts w:hint="eastAsia" w:ascii="Arial Unicode MS" w:eastAsia="Arial Unicode MS"/>
                <w:sz w:val="30"/>
              </w:rPr>
              <w:t>法律及政策依据</w:t>
            </w:r>
          </w:p>
        </w:tc>
        <w:tc>
          <w:tcPr>
            <w:tcW w:w="1979" w:type="dxa"/>
          </w:tcPr>
          <w:p>
            <w:pPr>
              <w:pStyle w:val="8"/>
              <w:spacing w:line="502" w:lineRule="exact"/>
              <w:ind w:left="387"/>
              <w:rPr>
                <w:rFonts w:hint="eastAsia" w:ascii="Arial Unicode MS" w:eastAsia="Arial Unicode MS"/>
                <w:sz w:val="30"/>
              </w:rPr>
            </w:pPr>
            <w:r>
              <w:rPr>
                <w:rFonts w:hint="eastAsia" w:ascii="Arial Unicode MS" w:eastAsia="Arial Unicode MS"/>
                <w:sz w:val="30"/>
              </w:rPr>
              <w:t>实施部门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08" w:hRule="atLeast"/>
        </w:trPr>
        <w:tc>
          <w:tcPr>
            <w:tcW w:w="1743" w:type="dxa"/>
          </w:tcPr>
          <w:p>
            <w:pPr>
              <w:pStyle w:val="8"/>
              <w:rPr>
                <w:rFonts w:ascii="Times New Roman"/>
                <w:sz w:val="20"/>
              </w:rPr>
            </w:pPr>
          </w:p>
        </w:tc>
        <w:tc>
          <w:tcPr>
            <w:tcW w:w="9915" w:type="dxa"/>
          </w:tcPr>
          <w:p>
            <w:pPr>
              <w:pStyle w:val="8"/>
              <w:spacing w:before="60" w:line="321" w:lineRule="auto"/>
              <w:ind w:left="13" w:right="20"/>
              <w:jc w:val="both"/>
              <w:rPr>
                <w:sz w:val="21"/>
              </w:rPr>
            </w:pPr>
            <w:r>
              <w:rPr>
                <w:w w:val="95"/>
                <w:sz w:val="21"/>
              </w:rPr>
              <w:t>限制发起设立或参股金融机构以及小额贷款公司、融资担保公司、创业投资公司、互联网融资平台等机构，限制从事互联网信息服务等。严格限制申请财政性资金项目，限制参与有关公共资源交易活动，限制参与基础设施和公用事业特许经营。对严重失信企业及其法定代表人、主要负责人和对失信行为负有直接责任的注册执业人员等实施市场和行业禁入措施。及时撤销严重失信企业及其法定代表人、负责人、高级管理人员和</w:t>
            </w:r>
            <w:r>
              <w:rPr>
                <w:sz w:val="21"/>
              </w:rPr>
              <w:t>对失信行为负有直接责任的董事、股东等人员的荣誉称号，取消参加评先评优资格。</w:t>
            </w:r>
          </w:p>
          <w:p>
            <w:pPr>
              <w:pStyle w:val="8"/>
              <w:spacing w:line="266" w:lineRule="exact"/>
              <w:ind w:left="13"/>
              <w:rPr>
                <w:b/>
                <w:sz w:val="21"/>
              </w:rPr>
            </w:pPr>
            <w:r>
              <w:rPr>
                <w:b/>
                <w:sz w:val="21"/>
              </w:rPr>
              <w:t>《国务院办公厅关于促进房地产市场平稳健康发展的通知》</w:t>
            </w:r>
          </w:p>
          <w:p>
            <w:pPr>
              <w:pStyle w:val="8"/>
              <w:spacing w:before="91" w:line="321" w:lineRule="auto"/>
              <w:ind w:left="13" w:right="20" w:firstLine="420"/>
              <w:rPr>
                <w:sz w:val="21"/>
              </w:rPr>
            </w:pPr>
            <w:r>
              <w:rPr>
                <w:w w:val="95"/>
                <w:sz w:val="21"/>
              </w:rPr>
              <w:t>（七）进一步加强土地供应管理和商品房销售管理。各地要综合考虑土地价格、价款缴纳、合同约定开发时限及企业闲置地情况等因素，合理确定土地供应方式和内容，探索土地出让综合评标方法。对拖欠土地</w:t>
            </w:r>
            <w:r>
              <w:rPr>
                <w:spacing w:val="-9"/>
                <w:sz w:val="21"/>
              </w:rPr>
              <w:t>价款、违反合同约定的单位和个人，要限制其参与土地出让活动。从严控制商品住房项目单宗土地出让面积</w:t>
            </w:r>
            <w:r>
              <w:rPr>
                <w:spacing w:val="-9"/>
                <w:w w:val="95"/>
                <w:sz w:val="21"/>
              </w:rPr>
              <w:t>要结合当地实际，合理确定商品住房项目预售许可的最低规模，不得分层、分单元办理预售许可。已取得预售许可的房地产开发企业，要在规定时间内一次性公开全部房源，严格按照申报价格，明码标价对外销售。</w:t>
            </w:r>
            <w:r>
              <w:rPr>
                <w:spacing w:val="-9"/>
                <w:sz w:val="21"/>
              </w:rPr>
              <w:t>进一步建立健全新建商品房、存量房交易合同网上备案制度，加大交易资金监管力度。</w:t>
            </w:r>
          </w:p>
          <w:p>
            <w:pPr>
              <w:pStyle w:val="8"/>
              <w:spacing w:line="266" w:lineRule="exact"/>
              <w:ind w:left="13"/>
              <w:rPr>
                <w:b/>
                <w:sz w:val="21"/>
              </w:rPr>
            </w:pPr>
            <w:r>
              <w:rPr>
                <w:b/>
                <w:sz w:val="21"/>
              </w:rPr>
              <w:t>《水土保持法》</w:t>
            </w:r>
          </w:p>
          <w:p>
            <w:pPr>
              <w:pStyle w:val="8"/>
              <w:spacing w:before="91" w:line="321" w:lineRule="auto"/>
              <w:ind w:left="13" w:right="5" w:firstLine="420"/>
              <w:jc w:val="both"/>
              <w:rPr>
                <w:sz w:val="21"/>
              </w:rPr>
            </w:pPr>
            <w:r>
              <w:rPr>
                <w:spacing w:val="-11"/>
                <w:sz w:val="21"/>
              </w:rPr>
              <w:t>第二十五条 在山区、丘陵区、风沙区以及水土保持规划确定的容易发生水土流失的其他区域开办可能造成水土流失的生产建设项目，生产建设单位应当编制水土保持方案，报县级以上人民政府水行政主管部门审批，并按照经批准的水土保持方案，采取水土流失预防和治理措施。没有能力编制水土保持方案的，应当委托具备相应技术条件的机构编制。</w:t>
            </w:r>
          </w:p>
          <w:p>
            <w:pPr>
              <w:pStyle w:val="8"/>
              <w:spacing w:line="267" w:lineRule="exact"/>
              <w:ind w:left="433"/>
              <w:rPr>
                <w:sz w:val="21"/>
              </w:rPr>
            </w:pPr>
            <w:r>
              <w:rPr>
                <w:sz w:val="21"/>
              </w:rPr>
              <w:t>水土保持方案应当包括水土流失预防和治理的范围、目标、措施和投资等内容。</w:t>
            </w:r>
          </w:p>
          <w:p>
            <w:pPr>
              <w:pStyle w:val="8"/>
              <w:spacing w:before="91" w:line="321" w:lineRule="auto"/>
              <w:ind w:left="13" w:right="20" w:firstLine="420"/>
              <w:jc w:val="both"/>
              <w:rPr>
                <w:sz w:val="21"/>
              </w:rPr>
            </w:pPr>
            <w:r>
              <w:rPr>
                <w:w w:val="95"/>
                <w:sz w:val="21"/>
              </w:rPr>
              <w:t>水土保持方案经批准后，生产建设项目的地点、规模发生重大变化的，应当补充或者修改水土保持方案并报原审批机关批准。水土保持方案实施过程中，水土保持措施需要作出重大变更的，应当经原审批机关批</w:t>
            </w:r>
            <w:r>
              <w:rPr>
                <w:sz w:val="21"/>
              </w:rPr>
              <w:t>准。</w:t>
            </w:r>
          </w:p>
          <w:p>
            <w:pPr>
              <w:pStyle w:val="8"/>
              <w:spacing w:line="267" w:lineRule="exact"/>
              <w:ind w:left="433"/>
              <w:rPr>
                <w:sz w:val="21"/>
              </w:rPr>
            </w:pPr>
            <w:r>
              <w:rPr>
                <w:sz w:val="21"/>
              </w:rPr>
              <w:t>生产建设项目水土保持方案的编制和审批办法，由国务院水行政主管部门制定。</w:t>
            </w:r>
          </w:p>
          <w:p>
            <w:pPr>
              <w:pStyle w:val="8"/>
              <w:spacing w:before="91"/>
              <w:ind w:left="433"/>
              <w:rPr>
                <w:sz w:val="21"/>
              </w:rPr>
            </w:pPr>
            <w:r>
              <w:rPr>
                <w:spacing w:val="-8"/>
                <w:sz w:val="21"/>
              </w:rPr>
              <w:t>第二十六条 依法应当编制水土保持方案的生产建设项目，生产建设单位未编制水土保持方案或者水土保</w:t>
            </w:r>
          </w:p>
        </w:tc>
        <w:tc>
          <w:tcPr>
            <w:tcW w:w="1979" w:type="dxa"/>
          </w:tcPr>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spacing w:before="8"/>
              <w:rPr>
                <w:rFonts w:ascii="Times New Roman"/>
                <w:sz w:val="15"/>
              </w:rPr>
            </w:pPr>
          </w:p>
          <w:p>
            <w:pPr>
              <w:pStyle w:val="8"/>
              <w:ind w:left="-122"/>
              <w:rPr>
                <w:sz w:val="21"/>
              </w:rPr>
            </w:pPr>
            <w:r>
              <w:rPr>
                <w:w w:val="99"/>
                <w:sz w:val="21"/>
              </w:rPr>
              <w:t>。</w:t>
            </w:r>
          </w:p>
        </w:tc>
      </w:tr>
    </w:tbl>
    <w:p>
      <w:pPr>
        <w:spacing w:after="0"/>
        <w:rPr>
          <w:sz w:val="21"/>
        </w:rPr>
        <w:sectPr>
          <w:pgSz w:w="16840" w:h="11910" w:orient="landscape"/>
          <w:pgMar w:top="1100" w:right="960" w:bottom="1160" w:left="1700" w:header="0" w:footer="979" w:gutter="0"/>
        </w:sectPr>
      </w:pPr>
    </w:p>
    <w:p>
      <w:pPr>
        <w:pStyle w:val="3"/>
        <w:rPr>
          <w:rFonts w:ascii="Times New Roman"/>
          <w:sz w:val="29"/>
        </w:rPr>
      </w:pPr>
    </w:p>
    <w:tbl>
      <w:tblPr>
        <w:tblStyle w:val="4"/>
        <w:tblW w:w="0" w:type="auto"/>
        <w:tblInd w:w="34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43"/>
        <w:gridCol w:w="9915"/>
        <w:gridCol w:w="197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 w:hRule="atLeast"/>
        </w:trPr>
        <w:tc>
          <w:tcPr>
            <w:tcW w:w="1743" w:type="dxa"/>
          </w:tcPr>
          <w:p>
            <w:pPr>
              <w:pStyle w:val="8"/>
              <w:spacing w:before="63" w:line="438" w:lineRule="exact"/>
              <w:ind w:left="271"/>
              <w:rPr>
                <w:rFonts w:hint="eastAsia" w:ascii="Arial Unicode MS" w:eastAsia="Arial Unicode MS"/>
                <w:sz w:val="30"/>
              </w:rPr>
            </w:pPr>
            <w:r>
              <w:rPr>
                <w:rFonts w:hint="eastAsia" w:ascii="Arial Unicode MS" w:eastAsia="Arial Unicode MS"/>
                <w:sz w:val="30"/>
              </w:rPr>
              <w:t>惩戒措施</w:t>
            </w:r>
          </w:p>
        </w:tc>
        <w:tc>
          <w:tcPr>
            <w:tcW w:w="9915" w:type="dxa"/>
          </w:tcPr>
          <w:p>
            <w:pPr>
              <w:pStyle w:val="8"/>
              <w:spacing w:line="502" w:lineRule="exact"/>
              <w:ind w:left="3886" w:right="3878"/>
              <w:jc w:val="center"/>
              <w:rPr>
                <w:rFonts w:hint="eastAsia" w:ascii="Arial Unicode MS" w:eastAsia="Arial Unicode MS"/>
                <w:sz w:val="30"/>
              </w:rPr>
            </w:pPr>
            <w:r>
              <w:rPr>
                <w:rFonts w:hint="eastAsia" w:ascii="Arial Unicode MS" w:eastAsia="Arial Unicode MS"/>
                <w:sz w:val="30"/>
              </w:rPr>
              <w:t>法律及政策依据</w:t>
            </w:r>
          </w:p>
        </w:tc>
        <w:tc>
          <w:tcPr>
            <w:tcW w:w="1979" w:type="dxa"/>
          </w:tcPr>
          <w:p>
            <w:pPr>
              <w:pStyle w:val="8"/>
              <w:spacing w:line="502" w:lineRule="exact"/>
              <w:ind w:left="387"/>
              <w:rPr>
                <w:rFonts w:hint="eastAsia" w:ascii="Arial Unicode MS" w:eastAsia="Arial Unicode MS"/>
                <w:sz w:val="30"/>
              </w:rPr>
            </w:pPr>
            <w:r>
              <w:rPr>
                <w:rFonts w:hint="eastAsia" w:ascii="Arial Unicode MS" w:eastAsia="Arial Unicode MS"/>
                <w:sz w:val="30"/>
              </w:rPr>
              <w:t>实施部门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70" w:hRule="atLeast"/>
        </w:trPr>
        <w:tc>
          <w:tcPr>
            <w:tcW w:w="1743" w:type="dxa"/>
          </w:tcPr>
          <w:p>
            <w:pPr>
              <w:pStyle w:val="8"/>
              <w:rPr>
                <w:rFonts w:ascii="Times New Roman"/>
                <w:sz w:val="20"/>
              </w:rPr>
            </w:pPr>
          </w:p>
        </w:tc>
        <w:tc>
          <w:tcPr>
            <w:tcW w:w="9915" w:type="dxa"/>
          </w:tcPr>
          <w:p>
            <w:pPr>
              <w:pStyle w:val="8"/>
              <w:spacing w:before="60"/>
              <w:ind w:left="13"/>
              <w:rPr>
                <w:sz w:val="21"/>
              </w:rPr>
            </w:pPr>
            <w:r>
              <w:rPr>
                <w:sz w:val="21"/>
              </w:rPr>
              <w:t>持方案未经水行政主管部门批准的，生产建设项目不得开工建设。</w:t>
            </w:r>
          </w:p>
          <w:p>
            <w:pPr>
              <w:pStyle w:val="8"/>
              <w:spacing w:line="360" w:lineRule="atLeast"/>
              <w:ind w:left="13" w:right="20" w:firstLine="420"/>
              <w:rPr>
                <w:sz w:val="21"/>
              </w:rPr>
            </w:pPr>
            <w:r>
              <w:rPr>
                <w:spacing w:val="-2"/>
                <w:sz w:val="21"/>
              </w:rPr>
              <w:t>第二十七条 依法应当编制水土保持方案的生产建设项目中的水土保持设施，应当与主体工程同时设计</w:t>
            </w:r>
            <w:r>
              <w:rPr>
                <w:spacing w:val="-2"/>
                <w:w w:val="95"/>
                <w:sz w:val="21"/>
              </w:rPr>
              <w:t>同时施工、同时投产使用；生产建设项目竣工验收，应当验收水土保持设施；水土保持设施未经验收或者验</w:t>
            </w:r>
            <w:r>
              <w:rPr>
                <w:spacing w:val="-2"/>
                <w:sz w:val="21"/>
              </w:rPr>
              <w:t>收不合格的，生产建设项目不得投产使用。</w:t>
            </w:r>
          </w:p>
        </w:tc>
        <w:tc>
          <w:tcPr>
            <w:tcW w:w="1979" w:type="dxa"/>
          </w:tcPr>
          <w:p>
            <w:pPr>
              <w:pStyle w:val="8"/>
              <w:rPr>
                <w:rFonts w:ascii="Times New Roman"/>
                <w:sz w:val="20"/>
              </w:rPr>
            </w:pPr>
          </w:p>
          <w:p>
            <w:pPr>
              <w:pStyle w:val="8"/>
              <w:spacing w:before="6"/>
              <w:rPr>
                <w:rFonts w:ascii="Times New Roman"/>
                <w:sz w:val="16"/>
              </w:rPr>
            </w:pPr>
          </w:p>
          <w:p>
            <w:pPr>
              <w:pStyle w:val="8"/>
              <w:ind w:left="-136"/>
              <w:rPr>
                <w:sz w:val="21"/>
              </w:rPr>
            </w:pPr>
            <w:r>
              <w:rPr>
                <w:w w:val="99"/>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69" w:hRule="atLeast"/>
        </w:trPr>
        <w:tc>
          <w:tcPr>
            <w:tcW w:w="1743" w:type="dxa"/>
          </w:tcPr>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17"/>
              </w:rPr>
            </w:pPr>
          </w:p>
          <w:p>
            <w:pPr>
              <w:pStyle w:val="8"/>
              <w:spacing w:line="321" w:lineRule="auto"/>
              <w:ind w:left="14" w:right="38"/>
              <w:rPr>
                <w:sz w:val="21"/>
              </w:rPr>
            </w:pPr>
            <w:r>
              <w:rPr>
                <w:rFonts w:ascii="Times New Roman" w:eastAsia="Times New Roman"/>
                <w:sz w:val="21"/>
              </w:rPr>
              <w:t>31.</w:t>
            </w:r>
            <w:r>
              <w:rPr>
                <w:position w:val="1"/>
                <w:sz w:val="21"/>
              </w:rPr>
              <w:t>依法限制发起</w:t>
            </w:r>
            <w:r>
              <w:rPr>
                <w:sz w:val="21"/>
              </w:rPr>
              <w:t>设立或参股金融机构。</w:t>
            </w:r>
          </w:p>
        </w:tc>
        <w:tc>
          <w:tcPr>
            <w:tcW w:w="9915" w:type="dxa"/>
          </w:tcPr>
          <w:p>
            <w:pPr>
              <w:pStyle w:val="8"/>
              <w:spacing w:before="61" w:line="321" w:lineRule="auto"/>
              <w:ind w:left="13" w:right="110"/>
              <w:jc w:val="both"/>
              <w:rPr>
                <w:b/>
                <w:sz w:val="21"/>
              </w:rPr>
            </w:pPr>
            <w:r>
              <w:rPr>
                <w:b/>
                <w:spacing w:val="-2"/>
                <w:w w:val="95"/>
                <w:sz w:val="21"/>
              </w:rPr>
              <w:t>《国务院关于建立完善守信联合激励和失信联合惩戒制度加快推进社会诚信建设的指导意见》</w:t>
            </w:r>
            <w:r>
              <w:rPr>
                <w:b/>
                <w:w w:val="95"/>
                <w:sz w:val="21"/>
              </w:rPr>
              <w:t>（</w:t>
            </w:r>
            <w:r>
              <w:rPr>
                <w:b/>
                <w:spacing w:val="-14"/>
                <w:w w:val="95"/>
                <w:sz w:val="21"/>
              </w:rPr>
              <w:t>国发〔</w:t>
            </w:r>
            <w:r>
              <w:rPr>
                <w:rFonts w:ascii="Times New Roman" w:eastAsia="Times New Roman"/>
                <w:b/>
                <w:w w:val="95"/>
                <w:sz w:val="21"/>
              </w:rPr>
              <w:t xml:space="preserve">2016      </w:t>
            </w:r>
            <w:r>
              <w:rPr>
                <w:rFonts w:ascii="Times New Roman" w:eastAsia="Times New Roman"/>
                <w:b/>
                <w:sz w:val="21"/>
              </w:rPr>
              <w:t>33</w:t>
            </w:r>
            <w:r>
              <w:rPr>
                <w:rFonts w:ascii="Times New Roman" w:eastAsia="Times New Roman"/>
                <w:b/>
                <w:spacing w:val="-1"/>
                <w:sz w:val="21"/>
              </w:rPr>
              <w:t xml:space="preserve"> </w:t>
            </w:r>
            <w:r>
              <w:rPr>
                <w:b/>
                <w:sz w:val="21"/>
              </w:rPr>
              <w:t>号）</w:t>
            </w:r>
          </w:p>
          <w:p>
            <w:pPr>
              <w:pStyle w:val="8"/>
              <w:spacing w:line="321" w:lineRule="auto"/>
              <w:ind w:left="13" w:right="20" w:firstLine="420"/>
              <w:jc w:val="both"/>
              <w:rPr>
                <w:sz w:val="21"/>
              </w:rPr>
            </w:pPr>
            <w:r>
              <w:rPr>
                <w:w w:val="95"/>
                <w:sz w:val="21"/>
              </w:rPr>
              <w:t>依法依规加强对失信行为的行政性约束和惩戒。对严重失信主体，各地区、各有关部门应将其列为重点监管对象，依法依规采取行政性约束和惩戒措施。从严审核行政许可审批项目，从严控制生产许可证发放，限制新增项目审批、核准，限制股票发行上市融资或发行债券，限制在全国股份转让系统挂牌、融资，限制发起设立或参股金融机构以及小额贷款公司、融资担保公司、创业投资公司、互联网融资平台等机构，限制从事互联网信息服务等。严格限制申请财政性资金项目，限制参与有关公共资源交易活动，限制参与基础设施和公用事业特许经营。对严重失信企业及其法定代表人、主要负责人和对失信行为负有直接责任的注册执业人员等实施市场和行业禁入措施。及时撤销严重失信企业及其法定代表人、负责人、高级管理人员和对失</w:t>
            </w:r>
            <w:r>
              <w:rPr>
                <w:sz w:val="21"/>
              </w:rPr>
              <w:t>信行为负有直接责任的董事、股东等人员的荣誉称号，取消参加评先评优资格。</w:t>
            </w:r>
          </w:p>
          <w:p>
            <w:pPr>
              <w:pStyle w:val="8"/>
              <w:spacing w:line="265" w:lineRule="exact"/>
              <w:ind w:left="13"/>
              <w:rPr>
                <w:b/>
                <w:sz w:val="21"/>
              </w:rPr>
            </w:pPr>
            <w:r>
              <w:rPr>
                <w:b/>
                <w:sz w:val="21"/>
              </w:rPr>
              <w:t>《保险法》</w:t>
            </w:r>
          </w:p>
          <w:p>
            <w:pPr>
              <w:pStyle w:val="8"/>
              <w:spacing w:before="90"/>
              <w:ind w:left="433"/>
              <w:rPr>
                <w:sz w:val="21"/>
              </w:rPr>
            </w:pPr>
            <w:r>
              <w:rPr>
                <w:sz w:val="21"/>
              </w:rPr>
              <w:t>第六十八条 设立保险公司应当具备下列条件：</w:t>
            </w:r>
          </w:p>
          <w:p>
            <w:pPr>
              <w:pStyle w:val="8"/>
              <w:spacing w:line="360" w:lineRule="atLeast"/>
              <w:ind w:left="13" w:right="5" w:firstLine="420"/>
              <w:rPr>
                <w:sz w:val="21"/>
              </w:rPr>
            </w:pPr>
            <w:r>
              <w:rPr>
                <w:spacing w:val="-8"/>
                <w:w w:val="95"/>
                <w:sz w:val="21"/>
              </w:rPr>
              <w:t>（</w:t>
            </w:r>
            <w:r>
              <w:rPr>
                <w:rFonts w:ascii="Times New Roman" w:eastAsia="Times New Roman"/>
                <w:spacing w:val="-8"/>
                <w:w w:val="95"/>
                <w:sz w:val="21"/>
              </w:rPr>
              <w:t>1</w:t>
            </w:r>
            <w:r>
              <w:rPr>
                <w:spacing w:val="-8"/>
                <w:w w:val="95"/>
                <w:sz w:val="21"/>
              </w:rPr>
              <w:t>）</w:t>
            </w:r>
            <w:r>
              <w:rPr>
                <w:spacing w:val="-5"/>
                <w:w w:val="95"/>
                <w:sz w:val="21"/>
              </w:rPr>
              <w:t>主要股东具有持续盈利能力，信誉良好，最近三年内无重大违法违规记录，净资产不低于人民币二</w:t>
            </w:r>
            <w:r>
              <w:rPr>
                <w:spacing w:val="-5"/>
                <w:sz w:val="21"/>
              </w:rPr>
              <w:t>亿元。</w:t>
            </w:r>
          </w:p>
        </w:tc>
        <w:tc>
          <w:tcPr>
            <w:tcW w:w="1979" w:type="dxa"/>
          </w:tcPr>
          <w:p>
            <w:pPr>
              <w:pStyle w:val="8"/>
              <w:spacing w:before="61"/>
              <w:ind w:left="-122"/>
              <w:rPr>
                <w:b/>
                <w:sz w:val="21"/>
              </w:rPr>
            </w:pPr>
            <w:r>
              <w:rPr>
                <w:b/>
                <w:w w:val="99"/>
                <w:sz w:val="21"/>
              </w:rPr>
              <w:t>〕</w:t>
            </w: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spacing w:before="1"/>
              <w:rPr>
                <w:rFonts w:ascii="Times New Roman"/>
                <w:sz w:val="20"/>
              </w:rPr>
            </w:pPr>
          </w:p>
          <w:p>
            <w:pPr>
              <w:pStyle w:val="8"/>
              <w:ind w:left="15"/>
              <w:rPr>
                <w:sz w:val="21"/>
              </w:rPr>
            </w:pPr>
            <w:r>
              <w:rPr>
                <w:sz w:val="21"/>
              </w:rPr>
              <w:t>银保监会、证监会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28" w:hRule="atLeast"/>
        </w:trPr>
        <w:tc>
          <w:tcPr>
            <w:tcW w:w="1743" w:type="dxa"/>
          </w:tcPr>
          <w:p>
            <w:pPr>
              <w:pStyle w:val="8"/>
              <w:spacing w:before="54" w:line="321" w:lineRule="auto"/>
              <w:ind w:left="14" w:right="38"/>
              <w:rPr>
                <w:sz w:val="21"/>
              </w:rPr>
            </w:pPr>
            <w:r>
              <w:rPr>
                <w:rFonts w:ascii="Times New Roman" w:eastAsia="Times New Roman"/>
                <w:sz w:val="21"/>
              </w:rPr>
              <w:t>32.</w:t>
            </w:r>
            <w:r>
              <w:rPr>
                <w:position w:val="1"/>
                <w:sz w:val="21"/>
              </w:rPr>
              <w:t>依法限制发起</w:t>
            </w:r>
            <w:r>
              <w:rPr>
                <w:spacing w:val="-2"/>
                <w:sz w:val="21"/>
              </w:rPr>
              <w:t>设立或参股小额贷款公司、融资担保</w:t>
            </w:r>
            <w:r>
              <w:rPr>
                <w:spacing w:val="-2"/>
                <w:w w:val="95"/>
                <w:sz w:val="21"/>
              </w:rPr>
              <w:t>公司、创业投资公</w:t>
            </w:r>
          </w:p>
          <w:p>
            <w:pPr>
              <w:pStyle w:val="8"/>
              <w:spacing w:before="1"/>
              <w:ind w:left="14"/>
              <w:rPr>
                <w:sz w:val="21"/>
              </w:rPr>
            </w:pPr>
            <w:r>
              <w:rPr>
                <w:w w:val="95"/>
                <w:sz w:val="21"/>
              </w:rPr>
              <w:t>司、互联网融资平</w:t>
            </w:r>
          </w:p>
        </w:tc>
        <w:tc>
          <w:tcPr>
            <w:tcW w:w="9915" w:type="dxa"/>
          </w:tcPr>
          <w:p>
            <w:pPr>
              <w:pStyle w:val="8"/>
              <w:spacing w:before="62" w:line="321" w:lineRule="auto"/>
              <w:ind w:left="13" w:right="394"/>
              <w:rPr>
                <w:b/>
                <w:sz w:val="21"/>
              </w:rPr>
            </w:pPr>
            <w:r>
              <w:rPr>
                <w:b/>
                <w:spacing w:val="-2"/>
                <w:w w:val="95"/>
                <w:sz w:val="21"/>
              </w:rPr>
              <w:t>《国务院关于建立完善守信联合激励和失信联合惩戒制度加快推进社会诚信建设的指导意见》</w:t>
            </w:r>
            <w:r>
              <w:rPr>
                <w:b/>
                <w:w w:val="95"/>
                <w:sz w:val="21"/>
              </w:rPr>
              <w:t>（</w:t>
            </w:r>
            <w:r>
              <w:rPr>
                <w:b/>
                <w:spacing w:val="-14"/>
                <w:w w:val="95"/>
                <w:sz w:val="21"/>
              </w:rPr>
              <w:t>国发〔</w:t>
            </w:r>
            <w:r>
              <w:rPr>
                <w:rFonts w:ascii="Times New Roman" w:eastAsia="Times New Roman"/>
                <w:b/>
                <w:w w:val="95"/>
                <w:sz w:val="21"/>
              </w:rPr>
              <w:t xml:space="preserve">2016      </w:t>
            </w:r>
            <w:r>
              <w:rPr>
                <w:rFonts w:ascii="Times New Roman" w:eastAsia="Times New Roman"/>
                <w:b/>
                <w:sz w:val="21"/>
              </w:rPr>
              <w:t>33</w:t>
            </w:r>
            <w:r>
              <w:rPr>
                <w:rFonts w:ascii="Times New Roman" w:eastAsia="Times New Roman"/>
                <w:b/>
                <w:spacing w:val="-1"/>
                <w:sz w:val="21"/>
              </w:rPr>
              <w:t xml:space="preserve"> </w:t>
            </w:r>
            <w:r>
              <w:rPr>
                <w:b/>
                <w:sz w:val="21"/>
              </w:rPr>
              <w:t>号）</w:t>
            </w:r>
          </w:p>
          <w:p>
            <w:pPr>
              <w:pStyle w:val="8"/>
              <w:spacing w:line="321" w:lineRule="auto"/>
              <w:ind w:left="13" w:right="20" w:firstLine="420"/>
              <w:rPr>
                <w:sz w:val="21"/>
              </w:rPr>
            </w:pPr>
            <w:r>
              <w:rPr>
                <w:w w:val="95"/>
                <w:sz w:val="21"/>
              </w:rPr>
              <w:t>依法依规加强对失信行为的行政性约束和惩戒。对严重失信主体，各地区、各有关部门应将其列为重点监管对象，依法依规采取行政性约束和惩戒措施。从严审核行政许可审批项目，从严控制生产许可证发放，限制新增项目审批、核准，限制股票发行上市融资或发行债券，限制在全国股份转让系统挂牌、融资，限制</w:t>
            </w:r>
          </w:p>
        </w:tc>
        <w:tc>
          <w:tcPr>
            <w:tcW w:w="1979" w:type="dxa"/>
          </w:tcPr>
          <w:p>
            <w:pPr>
              <w:pStyle w:val="8"/>
              <w:spacing w:before="59"/>
              <w:ind w:left="-122"/>
              <w:rPr>
                <w:b/>
                <w:sz w:val="21"/>
              </w:rPr>
            </w:pPr>
            <w:r>
              <w:rPr>
                <w:b/>
                <w:w w:val="99"/>
                <w:sz w:val="21"/>
              </w:rPr>
              <w:t>〕</w:t>
            </w:r>
          </w:p>
          <w:p>
            <w:pPr>
              <w:pStyle w:val="8"/>
              <w:spacing w:before="91" w:line="321" w:lineRule="auto"/>
              <w:ind w:left="15" w:right="2"/>
              <w:jc w:val="both"/>
              <w:rPr>
                <w:sz w:val="21"/>
              </w:rPr>
            </w:pPr>
            <w:r>
              <w:rPr>
                <w:sz w:val="21"/>
              </w:rPr>
              <w:t>中央网信办、地方政府确定的相关监管机构</w:t>
            </w:r>
          </w:p>
        </w:tc>
      </w:tr>
    </w:tbl>
    <w:p>
      <w:pPr>
        <w:spacing w:after="0" w:line="321" w:lineRule="auto"/>
        <w:jc w:val="both"/>
        <w:rPr>
          <w:sz w:val="21"/>
        </w:rPr>
        <w:sectPr>
          <w:pgSz w:w="16840" w:h="11910" w:orient="landscape"/>
          <w:pgMar w:top="1100" w:right="960" w:bottom="1160" w:left="1700" w:header="0" w:footer="979" w:gutter="0"/>
        </w:sectPr>
      </w:pPr>
    </w:p>
    <w:p>
      <w:pPr>
        <w:pStyle w:val="3"/>
        <w:rPr>
          <w:rFonts w:ascii="Times New Roman"/>
          <w:sz w:val="29"/>
        </w:rPr>
      </w:pPr>
    </w:p>
    <w:tbl>
      <w:tblPr>
        <w:tblStyle w:val="4"/>
        <w:tblW w:w="0" w:type="auto"/>
        <w:tblInd w:w="34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43"/>
        <w:gridCol w:w="9915"/>
        <w:gridCol w:w="197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 w:hRule="atLeast"/>
        </w:trPr>
        <w:tc>
          <w:tcPr>
            <w:tcW w:w="1743" w:type="dxa"/>
          </w:tcPr>
          <w:p>
            <w:pPr>
              <w:pStyle w:val="8"/>
              <w:spacing w:before="63" w:line="438" w:lineRule="exact"/>
              <w:ind w:left="271"/>
              <w:rPr>
                <w:rFonts w:hint="eastAsia" w:ascii="Arial Unicode MS" w:eastAsia="Arial Unicode MS"/>
                <w:sz w:val="30"/>
              </w:rPr>
            </w:pPr>
            <w:r>
              <w:rPr>
                <w:rFonts w:hint="eastAsia" w:ascii="Arial Unicode MS" w:eastAsia="Arial Unicode MS"/>
                <w:sz w:val="30"/>
              </w:rPr>
              <w:t>惩戒措施</w:t>
            </w:r>
          </w:p>
        </w:tc>
        <w:tc>
          <w:tcPr>
            <w:tcW w:w="9915" w:type="dxa"/>
          </w:tcPr>
          <w:p>
            <w:pPr>
              <w:pStyle w:val="8"/>
              <w:spacing w:line="502" w:lineRule="exact"/>
              <w:ind w:left="3886" w:right="3878"/>
              <w:jc w:val="center"/>
              <w:rPr>
                <w:rFonts w:hint="eastAsia" w:ascii="Arial Unicode MS" w:eastAsia="Arial Unicode MS"/>
                <w:sz w:val="30"/>
              </w:rPr>
            </w:pPr>
            <w:r>
              <w:rPr>
                <w:rFonts w:hint="eastAsia" w:ascii="Arial Unicode MS" w:eastAsia="Arial Unicode MS"/>
                <w:sz w:val="30"/>
              </w:rPr>
              <w:t>法律及政策依据</w:t>
            </w:r>
          </w:p>
        </w:tc>
        <w:tc>
          <w:tcPr>
            <w:tcW w:w="1979" w:type="dxa"/>
          </w:tcPr>
          <w:p>
            <w:pPr>
              <w:pStyle w:val="8"/>
              <w:spacing w:line="502" w:lineRule="exact"/>
              <w:ind w:left="232" w:right="226"/>
              <w:jc w:val="center"/>
              <w:rPr>
                <w:rFonts w:hint="eastAsia" w:ascii="Arial Unicode MS" w:eastAsia="Arial Unicode MS"/>
                <w:sz w:val="30"/>
              </w:rPr>
            </w:pPr>
            <w:r>
              <w:rPr>
                <w:rFonts w:hint="eastAsia" w:ascii="Arial Unicode MS" w:eastAsia="Arial Unicode MS"/>
                <w:sz w:val="30"/>
              </w:rPr>
              <w:t>实施部门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30" w:hRule="atLeast"/>
        </w:trPr>
        <w:tc>
          <w:tcPr>
            <w:tcW w:w="1743" w:type="dxa"/>
          </w:tcPr>
          <w:p>
            <w:pPr>
              <w:pStyle w:val="8"/>
              <w:spacing w:before="58"/>
              <w:ind w:left="14"/>
              <w:rPr>
                <w:sz w:val="21"/>
              </w:rPr>
            </w:pPr>
            <w:r>
              <w:rPr>
                <w:sz w:val="21"/>
              </w:rPr>
              <w:t>台等机构。</w:t>
            </w:r>
          </w:p>
        </w:tc>
        <w:tc>
          <w:tcPr>
            <w:tcW w:w="9915" w:type="dxa"/>
          </w:tcPr>
          <w:p>
            <w:pPr>
              <w:pStyle w:val="8"/>
              <w:spacing w:before="60" w:line="321" w:lineRule="auto"/>
              <w:ind w:left="13" w:right="20"/>
              <w:jc w:val="both"/>
              <w:rPr>
                <w:sz w:val="21"/>
              </w:rPr>
            </w:pPr>
            <w:r>
              <w:rPr>
                <w:w w:val="95"/>
                <w:sz w:val="21"/>
              </w:rPr>
              <w:t>发起设立或参股金融机构以及小额贷款公司、融资担保公司、创业投资公司、互联网融资平台等机构，限制从事互联网信息服务等。严格限制申请财政性资金项目，限制参与有关公共资源交易活动，限制参与基础设施和公用事业特许经营。对严重失信企业及其法定代表人、主要负责人和对失信行为负有直接责任的注册执业人员等实施市场和行业禁入措施。及时撤销严重失信企业及其法定代表人、负责人、高级管理人员和对失</w:t>
            </w:r>
            <w:r>
              <w:rPr>
                <w:sz w:val="21"/>
              </w:rPr>
              <w:t>信行为负有直接责任的董事、股东等人员的荣誉称号，取消参加评先评优资格。</w:t>
            </w:r>
          </w:p>
        </w:tc>
        <w:tc>
          <w:tcPr>
            <w:tcW w:w="1979" w:type="dxa"/>
          </w:tcPr>
          <w:p>
            <w:pPr>
              <w:pStyle w:val="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89" w:hRule="atLeast"/>
        </w:trPr>
        <w:tc>
          <w:tcPr>
            <w:tcW w:w="1743" w:type="dxa"/>
          </w:tcPr>
          <w:p>
            <w:pPr>
              <w:pStyle w:val="8"/>
              <w:spacing w:before="56" w:line="321" w:lineRule="auto"/>
              <w:ind w:left="14" w:right="38"/>
              <w:rPr>
                <w:sz w:val="21"/>
              </w:rPr>
            </w:pPr>
            <w:r>
              <w:rPr>
                <w:rFonts w:ascii="Times New Roman" w:eastAsia="Times New Roman"/>
                <w:sz w:val="21"/>
              </w:rPr>
              <w:t>33.</w:t>
            </w:r>
            <w:r>
              <w:rPr>
                <w:position w:val="1"/>
                <w:sz w:val="21"/>
              </w:rPr>
              <w:t>将失信机构及</w:t>
            </w:r>
            <w:r>
              <w:rPr>
                <w:sz w:val="21"/>
              </w:rPr>
              <w:t>其相关失信人员信息作为银行评级授信、信贷融资、管理和退出的重要参</w:t>
            </w:r>
          </w:p>
          <w:p>
            <w:pPr>
              <w:pStyle w:val="8"/>
              <w:spacing w:line="267" w:lineRule="exact"/>
              <w:ind w:left="14"/>
              <w:rPr>
                <w:sz w:val="21"/>
              </w:rPr>
            </w:pPr>
            <w:r>
              <w:rPr>
                <w:sz w:val="21"/>
              </w:rPr>
              <w:t>考依据。</w:t>
            </w:r>
          </w:p>
        </w:tc>
        <w:tc>
          <w:tcPr>
            <w:tcW w:w="9915" w:type="dxa"/>
          </w:tcPr>
          <w:p>
            <w:pPr>
              <w:pStyle w:val="8"/>
              <w:spacing w:before="61" w:line="321" w:lineRule="auto"/>
              <w:ind w:left="13" w:right="394"/>
              <w:rPr>
                <w:b/>
                <w:sz w:val="21"/>
              </w:rPr>
            </w:pPr>
            <w:r>
              <w:rPr>
                <w:b/>
                <w:spacing w:val="-2"/>
                <w:w w:val="95"/>
                <w:sz w:val="21"/>
              </w:rPr>
              <w:t>《国务院关于建立完善守信联合激励和失信联合惩戒制度加快推进社会诚信建设的指导意见》</w:t>
            </w:r>
            <w:r>
              <w:rPr>
                <w:b/>
                <w:w w:val="95"/>
                <w:sz w:val="21"/>
              </w:rPr>
              <w:t>（</w:t>
            </w:r>
            <w:r>
              <w:rPr>
                <w:b/>
                <w:spacing w:val="-14"/>
                <w:w w:val="95"/>
                <w:sz w:val="21"/>
              </w:rPr>
              <w:t>国发〔</w:t>
            </w:r>
            <w:r>
              <w:rPr>
                <w:rFonts w:ascii="Times New Roman" w:eastAsia="Times New Roman"/>
                <w:b/>
                <w:w w:val="95"/>
                <w:sz w:val="21"/>
              </w:rPr>
              <w:t xml:space="preserve">2016      </w:t>
            </w:r>
            <w:r>
              <w:rPr>
                <w:rFonts w:ascii="Times New Roman" w:eastAsia="Times New Roman"/>
                <w:b/>
                <w:sz w:val="21"/>
              </w:rPr>
              <w:t>33</w:t>
            </w:r>
            <w:r>
              <w:rPr>
                <w:rFonts w:ascii="Times New Roman" w:eastAsia="Times New Roman"/>
                <w:b/>
                <w:spacing w:val="-1"/>
                <w:sz w:val="21"/>
              </w:rPr>
              <w:t xml:space="preserve"> </w:t>
            </w:r>
            <w:r>
              <w:rPr>
                <w:b/>
                <w:sz w:val="21"/>
              </w:rPr>
              <w:t>号）</w:t>
            </w:r>
          </w:p>
          <w:p>
            <w:pPr>
              <w:pStyle w:val="8"/>
              <w:spacing w:line="321" w:lineRule="auto"/>
              <w:ind w:left="13" w:right="20" w:firstLine="420"/>
              <w:rPr>
                <w:sz w:val="21"/>
              </w:rPr>
            </w:pPr>
            <w:r>
              <w:rPr>
                <w:spacing w:val="-5"/>
                <w:sz w:val="21"/>
              </w:rPr>
              <w:t>加强对失信行为的市场性约束和惩戒。对严重失信主体，有关部门和机构应以统一社会信用代码为索引</w:t>
            </w:r>
            <w:r>
              <w:rPr>
                <w:spacing w:val="-5"/>
                <w:w w:val="95"/>
                <w:sz w:val="21"/>
              </w:rPr>
              <w:t>及时公开披露相关信息，便于市场识别失信行为，防范信用风险。支持征信机构采集严重失信行为信息，纳入信用记录和信用报告。引导商业银行、证券期货经营机构、保险公司等金融机构按照风险定价原则，对严</w:t>
            </w:r>
            <w:r>
              <w:rPr>
                <w:sz w:val="21"/>
              </w:rPr>
              <w:t>重失信主体提高贷款利率和财产保险费率，或者限制向其提供贷款、保荐、承销、保险等服务。</w:t>
            </w:r>
          </w:p>
        </w:tc>
        <w:tc>
          <w:tcPr>
            <w:tcW w:w="1979" w:type="dxa"/>
          </w:tcPr>
          <w:p>
            <w:pPr>
              <w:pStyle w:val="8"/>
              <w:spacing w:before="61"/>
              <w:ind w:left="-122"/>
              <w:rPr>
                <w:b/>
                <w:sz w:val="21"/>
              </w:rPr>
            </w:pPr>
            <w:r>
              <w:rPr>
                <w:b/>
                <w:w w:val="99"/>
                <w:sz w:val="21"/>
              </w:rPr>
              <w:t>〕</w:t>
            </w:r>
          </w:p>
          <w:p>
            <w:pPr>
              <w:pStyle w:val="8"/>
              <w:rPr>
                <w:rFonts w:ascii="Times New Roman"/>
                <w:sz w:val="20"/>
              </w:rPr>
            </w:pPr>
          </w:p>
          <w:p>
            <w:pPr>
              <w:pStyle w:val="8"/>
              <w:spacing w:before="2"/>
              <w:rPr>
                <w:rFonts w:ascii="Times New Roman"/>
                <w:sz w:val="19"/>
              </w:rPr>
            </w:pPr>
          </w:p>
          <w:p>
            <w:pPr>
              <w:pStyle w:val="8"/>
              <w:spacing w:line="225" w:lineRule="exact"/>
              <w:ind w:left="-122"/>
              <w:rPr>
                <w:sz w:val="21"/>
              </w:rPr>
            </w:pPr>
            <w:r>
              <w:rPr>
                <w:w w:val="99"/>
                <w:sz w:val="21"/>
              </w:rPr>
              <w:t>，</w:t>
            </w:r>
          </w:p>
          <w:p>
            <w:pPr>
              <w:pStyle w:val="8"/>
              <w:spacing w:line="225" w:lineRule="exact"/>
              <w:ind w:left="15"/>
              <w:rPr>
                <w:sz w:val="21"/>
              </w:rPr>
            </w:pPr>
            <w:r>
              <w:rPr>
                <w:sz w:val="21"/>
              </w:rPr>
              <w:t>人民银行、银保监会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48" w:hRule="atLeast"/>
        </w:trPr>
        <w:tc>
          <w:tcPr>
            <w:tcW w:w="1743" w:type="dxa"/>
          </w:tcPr>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spacing w:before="7"/>
              <w:rPr>
                <w:rFonts w:ascii="Times New Roman"/>
                <w:sz w:val="25"/>
              </w:rPr>
            </w:pPr>
          </w:p>
          <w:p>
            <w:pPr>
              <w:pStyle w:val="8"/>
              <w:spacing w:line="321" w:lineRule="auto"/>
              <w:ind w:left="14" w:right="38"/>
              <w:rPr>
                <w:sz w:val="21"/>
              </w:rPr>
            </w:pPr>
            <w:r>
              <w:rPr>
                <w:rFonts w:ascii="Times New Roman" w:eastAsia="Times New Roman"/>
                <w:sz w:val="21"/>
              </w:rPr>
              <w:t>34.</w:t>
            </w:r>
            <w:r>
              <w:rPr>
                <w:position w:val="1"/>
                <w:sz w:val="21"/>
              </w:rPr>
              <w:t>依法对申请发</w:t>
            </w:r>
            <w:r>
              <w:rPr>
                <w:sz w:val="21"/>
              </w:rPr>
              <w:t>行企业债券不予受理。</w:t>
            </w:r>
          </w:p>
        </w:tc>
        <w:tc>
          <w:tcPr>
            <w:tcW w:w="9915" w:type="dxa"/>
          </w:tcPr>
          <w:p>
            <w:pPr>
              <w:pStyle w:val="8"/>
              <w:spacing w:before="62" w:line="319" w:lineRule="auto"/>
              <w:ind w:left="13" w:right="88"/>
              <w:rPr>
                <w:sz w:val="21"/>
              </w:rPr>
            </w:pPr>
            <w:r>
              <w:rPr>
                <w:b/>
                <w:w w:val="95"/>
                <w:sz w:val="21"/>
              </w:rPr>
              <w:t>《国家发展改革委关于推进企业债券市场发展、简化发行核准程序有关事项的通知》（发改财金〔</w:t>
            </w:r>
            <w:r>
              <w:rPr>
                <w:rFonts w:ascii="Times New Roman" w:eastAsia="Times New Roman"/>
                <w:w w:val="95"/>
                <w:sz w:val="21"/>
              </w:rPr>
              <w:t>2008</w:t>
            </w:r>
            <w:r>
              <w:rPr>
                <w:w w:val="95"/>
                <w:sz w:val="21"/>
              </w:rPr>
              <w:t>〕</w:t>
            </w:r>
            <w:r>
              <w:rPr>
                <w:rFonts w:ascii="Times New Roman" w:eastAsia="Times New Roman"/>
                <w:w w:val="95"/>
                <w:sz w:val="21"/>
              </w:rPr>
              <w:t xml:space="preserve">7      </w:t>
            </w:r>
            <w:r>
              <w:rPr>
                <w:sz w:val="21"/>
              </w:rPr>
              <w:t>号）</w:t>
            </w:r>
          </w:p>
          <w:p>
            <w:pPr>
              <w:pStyle w:val="8"/>
              <w:tabs>
                <w:tab w:val="left" w:pos="1273"/>
              </w:tabs>
              <w:spacing w:before="2"/>
              <w:ind w:left="433"/>
              <w:rPr>
                <w:sz w:val="21"/>
              </w:rPr>
            </w:pPr>
            <w:r>
              <w:rPr>
                <w:sz w:val="21"/>
              </w:rPr>
              <w:t>第二条</w:t>
            </w:r>
            <w:r>
              <w:rPr>
                <w:sz w:val="21"/>
              </w:rPr>
              <w:tab/>
            </w:r>
            <w:r>
              <w:rPr>
                <w:sz w:val="21"/>
              </w:rPr>
              <w:t>企业公开发行企业债券应符合下列条件：</w:t>
            </w:r>
          </w:p>
          <w:p>
            <w:pPr>
              <w:pStyle w:val="8"/>
              <w:spacing w:before="93"/>
              <w:ind w:left="433"/>
              <w:rPr>
                <w:sz w:val="21"/>
              </w:rPr>
            </w:pPr>
            <w:r>
              <w:rPr>
                <w:sz w:val="21"/>
              </w:rPr>
              <w:t>（一</w:t>
            </w:r>
            <w:r>
              <w:rPr>
                <w:spacing w:val="-44"/>
                <w:sz w:val="21"/>
              </w:rPr>
              <w:t>）</w:t>
            </w:r>
            <w:r>
              <w:rPr>
                <w:spacing w:val="-4"/>
                <w:sz w:val="21"/>
              </w:rPr>
              <w:t xml:space="preserve">股份有限公司的净资产不低于人民币 </w:t>
            </w:r>
            <w:r>
              <w:rPr>
                <w:rFonts w:ascii="Times New Roman" w:eastAsia="Times New Roman"/>
                <w:sz w:val="21"/>
              </w:rPr>
              <w:t xml:space="preserve">3000 </w:t>
            </w:r>
            <w:r>
              <w:rPr>
                <w:spacing w:val="-7"/>
                <w:sz w:val="21"/>
              </w:rPr>
              <w:t>万元，有限责任公司和其他类型企业的净资产不低于人</w:t>
            </w:r>
          </w:p>
          <w:p>
            <w:pPr>
              <w:pStyle w:val="8"/>
              <w:spacing w:before="91"/>
              <w:ind w:left="13"/>
              <w:rPr>
                <w:sz w:val="21"/>
              </w:rPr>
            </w:pPr>
            <w:r>
              <w:rPr>
                <w:sz w:val="21"/>
              </w:rPr>
              <w:t xml:space="preserve">民币 </w:t>
            </w:r>
            <w:r>
              <w:rPr>
                <w:rFonts w:ascii="Times New Roman" w:eastAsia="Times New Roman"/>
                <w:sz w:val="21"/>
              </w:rPr>
              <w:t xml:space="preserve">6000 </w:t>
            </w:r>
            <w:r>
              <w:rPr>
                <w:sz w:val="21"/>
              </w:rPr>
              <w:t>万元；</w:t>
            </w:r>
          </w:p>
          <w:p>
            <w:pPr>
              <w:pStyle w:val="8"/>
              <w:spacing w:before="91"/>
              <w:ind w:left="433"/>
              <w:rPr>
                <w:sz w:val="21"/>
              </w:rPr>
            </w:pPr>
            <w:r>
              <w:rPr>
                <w:sz w:val="21"/>
              </w:rPr>
              <w:t xml:space="preserve">（二）累计债券余额不超过企业净资产（不包括少数股东权益）的 </w:t>
            </w:r>
            <w:r>
              <w:rPr>
                <w:rFonts w:ascii="Times New Roman" w:eastAsia="Times New Roman"/>
                <w:sz w:val="21"/>
              </w:rPr>
              <w:t>40%</w:t>
            </w:r>
            <w:r>
              <w:rPr>
                <w:sz w:val="21"/>
              </w:rPr>
              <w:t>；</w:t>
            </w:r>
          </w:p>
          <w:p>
            <w:pPr>
              <w:pStyle w:val="8"/>
              <w:spacing w:before="88"/>
              <w:ind w:left="433"/>
              <w:rPr>
                <w:sz w:val="21"/>
              </w:rPr>
            </w:pPr>
            <w:r>
              <w:rPr>
                <w:sz w:val="21"/>
              </w:rPr>
              <w:t>（三）最近三年可分配利润（净利润）足以支付企业债券一年的利息；</w:t>
            </w:r>
          </w:p>
          <w:p>
            <w:pPr>
              <w:pStyle w:val="8"/>
              <w:spacing w:before="91" w:line="321" w:lineRule="auto"/>
              <w:ind w:left="13" w:right="3" w:firstLine="420"/>
              <w:jc w:val="both"/>
              <w:rPr>
                <w:sz w:val="21"/>
              </w:rPr>
            </w:pPr>
            <w:r>
              <w:rPr>
                <w:sz w:val="21"/>
              </w:rPr>
              <w:t>（四）筹集资金的投向符合国家产业政策和行业发展方向，所需相关手续齐全。用于固定资产投资项目</w:t>
            </w:r>
            <w:r>
              <w:rPr>
                <w:spacing w:val="-2"/>
                <w:sz w:val="21"/>
              </w:rPr>
              <w:t xml:space="preserve">的，应符合固定资产投资项目资本金制度的要求，原则上累计发行额不得超过该项目总投资的 </w:t>
            </w:r>
            <w:r>
              <w:rPr>
                <w:rFonts w:ascii="Times New Roman" w:eastAsia="Times New Roman"/>
                <w:sz w:val="21"/>
              </w:rPr>
              <w:t>60%</w:t>
            </w:r>
            <w:r>
              <w:rPr>
                <w:sz w:val="21"/>
              </w:rPr>
              <w:t>。用于收购产权（股权）的，比照该比例执行。用于调整债务结构的，不受该比例限制，但企业应提供银行同意以债</w:t>
            </w:r>
            <w:r>
              <w:rPr>
                <w:spacing w:val="-3"/>
                <w:sz w:val="21"/>
              </w:rPr>
              <w:t xml:space="preserve">还贷的证明；用于补充营运资金的，不超过发债总额的 </w:t>
            </w:r>
            <w:r>
              <w:rPr>
                <w:rFonts w:ascii="Times New Roman" w:eastAsia="Times New Roman"/>
                <w:sz w:val="21"/>
              </w:rPr>
              <w:t>20%</w:t>
            </w:r>
            <w:r>
              <w:rPr>
                <w:sz w:val="21"/>
              </w:rPr>
              <w:t>；</w:t>
            </w:r>
          </w:p>
          <w:p>
            <w:pPr>
              <w:pStyle w:val="8"/>
              <w:spacing w:line="267" w:lineRule="exact"/>
              <w:ind w:left="433"/>
              <w:rPr>
                <w:sz w:val="21"/>
              </w:rPr>
            </w:pPr>
            <w:r>
              <w:rPr>
                <w:sz w:val="21"/>
              </w:rPr>
              <w:t>（五）债券的利率由企业根据市场情况确定，但不得超过国务院限定的利率水平；</w:t>
            </w:r>
          </w:p>
        </w:tc>
        <w:tc>
          <w:tcPr>
            <w:tcW w:w="1979" w:type="dxa"/>
          </w:tcPr>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spacing w:before="4"/>
              <w:rPr>
                <w:rFonts w:ascii="Times New Roman"/>
                <w:sz w:val="17"/>
              </w:rPr>
            </w:pPr>
          </w:p>
          <w:p>
            <w:pPr>
              <w:pStyle w:val="8"/>
              <w:ind w:left="232" w:right="226"/>
              <w:jc w:val="center"/>
              <w:rPr>
                <w:sz w:val="21"/>
              </w:rPr>
            </w:pPr>
            <w:r>
              <w:rPr>
                <w:sz w:val="21"/>
              </w:rPr>
              <w:t>国家发展改革委</w:t>
            </w:r>
          </w:p>
        </w:tc>
      </w:tr>
    </w:tbl>
    <w:p>
      <w:pPr>
        <w:spacing w:after="0"/>
        <w:jc w:val="center"/>
        <w:rPr>
          <w:sz w:val="21"/>
        </w:rPr>
        <w:sectPr>
          <w:pgSz w:w="16840" w:h="11910" w:orient="landscape"/>
          <w:pgMar w:top="1100" w:right="960" w:bottom="1160" w:left="1700" w:header="0" w:footer="979" w:gutter="0"/>
        </w:sectPr>
      </w:pPr>
    </w:p>
    <w:p>
      <w:pPr>
        <w:pStyle w:val="3"/>
        <w:rPr>
          <w:rFonts w:ascii="Times New Roman"/>
          <w:sz w:val="29"/>
        </w:rPr>
      </w:pPr>
    </w:p>
    <w:tbl>
      <w:tblPr>
        <w:tblStyle w:val="4"/>
        <w:tblW w:w="0" w:type="auto"/>
        <w:tblInd w:w="34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43"/>
        <w:gridCol w:w="9915"/>
        <w:gridCol w:w="197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 w:hRule="atLeast"/>
        </w:trPr>
        <w:tc>
          <w:tcPr>
            <w:tcW w:w="1743" w:type="dxa"/>
          </w:tcPr>
          <w:p>
            <w:pPr>
              <w:pStyle w:val="8"/>
              <w:spacing w:before="63" w:line="438" w:lineRule="exact"/>
              <w:ind w:left="271"/>
              <w:rPr>
                <w:rFonts w:hint="eastAsia" w:ascii="Arial Unicode MS" w:eastAsia="Arial Unicode MS"/>
                <w:sz w:val="30"/>
              </w:rPr>
            </w:pPr>
            <w:r>
              <w:rPr>
                <w:rFonts w:hint="eastAsia" w:ascii="Arial Unicode MS" w:eastAsia="Arial Unicode MS"/>
                <w:sz w:val="30"/>
              </w:rPr>
              <w:t>惩戒措施</w:t>
            </w:r>
          </w:p>
        </w:tc>
        <w:tc>
          <w:tcPr>
            <w:tcW w:w="9915" w:type="dxa"/>
          </w:tcPr>
          <w:p>
            <w:pPr>
              <w:pStyle w:val="8"/>
              <w:spacing w:line="502" w:lineRule="exact"/>
              <w:ind w:left="3886" w:right="3878"/>
              <w:jc w:val="center"/>
              <w:rPr>
                <w:rFonts w:hint="eastAsia" w:ascii="Arial Unicode MS" w:eastAsia="Arial Unicode MS"/>
                <w:sz w:val="30"/>
              </w:rPr>
            </w:pPr>
            <w:r>
              <w:rPr>
                <w:rFonts w:hint="eastAsia" w:ascii="Arial Unicode MS" w:eastAsia="Arial Unicode MS"/>
                <w:sz w:val="30"/>
              </w:rPr>
              <w:t>法律及政策依据</w:t>
            </w:r>
          </w:p>
        </w:tc>
        <w:tc>
          <w:tcPr>
            <w:tcW w:w="1979" w:type="dxa"/>
          </w:tcPr>
          <w:p>
            <w:pPr>
              <w:pStyle w:val="8"/>
              <w:spacing w:line="502" w:lineRule="exact"/>
              <w:ind w:left="387"/>
              <w:rPr>
                <w:rFonts w:hint="eastAsia" w:ascii="Arial Unicode MS" w:eastAsia="Arial Unicode MS"/>
                <w:sz w:val="30"/>
              </w:rPr>
            </w:pPr>
            <w:r>
              <w:rPr>
                <w:rFonts w:hint="eastAsia" w:ascii="Arial Unicode MS" w:eastAsia="Arial Unicode MS"/>
                <w:sz w:val="30"/>
              </w:rPr>
              <w:t>实施部门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08" w:hRule="atLeast"/>
        </w:trPr>
        <w:tc>
          <w:tcPr>
            <w:tcW w:w="1743" w:type="dxa"/>
          </w:tcPr>
          <w:p>
            <w:pPr>
              <w:pStyle w:val="8"/>
              <w:rPr>
                <w:rFonts w:ascii="Times New Roman"/>
                <w:sz w:val="20"/>
              </w:rPr>
            </w:pPr>
          </w:p>
        </w:tc>
        <w:tc>
          <w:tcPr>
            <w:tcW w:w="9915" w:type="dxa"/>
          </w:tcPr>
          <w:p>
            <w:pPr>
              <w:pStyle w:val="8"/>
              <w:spacing w:before="60"/>
              <w:ind w:left="433"/>
              <w:rPr>
                <w:sz w:val="21"/>
              </w:rPr>
            </w:pPr>
            <w:r>
              <w:rPr>
                <w:sz w:val="21"/>
              </w:rPr>
              <w:t>（六）已发行的企业债券或者其他债务未处于违约或者延迟支付本息的状态；</w:t>
            </w:r>
          </w:p>
          <w:p>
            <w:pPr>
              <w:pStyle w:val="8"/>
              <w:spacing w:before="91"/>
              <w:ind w:left="433"/>
              <w:rPr>
                <w:sz w:val="21"/>
              </w:rPr>
            </w:pPr>
            <w:r>
              <w:rPr>
                <w:sz w:val="21"/>
              </w:rPr>
              <w:t>（七）最近三年没有重大违法违规行为。</w:t>
            </w:r>
          </w:p>
          <w:p>
            <w:pPr>
              <w:pStyle w:val="8"/>
              <w:spacing w:before="91" w:line="321" w:lineRule="auto"/>
              <w:ind w:left="13" w:right="5"/>
              <w:rPr>
                <w:b/>
                <w:sz w:val="21"/>
              </w:rPr>
            </w:pPr>
            <w:r>
              <w:rPr>
                <w:b/>
                <w:spacing w:val="-3"/>
                <w:sz w:val="21"/>
              </w:rPr>
              <w:t>《国家发展改革委 人民银行 中央编办关于在行政管理事项中使用信用记录和信用报告的若干意见》</w:t>
            </w:r>
            <w:r>
              <w:rPr>
                <w:b/>
                <w:sz w:val="21"/>
              </w:rPr>
              <w:t>（发改财金〔</w:t>
            </w:r>
            <w:r>
              <w:rPr>
                <w:rFonts w:ascii="Times New Roman" w:eastAsia="Times New Roman"/>
                <w:b/>
                <w:sz w:val="21"/>
              </w:rPr>
              <w:t>2013</w:t>
            </w:r>
            <w:r>
              <w:rPr>
                <w:b/>
                <w:sz w:val="21"/>
              </w:rPr>
              <w:t>〕</w:t>
            </w:r>
            <w:r>
              <w:rPr>
                <w:rFonts w:ascii="Times New Roman" w:eastAsia="Times New Roman"/>
                <w:b/>
                <w:sz w:val="21"/>
              </w:rPr>
              <w:t xml:space="preserve">920 </w:t>
            </w:r>
            <w:r>
              <w:rPr>
                <w:b/>
                <w:sz w:val="21"/>
              </w:rPr>
              <w:t>号）</w:t>
            </w:r>
          </w:p>
          <w:p>
            <w:pPr>
              <w:pStyle w:val="8"/>
              <w:spacing w:line="268" w:lineRule="exact"/>
              <w:ind w:left="433"/>
              <w:rPr>
                <w:sz w:val="21"/>
              </w:rPr>
            </w:pPr>
            <w:r>
              <w:rPr>
                <w:sz w:val="21"/>
              </w:rPr>
              <w:t>二、切实发挥在行政管理事项中使用信用记录和信用报告的作用</w:t>
            </w:r>
          </w:p>
          <w:p>
            <w:pPr>
              <w:pStyle w:val="8"/>
              <w:spacing w:before="91" w:line="321" w:lineRule="auto"/>
              <w:ind w:left="13" w:right="20" w:firstLine="420"/>
              <w:rPr>
                <w:sz w:val="21"/>
              </w:rPr>
            </w:pPr>
            <w:r>
              <w:rPr>
                <w:spacing w:val="-10"/>
                <w:sz w:val="21"/>
              </w:rPr>
              <w:t>各级政府、各相关部门应将相关市场主体所提供的信用记录或信用报告作为其实施行政管理的重要参考</w:t>
            </w:r>
            <w:r>
              <w:rPr>
                <w:spacing w:val="-10"/>
                <w:w w:val="95"/>
                <w:sz w:val="21"/>
              </w:rPr>
              <w:t>对守信者应探索实行优先办理、简化程序、“绿色通道”和重点支持等激励政策；对失信者，应结合失信类</w:t>
            </w:r>
            <w:r>
              <w:rPr>
                <w:spacing w:val="-10"/>
                <w:sz w:val="21"/>
              </w:rPr>
              <w:t>别和程度，严格落实失信惩戒制度。</w:t>
            </w:r>
          </w:p>
          <w:p>
            <w:pPr>
              <w:pStyle w:val="8"/>
              <w:spacing w:line="267" w:lineRule="exact"/>
              <w:ind w:left="433"/>
              <w:rPr>
                <w:sz w:val="21"/>
              </w:rPr>
            </w:pPr>
            <w:r>
              <w:rPr>
                <w:sz w:val="21"/>
              </w:rPr>
              <w:t>三、探索完善在行政管理事项中使用信用记录和信用报告的制度规范</w:t>
            </w:r>
          </w:p>
          <w:p>
            <w:pPr>
              <w:pStyle w:val="8"/>
              <w:spacing w:before="91" w:line="321" w:lineRule="auto"/>
              <w:ind w:left="13" w:right="20" w:firstLine="420"/>
              <w:rPr>
                <w:sz w:val="21"/>
              </w:rPr>
            </w:pPr>
            <w:r>
              <w:rPr>
                <w:w w:val="95"/>
                <w:sz w:val="21"/>
              </w:rPr>
              <w:t>各级政府、各相关部门应结合地方和部门实际，在政府采购、招标投标、行政审批、市场准入、资质审</w:t>
            </w:r>
            <w:r>
              <w:rPr>
                <w:sz w:val="21"/>
              </w:rPr>
              <w:t>核等行政管理事项中依法要求相关市场主体提供由第三方信用服务机构出具的信用记录或信用报告。</w:t>
            </w:r>
          </w:p>
          <w:p>
            <w:pPr>
              <w:pStyle w:val="8"/>
              <w:spacing w:line="321" w:lineRule="auto"/>
              <w:ind w:left="433" w:right="651"/>
              <w:rPr>
                <w:sz w:val="21"/>
              </w:rPr>
            </w:pPr>
            <w:r>
              <w:rPr>
                <w:w w:val="95"/>
                <w:sz w:val="21"/>
              </w:rPr>
              <w:t xml:space="preserve">各级政府、各相关部门应根据履职需要，研究明确信用记录或信用报告的主要内容和运用规范。   </w:t>
            </w:r>
            <w:r>
              <w:rPr>
                <w:sz w:val="21"/>
              </w:rPr>
              <w:t>五、不断健全全社会守信激励和失信惩戒的联动机制</w:t>
            </w:r>
          </w:p>
          <w:p>
            <w:pPr>
              <w:pStyle w:val="8"/>
              <w:spacing w:line="321" w:lineRule="auto"/>
              <w:ind w:left="433" w:right="248" w:hanging="420"/>
              <w:rPr>
                <w:sz w:val="21"/>
              </w:rPr>
            </w:pPr>
            <w:r>
              <w:rPr>
                <w:b/>
                <w:sz w:val="21"/>
              </w:rPr>
              <w:t>《国家发展改革委办公厅关于进一步改进企业债券发行审核工作的通知》（发改办财金〔</w:t>
            </w:r>
            <w:r>
              <w:rPr>
                <w:rFonts w:ascii="Times New Roman" w:eastAsia="Times New Roman"/>
                <w:b/>
                <w:sz w:val="21"/>
              </w:rPr>
              <w:t>2013</w:t>
            </w:r>
            <w:r>
              <w:rPr>
                <w:b/>
                <w:sz w:val="21"/>
              </w:rPr>
              <w:t>〕</w:t>
            </w:r>
            <w:r>
              <w:rPr>
                <w:rFonts w:ascii="Times New Roman" w:eastAsia="Times New Roman"/>
                <w:b/>
                <w:sz w:val="21"/>
              </w:rPr>
              <w:t xml:space="preserve">957 </w:t>
            </w:r>
            <w:r>
              <w:rPr>
                <w:b/>
                <w:sz w:val="21"/>
              </w:rPr>
              <w:t xml:space="preserve">号） </w:t>
            </w:r>
            <w:r>
              <w:rPr>
                <w:sz w:val="21"/>
              </w:rPr>
              <w:t>对于以下两类发债申请，要从严审核，有效防范市场风险。</w:t>
            </w:r>
          </w:p>
          <w:p>
            <w:pPr>
              <w:pStyle w:val="8"/>
              <w:spacing w:line="268" w:lineRule="exact"/>
              <w:ind w:left="433"/>
              <w:rPr>
                <w:sz w:val="21"/>
              </w:rPr>
            </w:pPr>
            <w:r>
              <w:rPr>
                <w:sz w:val="21"/>
              </w:rPr>
              <w:t>（一）募集资金用于产能过剩、高污染、高耗能等国家产业政策限制领域的发债申请。</w:t>
            </w:r>
          </w:p>
          <w:p>
            <w:pPr>
              <w:pStyle w:val="8"/>
              <w:spacing w:before="89"/>
              <w:ind w:left="433"/>
              <w:rPr>
                <w:sz w:val="21"/>
              </w:rPr>
            </w:pPr>
            <w:r>
              <w:rPr>
                <w:sz w:val="21"/>
              </w:rPr>
              <w:t>（二）企业信用等级较低，负债率高，债券余额较大或运作不规范、资产不实、偿债措施较弱的发债申</w:t>
            </w:r>
          </w:p>
          <w:p>
            <w:pPr>
              <w:pStyle w:val="8"/>
              <w:spacing w:before="91"/>
              <w:ind w:left="13"/>
              <w:rPr>
                <w:sz w:val="21"/>
              </w:rPr>
            </w:pPr>
            <w:r>
              <w:rPr>
                <w:sz w:val="21"/>
              </w:rPr>
              <w:t>请。</w:t>
            </w:r>
          </w:p>
          <w:p>
            <w:pPr>
              <w:pStyle w:val="8"/>
              <w:spacing w:before="90"/>
              <w:ind w:left="13"/>
              <w:rPr>
                <w:b/>
                <w:sz w:val="21"/>
              </w:rPr>
            </w:pPr>
            <w:r>
              <w:rPr>
                <w:b/>
                <w:sz w:val="21"/>
              </w:rPr>
              <w:t>《国务院关于促进市场公平竞争维护市场正常秩序的若干意见》（国发〔</w:t>
            </w:r>
            <w:r>
              <w:rPr>
                <w:rFonts w:ascii="Times New Roman" w:eastAsia="Times New Roman"/>
                <w:b/>
                <w:sz w:val="21"/>
              </w:rPr>
              <w:t>2014</w:t>
            </w:r>
            <w:r>
              <w:rPr>
                <w:b/>
                <w:sz w:val="21"/>
              </w:rPr>
              <w:t>〕</w:t>
            </w:r>
            <w:r>
              <w:rPr>
                <w:rFonts w:ascii="Times New Roman" w:eastAsia="Times New Roman"/>
                <w:b/>
                <w:sz w:val="21"/>
              </w:rPr>
              <w:t xml:space="preserve">20 </w:t>
            </w:r>
            <w:r>
              <w:rPr>
                <w:b/>
                <w:sz w:val="21"/>
              </w:rPr>
              <w:t>号）</w:t>
            </w:r>
          </w:p>
          <w:p>
            <w:pPr>
              <w:pStyle w:val="8"/>
              <w:spacing w:line="360" w:lineRule="atLeast"/>
              <w:ind w:left="13" w:right="20" w:firstLine="420"/>
              <w:rPr>
                <w:sz w:val="21"/>
              </w:rPr>
            </w:pPr>
            <w:r>
              <w:rPr>
                <w:w w:val="95"/>
                <w:sz w:val="21"/>
              </w:rPr>
              <w:t>（十五）建立健全守信激励和失信惩戒机制。将市场主体的信用信息作为实施行政管理的重要参考。根据市场主体信用状况实行分类分级、动态监管，建立健全经营异常名录制度，对违背市场竞争原则和侵犯消</w:t>
            </w:r>
            <w:r>
              <w:rPr>
                <w:spacing w:val="-7"/>
                <w:sz w:val="21"/>
              </w:rPr>
              <w:t>费者、劳动者合法权益的市场主体建立“黑名单”制度。</w:t>
            </w:r>
            <w:r>
              <w:rPr>
                <w:sz w:val="21"/>
              </w:rPr>
              <w:t>（工商总局牵头负责</w:t>
            </w:r>
            <w:r>
              <w:rPr>
                <w:spacing w:val="-22"/>
                <w:sz w:val="21"/>
              </w:rPr>
              <w:t>）</w:t>
            </w:r>
            <w:r>
              <w:rPr>
                <w:sz w:val="21"/>
              </w:rPr>
              <w:t>对守信主体予以支持和激励</w:t>
            </w:r>
            <w:r>
              <w:rPr>
                <w:w w:val="95"/>
                <w:sz w:val="21"/>
              </w:rPr>
              <w:t>对失信主体在经营、投融资、取得政府供应土地、进出口、出入境、注册新公司、工程招投标、政府采购、</w:t>
            </w:r>
          </w:p>
        </w:tc>
        <w:tc>
          <w:tcPr>
            <w:tcW w:w="1979" w:type="dxa"/>
          </w:tcPr>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spacing w:before="9"/>
              <w:rPr>
                <w:rFonts w:ascii="Times New Roman"/>
                <w:sz w:val="21"/>
              </w:rPr>
            </w:pPr>
          </w:p>
          <w:p>
            <w:pPr>
              <w:pStyle w:val="8"/>
              <w:ind w:left="-122"/>
              <w:rPr>
                <w:sz w:val="21"/>
              </w:rPr>
            </w:pPr>
            <w:r>
              <w:rPr>
                <w:w w:val="99"/>
                <w:sz w:val="21"/>
              </w:rPr>
              <w:t>。</w:t>
            </w: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spacing w:before="5"/>
              <w:rPr>
                <w:rFonts w:ascii="Times New Roman"/>
                <w:sz w:val="17"/>
              </w:rPr>
            </w:pPr>
          </w:p>
          <w:p>
            <w:pPr>
              <w:pStyle w:val="8"/>
              <w:spacing w:before="1"/>
              <w:ind w:left="-122"/>
              <w:rPr>
                <w:sz w:val="21"/>
              </w:rPr>
            </w:pPr>
            <w:r>
              <w:rPr>
                <w:w w:val="99"/>
                <w:sz w:val="21"/>
              </w:rPr>
              <w:t>，</w:t>
            </w:r>
          </w:p>
        </w:tc>
      </w:tr>
    </w:tbl>
    <w:p>
      <w:pPr>
        <w:spacing w:after="0"/>
        <w:rPr>
          <w:sz w:val="21"/>
        </w:rPr>
        <w:sectPr>
          <w:footerReference r:id="rId8" w:type="default"/>
          <w:pgSz w:w="16840" w:h="11910" w:orient="landscape"/>
          <w:pgMar w:top="1100" w:right="960" w:bottom="1160" w:left="1700" w:header="0" w:footer="979" w:gutter="0"/>
          <w:pgNumType w:start="40"/>
        </w:sectPr>
      </w:pPr>
    </w:p>
    <w:p>
      <w:pPr>
        <w:pStyle w:val="3"/>
        <w:rPr>
          <w:rFonts w:ascii="Times New Roman"/>
          <w:sz w:val="29"/>
        </w:rPr>
      </w:pPr>
    </w:p>
    <w:tbl>
      <w:tblPr>
        <w:tblStyle w:val="4"/>
        <w:tblW w:w="0" w:type="auto"/>
        <w:tblInd w:w="34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43"/>
        <w:gridCol w:w="9915"/>
        <w:gridCol w:w="197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 w:hRule="atLeast"/>
        </w:trPr>
        <w:tc>
          <w:tcPr>
            <w:tcW w:w="1743" w:type="dxa"/>
          </w:tcPr>
          <w:p>
            <w:pPr>
              <w:pStyle w:val="8"/>
              <w:spacing w:before="63" w:line="438" w:lineRule="exact"/>
              <w:ind w:left="271"/>
              <w:rPr>
                <w:rFonts w:hint="eastAsia" w:ascii="Arial Unicode MS" w:eastAsia="Arial Unicode MS"/>
                <w:sz w:val="30"/>
              </w:rPr>
            </w:pPr>
            <w:r>
              <w:rPr>
                <w:rFonts w:hint="eastAsia" w:ascii="Arial Unicode MS" w:eastAsia="Arial Unicode MS"/>
                <w:sz w:val="30"/>
              </w:rPr>
              <w:t>惩戒措施</w:t>
            </w:r>
          </w:p>
        </w:tc>
        <w:tc>
          <w:tcPr>
            <w:tcW w:w="9915" w:type="dxa"/>
          </w:tcPr>
          <w:p>
            <w:pPr>
              <w:pStyle w:val="8"/>
              <w:spacing w:line="502" w:lineRule="exact"/>
              <w:ind w:left="3886" w:right="3878"/>
              <w:jc w:val="center"/>
              <w:rPr>
                <w:rFonts w:hint="eastAsia" w:ascii="Arial Unicode MS" w:eastAsia="Arial Unicode MS"/>
                <w:sz w:val="30"/>
              </w:rPr>
            </w:pPr>
            <w:r>
              <w:rPr>
                <w:rFonts w:hint="eastAsia" w:ascii="Arial Unicode MS" w:eastAsia="Arial Unicode MS"/>
                <w:sz w:val="30"/>
              </w:rPr>
              <w:t>法律及政策依据</w:t>
            </w:r>
          </w:p>
        </w:tc>
        <w:tc>
          <w:tcPr>
            <w:tcW w:w="1979" w:type="dxa"/>
          </w:tcPr>
          <w:p>
            <w:pPr>
              <w:pStyle w:val="8"/>
              <w:spacing w:line="502" w:lineRule="exact"/>
              <w:ind w:left="232" w:right="226"/>
              <w:jc w:val="center"/>
              <w:rPr>
                <w:rFonts w:hint="eastAsia" w:ascii="Arial Unicode MS" w:eastAsia="Arial Unicode MS"/>
                <w:sz w:val="30"/>
              </w:rPr>
            </w:pPr>
            <w:r>
              <w:rPr>
                <w:rFonts w:hint="eastAsia" w:ascii="Arial Unicode MS" w:eastAsia="Arial Unicode MS"/>
                <w:sz w:val="30"/>
              </w:rPr>
              <w:t>实施部门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0" w:hRule="atLeast"/>
        </w:trPr>
        <w:tc>
          <w:tcPr>
            <w:tcW w:w="1743" w:type="dxa"/>
          </w:tcPr>
          <w:p>
            <w:pPr>
              <w:pStyle w:val="8"/>
              <w:rPr>
                <w:rFonts w:ascii="Times New Roman"/>
                <w:sz w:val="20"/>
              </w:rPr>
            </w:pPr>
          </w:p>
        </w:tc>
        <w:tc>
          <w:tcPr>
            <w:tcW w:w="9915" w:type="dxa"/>
          </w:tcPr>
          <w:p>
            <w:pPr>
              <w:pStyle w:val="8"/>
              <w:spacing w:before="60"/>
              <w:ind w:left="13"/>
              <w:rPr>
                <w:sz w:val="21"/>
              </w:rPr>
            </w:pPr>
            <w:r>
              <w:rPr>
                <w:sz w:val="21"/>
              </w:rPr>
              <w:t>获得荣誉、安全许可、生产许可、从业任职资格、资质审核等方面依法予以限制或禁止，对严重违法失信主</w:t>
            </w:r>
          </w:p>
          <w:p>
            <w:pPr>
              <w:pStyle w:val="8"/>
              <w:spacing w:before="91"/>
              <w:ind w:left="13"/>
              <w:rPr>
                <w:sz w:val="21"/>
              </w:rPr>
            </w:pPr>
            <w:r>
              <w:rPr>
                <w:sz w:val="21"/>
              </w:rPr>
              <w:t>体实行市场禁入制度。（各相关市场监管部门按职责分工分别负责）</w:t>
            </w:r>
          </w:p>
        </w:tc>
        <w:tc>
          <w:tcPr>
            <w:tcW w:w="1979" w:type="dxa"/>
          </w:tcPr>
          <w:p>
            <w:pPr>
              <w:pStyle w:val="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06" w:hRule="atLeast"/>
        </w:trPr>
        <w:tc>
          <w:tcPr>
            <w:tcW w:w="1743" w:type="dxa"/>
            <w:tcBorders>
              <w:bottom w:val="nil"/>
            </w:tcBorders>
          </w:tcPr>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spacing w:before="125" w:line="360" w:lineRule="atLeast"/>
              <w:ind w:left="14" w:right="38"/>
              <w:rPr>
                <w:sz w:val="21"/>
              </w:rPr>
            </w:pPr>
            <w:r>
              <w:rPr>
                <w:rFonts w:ascii="Times New Roman" w:eastAsia="Times New Roman"/>
                <w:sz w:val="21"/>
              </w:rPr>
              <w:t>35.</w:t>
            </w:r>
            <w:r>
              <w:rPr>
                <w:position w:val="1"/>
                <w:sz w:val="21"/>
              </w:rPr>
              <w:t>将失信信息作</w:t>
            </w:r>
            <w:r>
              <w:rPr>
                <w:sz w:val="21"/>
              </w:rPr>
              <w:t>为发行公司债券的</w:t>
            </w:r>
          </w:p>
        </w:tc>
        <w:tc>
          <w:tcPr>
            <w:tcW w:w="9915" w:type="dxa"/>
            <w:vMerge w:val="restart"/>
          </w:tcPr>
          <w:p>
            <w:pPr>
              <w:pStyle w:val="8"/>
              <w:spacing w:before="61" w:line="321" w:lineRule="auto"/>
              <w:ind w:left="433" w:right="2874" w:hanging="420"/>
              <w:rPr>
                <w:sz w:val="21"/>
              </w:rPr>
            </w:pPr>
            <w:r>
              <w:rPr>
                <w:b/>
                <w:sz w:val="21"/>
              </w:rPr>
              <w:t xml:space="preserve">《公司债券发行与交易管理办法》（中国证券监督管理委员会令第 </w:t>
            </w:r>
            <w:r>
              <w:rPr>
                <w:rFonts w:ascii="Times New Roman" w:eastAsia="Times New Roman"/>
                <w:b/>
                <w:sz w:val="21"/>
              </w:rPr>
              <w:t xml:space="preserve">113 </w:t>
            </w:r>
            <w:r>
              <w:rPr>
                <w:b/>
                <w:sz w:val="21"/>
              </w:rPr>
              <w:t xml:space="preserve">号） </w:t>
            </w:r>
            <w:r>
              <w:rPr>
                <w:sz w:val="21"/>
              </w:rPr>
              <w:t>第十七条 存在下列情形之一的，不得公开发行公司债券：</w:t>
            </w:r>
          </w:p>
          <w:p>
            <w:pPr>
              <w:pStyle w:val="8"/>
              <w:spacing w:line="268" w:lineRule="exact"/>
              <w:ind w:left="433"/>
              <w:rPr>
                <w:sz w:val="21"/>
              </w:rPr>
            </w:pPr>
            <w:r>
              <w:rPr>
                <w:sz w:val="21"/>
              </w:rPr>
              <w:t>（一）最近三十六个月内公司财务会计文件存在虚假记载，或公司存在其他重大违法行为；</w:t>
            </w:r>
          </w:p>
          <w:p>
            <w:pPr>
              <w:pStyle w:val="8"/>
              <w:spacing w:before="91"/>
              <w:ind w:left="433"/>
              <w:rPr>
                <w:sz w:val="21"/>
              </w:rPr>
            </w:pPr>
            <w:r>
              <w:rPr>
                <w:sz w:val="21"/>
              </w:rPr>
              <w:t>（二）本次发行申请文件存在虚假记载、误导性陈述或者重大遗漏；</w:t>
            </w:r>
          </w:p>
          <w:p>
            <w:pPr>
              <w:pStyle w:val="8"/>
              <w:spacing w:before="91"/>
              <w:ind w:left="433"/>
              <w:rPr>
                <w:sz w:val="21"/>
              </w:rPr>
            </w:pPr>
            <w:r>
              <w:rPr>
                <w:sz w:val="21"/>
              </w:rPr>
              <w:t>（三）对已发行的公司债券或者其他债务有违约或者迟延支付本息的事实，仍处于继续状态；</w:t>
            </w:r>
          </w:p>
          <w:p>
            <w:pPr>
              <w:pStyle w:val="8"/>
              <w:spacing w:before="91"/>
              <w:ind w:left="433"/>
              <w:rPr>
                <w:sz w:val="21"/>
              </w:rPr>
            </w:pPr>
            <w:r>
              <w:rPr>
                <w:sz w:val="21"/>
              </w:rPr>
              <w:t>（四）严重损害投资者合法权益和社会公共利益的其他情形。</w:t>
            </w:r>
          </w:p>
          <w:p>
            <w:pPr>
              <w:pStyle w:val="8"/>
              <w:spacing w:before="91" w:line="321" w:lineRule="auto"/>
              <w:ind w:left="433" w:right="1394" w:hanging="420"/>
              <w:rPr>
                <w:sz w:val="21"/>
              </w:rPr>
            </w:pPr>
            <w:r>
              <w:rPr>
                <w:b/>
                <w:sz w:val="21"/>
              </w:rPr>
              <w:t>《银行间债券市场非金融企业债务融资工具管理办法》（中国人民银行令〔</w:t>
            </w:r>
            <w:r>
              <w:rPr>
                <w:rFonts w:ascii="Times New Roman" w:eastAsia="Times New Roman"/>
                <w:b/>
                <w:sz w:val="21"/>
              </w:rPr>
              <w:t>2008</w:t>
            </w:r>
            <w:r>
              <w:rPr>
                <w:b/>
                <w:sz w:val="21"/>
              </w:rPr>
              <w:t xml:space="preserve">〕第 </w:t>
            </w:r>
            <w:r>
              <w:rPr>
                <w:rFonts w:ascii="Times New Roman" w:eastAsia="Times New Roman"/>
                <w:b/>
                <w:sz w:val="21"/>
              </w:rPr>
              <w:t xml:space="preserve">1 </w:t>
            </w:r>
            <w:r>
              <w:rPr>
                <w:b/>
                <w:sz w:val="21"/>
              </w:rPr>
              <w:t xml:space="preserve">号） </w:t>
            </w:r>
            <w:r>
              <w:rPr>
                <w:sz w:val="21"/>
              </w:rPr>
              <w:t>第三条 债券融资工具发行与交易应遵循诚信、自律原则。</w:t>
            </w:r>
          </w:p>
          <w:p>
            <w:pPr>
              <w:pStyle w:val="8"/>
              <w:spacing w:line="321" w:lineRule="auto"/>
              <w:ind w:left="13" w:right="5" w:firstLine="420"/>
              <w:rPr>
                <w:sz w:val="21"/>
              </w:rPr>
            </w:pPr>
            <w:r>
              <w:rPr>
                <w:spacing w:val="-8"/>
                <w:sz w:val="21"/>
              </w:rPr>
              <w:t>第七条 企业发行债务融资工具应在银行间债券市场披露信息。披露信息应遵循诚实信用原则，不得有虚假记载、误导性陈述或重大遗漏。</w:t>
            </w:r>
          </w:p>
          <w:p>
            <w:pPr>
              <w:pStyle w:val="8"/>
              <w:spacing w:line="321" w:lineRule="auto"/>
              <w:ind w:left="13" w:right="5" w:firstLine="420"/>
              <w:rPr>
                <w:sz w:val="21"/>
              </w:rPr>
            </w:pPr>
            <w:r>
              <w:rPr>
                <w:spacing w:val="-9"/>
                <w:sz w:val="21"/>
              </w:rPr>
              <w:t>第九条 为债务融资工具提供服务的承销机构、信用评级机构、注册会计师、律师等专业机构和人员应勤勉尽责，严格遵守执业规范和职业道德，按规定和约定履行义务。</w:t>
            </w:r>
          </w:p>
          <w:p>
            <w:pPr>
              <w:pStyle w:val="8"/>
              <w:spacing w:line="321" w:lineRule="auto"/>
              <w:ind w:left="13" w:right="20" w:firstLine="420"/>
              <w:rPr>
                <w:sz w:val="21"/>
              </w:rPr>
            </w:pPr>
            <w:r>
              <w:rPr>
                <w:w w:val="95"/>
                <w:sz w:val="21"/>
              </w:rPr>
              <w:t>上述专业机构和人员所出具的文件含有虚假记载、误导性陈述和重大遗漏的，应当就其负有责任的部分</w:t>
            </w:r>
            <w:r>
              <w:rPr>
                <w:sz w:val="21"/>
              </w:rPr>
              <w:t>承担相应的法律责任。</w:t>
            </w:r>
          </w:p>
          <w:p>
            <w:pPr>
              <w:pStyle w:val="8"/>
              <w:spacing w:line="268" w:lineRule="exact"/>
              <w:ind w:left="13"/>
              <w:rPr>
                <w:b/>
                <w:sz w:val="21"/>
              </w:rPr>
            </w:pPr>
            <w:r>
              <w:rPr>
                <w:b/>
                <w:sz w:val="21"/>
              </w:rPr>
              <w:t>《征信业管理条例》</w:t>
            </w:r>
          </w:p>
          <w:p>
            <w:pPr>
              <w:pStyle w:val="8"/>
              <w:tabs>
                <w:tab w:val="left" w:pos="1693"/>
              </w:tabs>
              <w:spacing w:before="87" w:line="321" w:lineRule="auto"/>
              <w:ind w:left="13" w:right="20" w:firstLine="420"/>
              <w:rPr>
                <w:sz w:val="21"/>
              </w:rPr>
            </w:pPr>
            <w:r>
              <w:rPr>
                <w:sz w:val="21"/>
              </w:rPr>
              <w:t>第二十一条</w:t>
            </w:r>
            <w:r>
              <w:rPr>
                <w:sz w:val="21"/>
              </w:rPr>
              <w:tab/>
            </w:r>
            <w:r>
              <w:rPr>
                <w:w w:val="95"/>
                <w:sz w:val="21"/>
              </w:rPr>
              <w:t>征信机构可以通过信息主体、企业交易对方、行业协会提供信息，政府有关部门依法已公</w:t>
            </w:r>
            <w:r>
              <w:rPr>
                <w:sz w:val="21"/>
              </w:rPr>
              <w:t>开的信息，人民法院依法公布的判决、裁定等渠道，采集企业信息。</w:t>
            </w:r>
          </w:p>
          <w:p>
            <w:pPr>
              <w:pStyle w:val="8"/>
              <w:spacing w:line="268" w:lineRule="exact"/>
              <w:ind w:left="433"/>
              <w:rPr>
                <w:sz w:val="21"/>
              </w:rPr>
            </w:pPr>
            <w:r>
              <w:rPr>
                <w:sz w:val="21"/>
              </w:rPr>
              <w:t>第四十四条 本条例下列用语的含义：</w:t>
            </w:r>
          </w:p>
          <w:p>
            <w:pPr>
              <w:pStyle w:val="8"/>
              <w:spacing w:before="91" w:line="321" w:lineRule="auto"/>
              <w:ind w:left="13" w:right="20" w:firstLine="420"/>
              <w:rPr>
                <w:sz w:val="21"/>
              </w:rPr>
            </w:pPr>
            <w:r>
              <w:rPr>
                <w:w w:val="95"/>
                <w:sz w:val="21"/>
              </w:rPr>
              <w:t>（一）信息提供者，是指向征信机构提供信息的单位和个人，以及向金融信用信息基础数据库提供信息</w:t>
            </w:r>
            <w:r>
              <w:rPr>
                <w:sz w:val="21"/>
              </w:rPr>
              <w:t>的单位。</w:t>
            </w:r>
          </w:p>
          <w:p>
            <w:pPr>
              <w:pStyle w:val="8"/>
              <w:spacing w:line="268" w:lineRule="exact"/>
              <w:ind w:left="433"/>
              <w:rPr>
                <w:sz w:val="21"/>
              </w:rPr>
            </w:pPr>
            <w:r>
              <w:rPr>
                <w:sz w:val="21"/>
              </w:rPr>
              <w:t>（二）信息使用者，是指从征信机构和金融信用信息基础数据库获取信息的单位和个人。</w:t>
            </w:r>
          </w:p>
        </w:tc>
        <w:tc>
          <w:tcPr>
            <w:tcW w:w="1979" w:type="dxa"/>
            <w:tcBorders>
              <w:bottom w:val="nil"/>
            </w:tcBorders>
          </w:tcPr>
          <w:p>
            <w:pPr>
              <w:pStyle w:val="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1743" w:type="dxa"/>
            <w:tcBorders>
              <w:top w:val="nil"/>
              <w:bottom w:val="nil"/>
            </w:tcBorders>
          </w:tcPr>
          <w:p>
            <w:pPr>
              <w:pStyle w:val="8"/>
              <w:spacing w:before="40"/>
              <w:ind w:left="14"/>
              <w:rPr>
                <w:sz w:val="21"/>
              </w:rPr>
            </w:pPr>
            <w:r>
              <w:rPr>
                <w:sz w:val="21"/>
              </w:rPr>
              <w:t>重要参考，依法从</w:t>
            </w:r>
          </w:p>
        </w:tc>
        <w:tc>
          <w:tcPr>
            <w:tcW w:w="9915" w:type="dxa"/>
            <w:vMerge w:val="continue"/>
            <w:tcBorders>
              <w:top w:val="nil"/>
            </w:tcBorders>
          </w:tcPr>
          <w:p>
            <w:pPr>
              <w:rPr>
                <w:sz w:val="2"/>
                <w:szCs w:val="2"/>
              </w:rPr>
            </w:pPr>
          </w:p>
        </w:tc>
        <w:tc>
          <w:tcPr>
            <w:tcW w:w="1979" w:type="dxa"/>
            <w:tcBorders>
              <w:top w:val="nil"/>
              <w:bottom w:val="nil"/>
            </w:tcBorders>
          </w:tcPr>
          <w:p>
            <w:pPr>
              <w:pStyle w:val="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1743" w:type="dxa"/>
            <w:tcBorders>
              <w:top w:val="nil"/>
              <w:bottom w:val="nil"/>
            </w:tcBorders>
          </w:tcPr>
          <w:p>
            <w:pPr>
              <w:pStyle w:val="8"/>
              <w:spacing w:before="40"/>
              <w:ind w:left="14"/>
              <w:rPr>
                <w:sz w:val="21"/>
              </w:rPr>
            </w:pPr>
            <w:r>
              <w:rPr>
                <w:sz w:val="21"/>
              </w:rPr>
              <w:t>严审核；在注册非</w:t>
            </w:r>
          </w:p>
        </w:tc>
        <w:tc>
          <w:tcPr>
            <w:tcW w:w="9915" w:type="dxa"/>
            <w:vMerge w:val="continue"/>
            <w:tcBorders>
              <w:top w:val="nil"/>
            </w:tcBorders>
          </w:tcPr>
          <w:p>
            <w:pPr>
              <w:rPr>
                <w:sz w:val="2"/>
                <w:szCs w:val="2"/>
              </w:rPr>
            </w:pPr>
          </w:p>
        </w:tc>
        <w:tc>
          <w:tcPr>
            <w:tcW w:w="1979" w:type="dxa"/>
            <w:tcBorders>
              <w:top w:val="nil"/>
              <w:bottom w:val="nil"/>
            </w:tcBorders>
          </w:tcPr>
          <w:p>
            <w:pPr>
              <w:pStyle w:val="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1743" w:type="dxa"/>
            <w:tcBorders>
              <w:top w:val="nil"/>
              <w:bottom w:val="nil"/>
            </w:tcBorders>
          </w:tcPr>
          <w:p>
            <w:pPr>
              <w:pStyle w:val="8"/>
              <w:spacing w:before="40"/>
              <w:ind w:left="14"/>
              <w:rPr>
                <w:sz w:val="21"/>
              </w:rPr>
            </w:pPr>
            <w:r>
              <w:rPr>
                <w:sz w:val="21"/>
              </w:rPr>
              <w:t>金融债券融资工具</w:t>
            </w:r>
          </w:p>
        </w:tc>
        <w:tc>
          <w:tcPr>
            <w:tcW w:w="9915" w:type="dxa"/>
            <w:vMerge w:val="continue"/>
            <w:tcBorders>
              <w:top w:val="nil"/>
            </w:tcBorders>
          </w:tcPr>
          <w:p>
            <w:pPr>
              <w:rPr>
                <w:sz w:val="2"/>
                <w:szCs w:val="2"/>
              </w:rPr>
            </w:pPr>
          </w:p>
        </w:tc>
        <w:tc>
          <w:tcPr>
            <w:tcW w:w="1979" w:type="dxa"/>
            <w:tcBorders>
              <w:top w:val="nil"/>
              <w:bottom w:val="nil"/>
            </w:tcBorders>
          </w:tcPr>
          <w:p>
            <w:pPr>
              <w:pStyle w:val="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1743" w:type="dxa"/>
            <w:tcBorders>
              <w:top w:val="nil"/>
              <w:bottom w:val="nil"/>
            </w:tcBorders>
          </w:tcPr>
          <w:p>
            <w:pPr>
              <w:pStyle w:val="8"/>
              <w:spacing w:before="40"/>
              <w:ind w:left="14"/>
              <w:rPr>
                <w:sz w:val="21"/>
              </w:rPr>
            </w:pPr>
            <w:r>
              <w:rPr>
                <w:sz w:val="21"/>
              </w:rPr>
              <w:t>时加强管理，并按</w:t>
            </w:r>
          </w:p>
        </w:tc>
        <w:tc>
          <w:tcPr>
            <w:tcW w:w="9915" w:type="dxa"/>
            <w:vMerge w:val="continue"/>
            <w:tcBorders>
              <w:top w:val="nil"/>
            </w:tcBorders>
          </w:tcPr>
          <w:p>
            <w:pPr>
              <w:rPr>
                <w:sz w:val="2"/>
                <w:szCs w:val="2"/>
              </w:rPr>
            </w:pPr>
          </w:p>
        </w:tc>
        <w:tc>
          <w:tcPr>
            <w:tcW w:w="1979" w:type="dxa"/>
            <w:tcBorders>
              <w:top w:val="nil"/>
              <w:bottom w:val="nil"/>
            </w:tcBorders>
          </w:tcPr>
          <w:p>
            <w:pPr>
              <w:pStyle w:val="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1743" w:type="dxa"/>
            <w:tcBorders>
              <w:top w:val="nil"/>
              <w:bottom w:val="nil"/>
            </w:tcBorders>
          </w:tcPr>
          <w:p>
            <w:pPr>
              <w:pStyle w:val="8"/>
              <w:spacing w:before="40"/>
              <w:ind w:left="14"/>
              <w:rPr>
                <w:sz w:val="21"/>
              </w:rPr>
            </w:pPr>
            <w:r>
              <w:rPr>
                <w:sz w:val="21"/>
              </w:rPr>
              <w:t>照注册发行有关工</w:t>
            </w:r>
          </w:p>
        </w:tc>
        <w:tc>
          <w:tcPr>
            <w:tcW w:w="9915" w:type="dxa"/>
            <w:vMerge w:val="continue"/>
            <w:tcBorders>
              <w:top w:val="nil"/>
            </w:tcBorders>
          </w:tcPr>
          <w:p>
            <w:pPr>
              <w:rPr>
                <w:sz w:val="2"/>
                <w:szCs w:val="2"/>
              </w:rPr>
            </w:pPr>
          </w:p>
        </w:tc>
        <w:tc>
          <w:tcPr>
            <w:tcW w:w="1979" w:type="dxa"/>
            <w:tcBorders>
              <w:top w:val="nil"/>
              <w:bottom w:val="nil"/>
            </w:tcBorders>
          </w:tcPr>
          <w:p>
            <w:pPr>
              <w:pStyle w:val="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2" w:hRule="atLeast"/>
        </w:trPr>
        <w:tc>
          <w:tcPr>
            <w:tcW w:w="1743" w:type="dxa"/>
            <w:tcBorders>
              <w:top w:val="nil"/>
              <w:bottom w:val="nil"/>
            </w:tcBorders>
          </w:tcPr>
          <w:p>
            <w:pPr>
              <w:pStyle w:val="8"/>
              <w:spacing w:before="40"/>
              <w:ind w:left="14"/>
              <w:rPr>
                <w:sz w:val="21"/>
              </w:rPr>
            </w:pPr>
            <w:r>
              <w:rPr>
                <w:sz w:val="21"/>
              </w:rPr>
              <w:t>作要求，强化信息</w:t>
            </w:r>
          </w:p>
        </w:tc>
        <w:tc>
          <w:tcPr>
            <w:tcW w:w="9915" w:type="dxa"/>
            <w:vMerge w:val="continue"/>
            <w:tcBorders>
              <w:top w:val="nil"/>
            </w:tcBorders>
          </w:tcPr>
          <w:p>
            <w:pPr>
              <w:rPr>
                <w:sz w:val="2"/>
                <w:szCs w:val="2"/>
              </w:rPr>
            </w:pPr>
          </w:p>
        </w:tc>
        <w:tc>
          <w:tcPr>
            <w:tcW w:w="1979" w:type="dxa"/>
            <w:tcBorders>
              <w:top w:val="nil"/>
              <w:bottom w:val="nil"/>
            </w:tcBorders>
          </w:tcPr>
          <w:p>
            <w:pPr>
              <w:pStyle w:val="8"/>
              <w:spacing w:before="45"/>
              <w:ind w:left="230" w:right="226"/>
              <w:jc w:val="center"/>
              <w:rPr>
                <w:sz w:val="21"/>
              </w:rPr>
            </w:pPr>
            <w:r>
              <w:rPr>
                <w:sz w:val="21"/>
              </w:rPr>
              <w:t>人民银行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7" w:hRule="atLeast"/>
        </w:trPr>
        <w:tc>
          <w:tcPr>
            <w:tcW w:w="1743" w:type="dxa"/>
            <w:tcBorders>
              <w:top w:val="nil"/>
              <w:bottom w:val="nil"/>
            </w:tcBorders>
          </w:tcPr>
          <w:p>
            <w:pPr>
              <w:pStyle w:val="8"/>
              <w:spacing w:before="37"/>
              <w:ind w:left="14"/>
              <w:rPr>
                <w:sz w:val="21"/>
              </w:rPr>
            </w:pPr>
            <w:r>
              <w:rPr>
                <w:sz w:val="21"/>
              </w:rPr>
              <w:t>披露，加强投资人</w:t>
            </w:r>
          </w:p>
        </w:tc>
        <w:tc>
          <w:tcPr>
            <w:tcW w:w="9915" w:type="dxa"/>
            <w:vMerge w:val="continue"/>
            <w:tcBorders>
              <w:top w:val="nil"/>
            </w:tcBorders>
          </w:tcPr>
          <w:p>
            <w:pPr>
              <w:rPr>
                <w:sz w:val="2"/>
                <w:szCs w:val="2"/>
              </w:rPr>
            </w:pPr>
          </w:p>
        </w:tc>
        <w:tc>
          <w:tcPr>
            <w:tcW w:w="1979" w:type="dxa"/>
            <w:tcBorders>
              <w:top w:val="nil"/>
              <w:bottom w:val="nil"/>
            </w:tcBorders>
          </w:tcPr>
          <w:p>
            <w:pPr>
              <w:pStyle w:val="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1743" w:type="dxa"/>
            <w:tcBorders>
              <w:top w:val="nil"/>
              <w:bottom w:val="nil"/>
            </w:tcBorders>
          </w:tcPr>
          <w:p>
            <w:pPr>
              <w:pStyle w:val="8"/>
              <w:spacing w:before="40"/>
              <w:ind w:left="14"/>
              <w:rPr>
                <w:sz w:val="21"/>
              </w:rPr>
            </w:pPr>
            <w:r>
              <w:rPr>
                <w:sz w:val="21"/>
              </w:rPr>
              <w:t>保护机制管理，防</w:t>
            </w:r>
          </w:p>
        </w:tc>
        <w:tc>
          <w:tcPr>
            <w:tcW w:w="9915" w:type="dxa"/>
            <w:vMerge w:val="continue"/>
            <w:tcBorders>
              <w:top w:val="nil"/>
            </w:tcBorders>
          </w:tcPr>
          <w:p>
            <w:pPr>
              <w:rPr>
                <w:sz w:val="2"/>
                <w:szCs w:val="2"/>
              </w:rPr>
            </w:pPr>
          </w:p>
        </w:tc>
        <w:tc>
          <w:tcPr>
            <w:tcW w:w="1979" w:type="dxa"/>
            <w:tcBorders>
              <w:top w:val="nil"/>
              <w:bottom w:val="nil"/>
            </w:tcBorders>
          </w:tcPr>
          <w:p>
            <w:pPr>
              <w:pStyle w:val="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0" w:hRule="atLeast"/>
        </w:trPr>
        <w:tc>
          <w:tcPr>
            <w:tcW w:w="1743" w:type="dxa"/>
            <w:tcBorders>
              <w:top w:val="nil"/>
              <w:bottom w:val="nil"/>
            </w:tcBorders>
          </w:tcPr>
          <w:p>
            <w:pPr>
              <w:pStyle w:val="8"/>
              <w:spacing w:before="40"/>
              <w:ind w:left="14"/>
              <w:rPr>
                <w:sz w:val="21"/>
              </w:rPr>
            </w:pPr>
            <w:r>
              <w:rPr>
                <w:sz w:val="21"/>
              </w:rPr>
              <w:t>范有关风险。</w:t>
            </w:r>
          </w:p>
        </w:tc>
        <w:tc>
          <w:tcPr>
            <w:tcW w:w="9915" w:type="dxa"/>
            <w:vMerge w:val="continue"/>
            <w:tcBorders>
              <w:top w:val="nil"/>
            </w:tcBorders>
          </w:tcPr>
          <w:p>
            <w:pPr>
              <w:rPr>
                <w:sz w:val="2"/>
                <w:szCs w:val="2"/>
              </w:rPr>
            </w:pPr>
          </w:p>
        </w:tc>
        <w:tc>
          <w:tcPr>
            <w:tcW w:w="1979" w:type="dxa"/>
            <w:tcBorders>
              <w:top w:val="nil"/>
              <w:bottom w:val="nil"/>
            </w:tcBorders>
          </w:tcPr>
          <w:p>
            <w:pPr>
              <w:pStyle w:val="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0" w:hRule="atLeast"/>
        </w:trPr>
        <w:tc>
          <w:tcPr>
            <w:tcW w:w="1743" w:type="dxa"/>
            <w:tcBorders>
              <w:top w:val="nil"/>
              <w:bottom w:val="nil"/>
            </w:tcBorders>
          </w:tcPr>
          <w:p>
            <w:pPr>
              <w:pStyle w:val="8"/>
              <w:spacing w:before="128" w:line="360" w:lineRule="atLeast"/>
              <w:ind w:left="14" w:right="38"/>
              <w:rPr>
                <w:sz w:val="21"/>
              </w:rPr>
            </w:pPr>
            <w:r>
              <w:rPr>
                <w:rFonts w:ascii="Times New Roman" w:eastAsia="Times New Roman"/>
                <w:sz w:val="21"/>
              </w:rPr>
              <w:t>36.</w:t>
            </w:r>
            <w:r>
              <w:rPr>
                <w:position w:val="1"/>
                <w:sz w:val="21"/>
              </w:rPr>
              <w:t>将失信信息纳</w:t>
            </w:r>
            <w:r>
              <w:rPr>
                <w:sz w:val="21"/>
              </w:rPr>
              <w:t>入金融信用信息基</w:t>
            </w:r>
          </w:p>
        </w:tc>
        <w:tc>
          <w:tcPr>
            <w:tcW w:w="9915" w:type="dxa"/>
            <w:vMerge w:val="continue"/>
            <w:tcBorders>
              <w:top w:val="nil"/>
            </w:tcBorders>
          </w:tcPr>
          <w:p>
            <w:pPr>
              <w:rPr>
                <w:sz w:val="2"/>
                <w:szCs w:val="2"/>
              </w:rPr>
            </w:pPr>
          </w:p>
        </w:tc>
        <w:tc>
          <w:tcPr>
            <w:tcW w:w="1979" w:type="dxa"/>
            <w:tcBorders>
              <w:top w:val="nil"/>
              <w:bottom w:val="nil"/>
            </w:tcBorders>
          </w:tcPr>
          <w:p>
            <w:pPr>
              <w:pStyle w:val="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51" w:hRule="atLeast"/>
        </w:trPr>
        <w:tc>
          <w:tcPr>
            <w:tcW w:w="1743" w:type="dxa"/>
            <w:tcBorders>
              <w:top w:val="nil"/>
            </w:tcBorders>
          </w:tcPr>
          <w:p>
            <w:pPr>
              <w:pStyle w:val="8"/>
              <w:spacing w:before="40"/>
              <w:ind w:left="14"/>
              <w:rPr>
                <w:sz w:val="21"/>
              </w:rPr>
            </w:pPr>
            <w:r>
              <w:rPr>
                <w:sz w:val="21"/>
              </w:rPr>
              <w:t>础数据库。</w:t>
            </w:r>
          </w:p>
        </w:tc>
        <w:tc>
          <w:tcPr>
            <w:tcW w:w="9915" w:type="dxa"/>
            <w:vMerge w:val="continue"/>
            <w:tcBorders>
              <w:top w:val="nil"/>
            </w:tcBorders>
          </w:tcPr>
          <w:p>
            <w:pPr>
              <w:rPr>
                <w:sz w:val="2"/>
                <w:szCs w:val="2"/>
              </w:rPr>
            </w:pPr>
          </w:p>
        </w:tc>
        <w:tc>
          <w:tcPr>
            <w:tcW w:w="1979" w:type="dxa"/>
            <w:tcBorders>
              <w:top w:val="nil"/>
            </w:tcBorders>
          </w:tcPr>
          <w:p>
            <w:pPr>
              <w:pStyle w:val="8"/>
              <w:rPr>
                <w:rFonts w:ascii="Times New Roman"/>
                <w:sz w:val="20"/>
              </w:rPr>
            </w:pPr>
          </w:p>
        </w:tc>
      </w:tr>
    </w:tbl>
    <w:p>
      <w:pPr>
        <w:spacing w:after="0"/>
        <w:rPr>
          <w:rFonts w:ascii="Times New Roman"/>
          <w:sz w:val="20"/>
        </w:rPr>
        <w:sectPr>
          <w:pgSz w:w="16840" w:h="11910" w:orient="landscape"/>
          <w:pgMar w:top="1100" w:right="960" w:bottom="1160" w:left="1700" w:header="0" w:footer="979" w:gutter="0"/>
        </w:sectPr>
      </w:pPr>
    </w:p>
    <w:p>
      <w:pPr>
        <w:pStyle w:val="3"/>
        <w:rPr>
          <w:rFonts w:ascii="Times New Roman"/>
          <w:sz w:val="29"/>
        </w:rPr>
      </w:pPr>
    </w:p>
    <w:tbl>
      <w:tblPr>
        <w:tblStyle w:val="4"/>
        <w:tblW w:w="0" w:type="auto"/>
        <w:tblInd w:w="34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43"/>
        <w:gridCol w:w="9915"/>
        <w:gridCol w:w="197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 w:hRule="atLeast"/>
        </w:trPr>
        <w:tc>
          <w:tcPr>
            <w:tcW w:w="1743" w:type="dxa"/>
          </w:tcPr>
          <w:p>
            <w:pPr>
              <w:pStyle w:val="8"/>
              <w:spacing w:before="63" w:line="438" w:lineRule="exact"/>
              <w:ind w:left="271"/>
              <w:rPr>
                <w:rFonts w:hint="eastAsia" w:ascii="Arial Unicode MS" w:eastAsia="Arial Unicode MS"/>
                <w:sz w:val="30"/>
              </w:rPr>
            </w:pPr>
            <w:r>
              <w:rPr>
                <w:rFonts w:hint="eastAsia" w:ascii="Arial Unicode MS" w:eastAsia="Arial Unicode MS"/>
                <w:sz w:val="30"/>
              </w:rPr>
              <w:t>惩戒措施</w:t>
            </w:r>
          </w:p>
        </w:tc>
        <w:tc>
          <w:tcPr>
            <w:tcW w:w="9915" w:type="dxa"/>
          </w:tcPr>
          <w:p>
            <w:pPr>
              <w:pStyle w:val="8"/>
              <w:spacing w:line="502" w:lineRule="exact"/>
              <w:ind w:left="3886" w:right="3878"/>
              <w:jc w:val="center"/>
              <w:rPr>
                <w:rFonts w:hint="eastAsia" w:ascii="Arial Unicode MS" w:eastAsia="Arial Unicode MS"/>
                <w:sz w:val="30"/>
              </w:rPr>
            </w:pPr>
            <w:r>
              <w:rPr>
                <w:rFonts w:hint="eastAsia" w:ascii="Arial Unicode MS" w:eastAsia="Arial Unicode MS"/>
                <w:sz w:val="30"/>
              </w:rPr>
              <w:t>法律及政策依据</w:t>
            </w:r>
          </w:p>
        </w:tc>
        <w:tc>
          <w:tcPr>
            <w:tcW w:w="1979" w:type="dxa"/>
          </w:tcPr>
          <w:p>
            <w:pPr>
              <w:pStyle w:val="8"/>
              <w:spacing w:line="502" w:lineRule="exact"/>
              <w:ind w:left="387"/>
              <w:rPr>
                <w:rFonts w:hint="eastAsia" w:ascii="Arial Unicode MS" w:eastAsia="Arial Unicode MS"/>
                <w:sz w:val="30"/>
              </w:rPr>
            </w:pPr>
            <w:r>
              <w:rPr>
                <w:rFonts w:hint="eastAsia" w:ascii="Arial Unicode MS" w:eastAsia="Arial Unicode MS"/>
                <w:sz w:val="30"/>
              </w:rPr>
              <w:t>实施部门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08" w:hRule="atLeast"/>
        </w:trPr>
        <w:tc>
          <w:tcPr>
            <w:tcW w:w="1743" w:type="dxa"/>
          </w:tcPr>
          <w:p>
            <w:pPr>
              <w:pStyle w:val="8"/>
              <w:rPr>
                <w:rFonts w:ascii="Times New Roman"/>
                <w:sz w:val="20"/>
              </w:rPr>
            </w:pPr>
          </w:p>
        </w:tc>
        <w:tc>
          <w:tcPr>
            <w:tcW w:w="9915" w:type="dxa"/>
          </w:tcPr>
          <w:p>
            <w:pPr>
              <w:pStyle w:val="8"/>
              <w:spacing w:before="60" w:line="321" w:lineRule="auto"/>
              <w:ind w:left="13" w:right="20" w:firstLine="420"/>
              <w:jc w:val="both"/>
              <w:rPr>
                <w:sz w:val="21"/>
              </w:rPr>
            </w:pPr>
            <w:r>
              <w:rPr>
                <w:w w:val="95"/>
                <w:sz w:val="21"/>
              </w:rPr>
              <w:t>（三）不良信息，是指对信息主体信用状况构成负面影响的下列信息：信息主体在借贷、赊购、担保、租赁、保险、使用信用卡等活动中未按照合同履行义务的信息，对信息主体的行政处罚信息，人民法院判决</w:t>
            </w:r>
            <w:r>
              <w:rPr>
                <w:sz w:val="21"/>
              </w:rPr>
              <w:t>或者裁定信息主体履行义务以及强制执行的信息，以及国务院征信业监督管理部门规定的其他不良信息。</w:t>
            </w:r>
          </w:p>
          <w:p>
            <w:pPr>
              <w:pStyle w:val="8"/>
              <w:spacing w:line="267" w:lineRule="exact"/>
              <w:ind w:left="13"/>
              <w:jc w:val="both"/>
              <w:rPr>
                <w:b/>
                <w:sz w:val="21"/>
              </w:rPr>
            </w:pPr>
            <w:r>
              <w:rPr>
                <w:b/>
                <w:sz w:val="21"/>
              </w:rPr>
              <w:t>《国务院关于印发社会信用体系建设规划纲要（</w:t>
            </w:r>
            <w:r>
              <w:rPr>
                <w:rFonts w:ascii="Times New Roman" w:hAnsi="Times New Roman" w:eastAsia="Times New Roman"/>
                <w:b/>
                <w:sz w:val="21"/>
              </w:rPr>
              <w:t xml:space="preserve">2014—2020 </w:t>
            </w:r>
            <w:r>
              <w:rPr>
                <w:b/>
                <w:sz w:val="21"/>
              </w:rPr>
              <w:t>年）的通知》（国发〔</w:t>
            </w:r>
            <w:r>
              <w:rPr>
                <w:rFonts w:ascii="Times New Roman" w:hAnsi="Times New Roman" w:eastAsia="Times New Roman"/>
                <w:b/>
                <w:sz w:val="21"/>
              </w:rPr>
              <w:t>2014</w:t>
            </w:r>
            <w:r>
              <w:rPr>
                <w:b/>
                <w:sz w:val="21"/>
              </w:rPr>
              <w:t>〕</w:t>
            </w:r>
            <w:r>
              <w:rPr>
                <w:rFonts w:ascii="Times New Roman" w:hAnsi="Times New Roman" w:eastAsia="Times New Roman"/>
                <w:b/>
                <w:sz w:val="21"/>
              </w:rPr>
              <w:t xml:space="preserve">21 </w:t>
            </w:r>
            <w:r>
              <w:rPr>
                <w:b/>
                <w:sz w:val="21"/>
              </w:rPr>
              <w:t>号）</w:t>
            </w:r>
          </w:p>
          <w:p>
            <w:pPr>
              <w:pStyle w:val="8"/>
              <w:spacing w:before="91" w:line="321" w:lineRule="auto"/>
              <w:ind w:left="13" w:right="20" w:firstLine="420"/>
              <w:jc w:val="both"/>
              <w:rPr>
                <w:sz w:val="21"/>
              </w:rPr>
            </w:pPr>
            <w:r>
              <w:rPr>
                <w:w w:val="95"/>
                <w:sz w:val="21"/>
              </w:rPr>
              <w:t>加快征信系统建设。征信机构开展征信业务，应建立以企事业单位及其他社会组织、个人为对象的征信系统，依法采集、整理、保存、加工企事业单位及其他社会组织、个人的信用信息，并采取合理措施保障信</w:t>
            </w:r>
            <w:r>
              <w:rPr>
                <w:sz w:val="21"/>
              </w:rPr>
              <w:t>用信息的准确性。各地区、各行业要支持征信机构建立征信系统。</w:t>
            </w:r>
          </w:p>
          <w:p>
            <w:pPr>
              <w:pStyle w:val="8"/>
              <w:spacing w:line="321" w:lineRule="auto"/>
              <w:ind w:left="13" w:right="110"/>
              <w:jc w:val="both"/>
              <w:rPr>
                <w:b/>
                <w:sz w:val="21"/>
              </w:rPr>
            </w:pPr>
            <w:r>
              <w:rPr>
                <w:b/>
                <w:spacing w:val="-2"/>
                <w:w w:val="95"/>
                <w:sz w:val="21"/>
              </w:rPr>
              <w:t>《国务院关于建立完善守信联合激励和失信联合惩戒制度加快推进社会诚信建设的指导意见》</w:t>
            </w:r>
            <w:r>
              <w:rPr>
                <w:b/>
                <w:w w:val="95"/>
                <w:sz w:val="21"/>
              </w:rPr>
              <w:t>（</w:t>
            </w:r>
            <w:r>
              <w:rPr>
                <w:b/>
                <w:spacing w:val="-14"/>
                <w:w w:val="95"/>
                <w:sz w:val="21"/>
              </w:rPr>
              <w:t>国发〔</w:t>
            </w:r>
            <w:r>
              <w:rPr>
                <w:rFonts w:ascii="Times New Roman" w:eastAsia="Times New Roman"/>
                <w:b/>
                <w:w w:val="95"/>
                <w:sz w:val="21"/>
              </w:rPr>
              <w:t xml:space="preserve">2016      </w:t>
            </w:r>
            <w:r>
              <w:rPr>
                <w:rFonts w:ascii="Times New Roman" w:eastAsia="Times New Roman"/>
                <w:b/>
                <w:sz w:val="21"/>
              </w:rPr>
              <w:t>33</w:t>
            </w:r>
            <w:r>
              <w:rPr>
                <w:rFonts w:ascii="Times New Roman" w:eastAsia="Times New Roman"/>
                <w:b/>
                <w:spacing w:val="-1"/>
                <w:sz w:val="21"/>
              </w:rPr>
              <w:t xml:space="preserve"> </w:t>
            </w:r>
            <w:r>
              <w:rPr>
                <w:b/>
                <w:sz w:val="21"/>
              </w:rPr>
              <w:t>号）</w:t>
            </w:r>
          </w:p>
          <w:p>
            <w:pPr>
              <w:pStyle w:val="8"/>
              <w:spacing w:line="321" w:lineRule="auto"/>
              <w:ind w:left="13" w:right="20" w:firstLine="412"/>
              <w:jc w:val="both"/>
              <w:rPr>
                <w:sz w:val="21"/>
              </w:rPr>
            </w:pPr>
            <w:r>
              <w:rPr>
                <w:w w:val="95"/>
                <w:sz w:val="21"/>
              </w:rPr>
              <w:t>（十一）加强对失信行为的市场性约束和惩戒。对严重失信主体，有关部门和机构应以统一社会信用代码为索引，及时公开披露相关信息，便于市场识别失信行为，防范信用风险。督促有关企业和个人履行法定义务，对有履行能力但拒不履行的严重失信主体实施限制出境和限制购买不动产、乘坐飞机、乘坐高等级列车和席次、旅游度假、入住星级以上宾馆及其他高消费行为等措施。支持征信机构采集严重失信行为信息，纳入信用记录和信用报告。引导商业银行、证券期货经营机构、保险公司等金融机构按照风险定价原则，对</w:t>
            </w:r>
            <w:r>
              <w:rPr>
                <w:sz w:val="21"/>
              </w:rPr>
              <w:t>严重失信主体提高贷款利率和财产保险费率，或者限制向其提供贷款、保荐、承销、保险等服务。</w:t>
            </w:r>
          </w:p>
          <w:p>
            <w:pPr>
              <w:pStyle w:val="8"/>
              <w:spacing w:line="321" w:lineRule="auto"/>
              <w:ind w:left="13" w:right="20" w:firstLine="420"/>
              <w:jc w:val="both"/>
              <w:rPr>
                <w:sz w:val="21"/>
              </w:rPr>
            </w:pPr>
            <w:r>
              <w:rPr>
                <w:w w:val="95"/>
                <w:sz w:val="21"/>
              </w:rPr>
              <w:t>（十四）完善个人信用记录，推动联合惩戒措施落实到人。对企事业单位严重失信行为，在记入企事业单位信用记录的同时，记入其法定代表人、主要负责人和其他负有直接责任人员的个人信用记录。在对失信企事业单位进行联合惩戒的同时，依照法律法规和政策规定对相关责任人员采取相应的联合惩戒措施。通过</w:t>
            </w:r>
            <w:r>
              <w:rPr>
                <w:sz w:val="21"/>
              </w:rPr>
              <w:t>建立完整的个人信用记录数据库及联合惩戒机制，使失信惩戒措施落实到人。</w:t>
            </w:r>
          </w:p>
          <w:p>
            <w:pPr>
              <w:pStyle w:val="8"/>
              <w:spacing w:line="321" w:lineRule="auto"/>
              <w:ind w:left="13" w:right="5"/>
              <w:jc w:val="both"/>
              <w:rPr>
                <w:b/>
                <w:sz w:val="21"/>
              </w:rPr>
            </w:pPr>
            <w:r>
              <w:rPr>
                <w:b/>
                <w:spacing w:val="-3"/>
                <w:sz w:val="21"/>
              </w:rPr>
              <w:t>《国家发展改革委 人民银行 中央编办关于在行政管理事项中使用信用记录和信用报告的若干意见》</w:t>
            </w:r>
            <w:r>
              <w:rPr>
                <w:b/>
                <w:sz w:val="21"/>
              </w:rPr>
              <w:t>（发改财金〔</w:t>
            </w:r>
            <w:r>
              <w:rPr>
                <w:rFonts w:ascii="Times New Roman" w:eastAsia="Times New Roman"/>
                <w:b/>
                <w:sz w:val="21"/>
              </w:rPr>
              <w:t>2013</w:t>
            </w:r>
            <w:r>
              <w:rPr>
                <w:b/>
                <w:sz w:val="21"/>
              </w:rPr>
              <w:t>〕</w:t>
            </w:r>
            <w:r>
              <w:rPr>
                <w:rFonts w:ascii="Times New Roman" w:eastAsia="Times New Roman"/>
                <w:b/>
                <w:sz w:val="21"/>
              </w:rPr>
              <w:t xml:space="preserve">920 </w:t>
            </w:r>
            <w:r>
              <w:rPr>
                <w:b/>
                <w:sz w:val="21"/>
              </w:rPr>
              <w:t>号）</w:t>
            </w:r>
          </w:p>
          <w:p>
            <w:pPr>
              <w:pStyle w:val="8"/>
              <w:spacing w:line="268" w:lineRule="exact"/>
              <w:ind w:left="433"/>
              <w:rPr>
                <w:sz w:val="21"/>
              </w:rPr>
            </w:pPr>
            <w:r>
              <w:rPr>
                <w:sz w:val="21"/>
              </w:rPr>
              <w:t>一、建立完善社会信用主体信用记录</w:t>
            </w:r>
          </w:p>
          <w:p>
            <w:pPr>
              <w:pStyle w:val="8"/>
              <w:spacing w:before="83"/>
              <w:ind w:left="539"/>
              <w:rPr>
                <w:sz w:val="21"/>
              </w:rPr>
            </w:pPr>
            <w:r>
              <w:rPr>
                <w:w w:val="95"/>
                <w:sz w:val="21"/>
              </w:rPr>
              <w:t>建立完善社会信用主体信用记录是各级政府、各相关部门在行政管理事项中使用信用记录和信用报告的</w:t>
            </w:r>
          </w:p>
        </w:tc>
        <w:tc>
          <w:tcPr>
            <w:tcW w:w="1979" w:type="dxa"/>
          </w:tcPr>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spacing w:before="4"/>
              <w:rPr>
                <w:rFonts w:ascii="Times New Roman"/>
                <w:sz w:val="24"/>
              </w:rPr>
            </w:pPr>
          </w:p>
          <w:p>
            <w:pPr>
              <w:pStyle w:val="8"/>
              <w:ind w:left="-122"/>
              <w:rPr>
                <w:b/>
                <w:sz w:val="21"/>
              </w:rPr>
            </w:pPr>
            <w:r>
              <w:rPr>
                <w:b/>
                <w:w w:val="99"/>
                <w:sz w:val="21"/>
              </w:rPr>
              <w:t>〕</w:t>
            </w:r>
          </w:p>
        </w:tc>
      </w:tr>
    </w:tbl>
    <w:p>
      <w:pPr>
        <w:spacing w:after="0"/>
        <w:rPr>
          <w:sz w:val="21"/>
        </w:rPr>
        <w:sectPr>
          <w:pgSz w:w="16840" w:h="11910" w:orient="landscape"/>
          <w:pgMar w:top="1100" w:right="960" w:bottom="1160" w:left="1700" w:header="0" w:footer="979" w:gutter="0"/>
        </w:sectPr>
      </w:pPr>
    </w:p>
    <w:p>
      <w:pPr>
        <w:pStyle w:val="3"/>
        <w:rPr>
          <w:rFonts w:ascii="Times New Roman"/>
          <w:sz w:val="29"/>
        </w:rPr>
      </w:pPr>
    </w:p>
    <w:tbl>
      <w:tblPr>
        <w:tblStyle w:val="4"/>
        <w:tblW w:w="0" w:type="auto"/>
        <w:tblInd w:w="34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43"/>
        <w:gridCol w:w="9915"/>
        <w:gridCol w:w="197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 w:hRule="atLeast"/>
        </w:trPr>
        <w:tc>
          <w:tcPr>
            <w:tcW w:w="1743" w:type="dxa"/>
          </w:tcPr>
          <w:p>
            <w:pPr>
              <w:pStyle w:val="8"/>
              <w:spacing w:before="63" w:line="438" w:lineRule="exact"/>
              <w:ind w:left="271"/>
              <w:rPr>
                <w:rFonts w:hint="eastAsia" w:ascii="Arial Unicode MS" w:eastAsia="Arial Unicode MS"/>
                <w:sz w:val="30"/>
              </w:rPr>
            </w:pPr>
            <w:r>
              <w:rPr>
                <w:rFonts w:hint="eastAsia" w:ascii="Arial Unicode MS" w:eastAsia="Arial Unicode MS"/>
                <w:sz w:val="30"/>
              </w:rPr>
              <w:t>惩戒措施</w:t>
            </w:r>
          </w:p>
        </w:tc>
        <w:tc>
          <w:tcPr>
            <w:tcW w:w="9915" w:type="dxa"/>
          </w:tcPr>
          <w:p>
            <w:pPr>
              <w:pStyle w:val="8"/>
              <w:spacing w:line="502" w:lineRule="exact"/>
              <w:ind w:left="3886" w:right="3878"/>
              <w:jc w:val="center"/>
              <w:rPr>
                <w:rFonts w:hint="eastAsia" w:ascii="Arial Unicode MS" w:eastAsia="Arial Unicode MS"/>
                <w:sz w:val="30"/>
              </w:rPr>
            </w:pPr>
            <w:r>
              <w:rPr>
                <w:rFonts w:hint="eastAsia" w:ascii="Arial Unicode MS" w:eastAsia="Arial Unicode MS"/>
                <w:sz w:val="30"/>
              </w:rPr>
              <w:t>法律及政策依据</w:t>
            </w:r>
          </w:p>
        </w:tc>
        <w:tc>
          <w:tcPr>
            <w:tcW w:w="1979" w:type="dxa"/>
          </w:tcPr>
          <w:p>
            <w:pPr>
              <w:pStyle w:val="8"/>
              <w:spacing w:line="502" w:lineRule="exact"/>
              <w:ind w:left="387"/>
              <w:rPr>
                <w:rFonts w:hint="eastAsia" w:ascii="Arial Unicode MS" w:eastAsia="Arial Unicode MS"/>
                <w:sz w:val="30"/>
              </w:rPr>
            </w:pPr>
            <w:r>
              <w:rPr>
                <w:rFonts w:hint="eastAsia" w:ascii="Arial Unicode MS" w:eastAsia="Arial Unicode MS"/>
                <w:sz w:val="30"/>
              </w:rPr>
              <w:t>实施部门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30" w:hRule="atLeast"/>
        </w:trPr>
        <w:tc>
          <w:tcPr>
            <w:tcW w:w="1743" w:type="dxa"/>
          </w:tcPr>
          <w:p>
            <w:pPr>
              <w:pStyle w:val="8"/>
              <w:rPr>
                <w:rFonts w:ascii="Times New Roman"/>
                <w:sz w:val="20"/>
              </w:rPr>
            </w:pPr>
          </w:p>
        </w:tc>
        <w:tc>
          <w:tcPr>
            <w:tcW w:w="9915" w:type="dxa"/>
          </w:tcPr>
          <w:p>
            <w:pPr>
              <w:pStyle w:val="8"/>
              <w:spacing w:before="60" w:line="321" w:lineRule="auto"/>
              <w:ind w:left="13" w:right="20"/>
              <w:jc w:val="both"/>
              <w:rPr>
                <w:sz w:val="21"/>
              </w:rPr>
            </w:pPr>
            <w:r>
              <w:rPr>
                <w:w w:val="95"/>
                <w:sz w:val="21"/>
              </w:rPr>
              <w:t>基础性工作。各地区要对本地区各部门、各单位的信用信息进行整合，形成统一的信用信息共享平台。各相关部门要结合国家政务信息化工程建设，完善行业信用信息记录，加快推进行业内信用信息互联互通。各地方、各部门要大力推进政府信息公开，支持征信机构根据市场信用需求，依法采集个人、企业、事业单位及其他社会组织的信用信息，建立信用信息数据库，提供专业化的征信服务。要加快建立完善重点领域社会成</w:t>
            </w:r>
            <w:r>
              <w:rPr>
                <w:sz w:val="21"/>
              </w:rPr>
              <w:t>员信用记录，疏通信用信息来源渠道。</w:t>
            </w:r>
          </w:p>
        </w:tc>
        <w:tc>
          <w:tcPr>
            <w:tcW w:w="1979" w:type="dxa"/>
          </w:tcPr>
          <w:p>
            <w:pPr>
              <w:pStyle w:val="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08" w:hRule="atLeast"/>
        </w:trPr>
        <w:tc>
          <w:tcPr>
            <w:tcW w:w="1743" w:type="dxa"/>
          </w:tcPr>
          <w:p>
            <w:pPr>
              <w:pStyle w:val="8"/>
              <w:numPr>
                <w:ilvl w:val="0"/>
                <w:numId w:val="8"/>
              </w:numPr>
              <w:tabs>
                <w:tab w:val="left" w:pos="280"/>
              </w:tabs>
              <w:spacing w:before="56" w:after="0" w:line="321" w:lineRule="auto"/>
              <w:ind w:left="14" w:right="38" w:firstLine="0"/>
              <w:jc w:val="left"/>
              <w:rPr>
                <w:sz w:val="21"/>
              </w:rPr>
            </w:pPr>
            <w:r>
              <w:rPr>
                <w:position w:val="1"/>
                <w:sz w:val="21"/>
              </w:rPr>
              <w:t>将失信信息作</w:t>
            </w:r>
            <w:r>
              <w:rPr>
                <w:spacing w:val="-2"/>
                <w:sz w:val="21"/>
              </w:rPr>
              <w:t>为公开发行公司信用类债券核准或注册的参考，依法从严审核；在注册非金融债券融资工具时加强管理，并按照注册发行有关工作要求，强化信息披露，加强投资人保护机制管理，防</w:t>
            </w:r>
            <w:r>
              <w:rPr>
                <w:sz w:val="21"/>
              </w:rPr>
              <w:t>范有关风险</w:t>
            </w:r>
          </w:p>
          <w:p>
            <w:pPr>
              <w:pStyle w:val="8"/>
              <w:rPr>
                <w:rFonts w:ascii="Times New Roman"/>
                <w:sz w:val="20"/>
              </w:rPr>
            </w:pPr>
          </w:p>
          <w:p>
            <w:pPr>
              <w:pStyle w:val="8"/>
              <w:numPr>
                <w:ilvl w:val="0"/>
                <w:numId w:val="8"/>
              </w:numPr>
              <w:tabs>
                <w:tab w:val="left" w:pos="280"/>
              </w:tabs>
              <w:spacing w:before="123" w:after="0" w:line="321" w:lineRule="auto"/>
              <w:ind w:left="14" w:right="38" w:firstLine="0"/>
              <w:jc w:val="left"/>
              <w:rPr>
                <w:sz w:val="21"/>
              </w:rPr>
            </w:pPr>
            <w:r>
              <w:rPr>
                <w:position w:val="1"/>
                <w:sz w:val="21"/>
              </w:rPr>
              <w:t>在股票发行审</w:t>
            </w:r>
            <w:r>
              <w:rPr>
                <w:spacing w:val="-2"/>
                <w:sz w:val="21"/>
              </w:rPr>
              <w:t>核及在全国中小企业股份转让系统挂</w:t>
            </w:r>
            <w:r>
              <w:rPr>
                <w:sz w:val="21"/>
              </w:rPr>
              <w:t>牌公开转让审核</w:t>
            </w:r>
          </w:p>
          <w:p>
            <w:pPr>
              <w:pStyle w:val="8"/>
              <w:spacing w:line="267" w:lineRule="exact"/>
              <w:ind w:left="14"/>
              <w:rPr>
                <w:sz w:val="21"/>
              </w:rPr>
            </w:pPr>
            <w:r>
              <w:rPr>
                <w:sz w:val="21"/>
              </w:rPr>
              <w:t>中，将失信信息作</w:t>
            </w:r>
          </w:p>
        </w:tc>
        <w:tc>
          <w:tcPr>
            <w:tcW w:w="9915" w:type="dxa"/>
          </w:tcPr>
          <w:p>
            <w:pPr>
              <w:pStyle w:val="8"/>
              <w:spacing w:before="61"/>
              <w:ind w:left="13"/>
              <w:rPr>
                <w:b/>
                <w:sz w:val="21"/>
              </w:rPr>
            </w:pPr>
            <w:r>
              <w:rPr>
                <w:b/>
                <w:sz w:val="21"/>
              </w:rPr>
              <w:t>《证券法》</w:t>
            </w:r>
          </w:p>
          <w:p>
            <w:pPr>
              <w:pStyle w:val="8"/>
              <w:spacing w:before="91"/>
              <w:ind w:left="433"/>
              <w:rPr>
                <w:sz w:val="21"/>
              </w:rPr>
            </w:pPr>
            <w:r>
              <w:rPr>
                <w:sz w:val="21"/>
              </w:rPr>
              <w:t>第十三条 公司公开发行新股，应当符合下列条件：</w:t>
            </w:r>
          </w:p>
          <w:p>
            <w:pPr>
              <w:pStyle w:val="8"/>
              <w:spacing w:before="91"/>
              <w:ind w:left="433"/>
              <w:rPr>
                <w:sz w:val="21"/>
              </w:rPr>
            </w:pPr>
            <w:r>
              <w:rPr>
                <w:sz w:val="21"/>
              </w:rPr>
              <w:t>（一）具备健全且运行良好的组织机构；</w:t>
            </w:r>
          </w:p>
          <w:p>
            <w:pPr>
              <w:pStyle w:val="8"/>
              <w:spacing w:before="91"/>
              <w:ind w:left="433"/>
              <w:rPr>
                <w:sz w:val="21"/>
              </w:rPr>
            </w:pPr>
            <w:r>
              <w:rPr>
                <w:sz w:val="21"/>
              </w:rPr>
              <w:t>（二）具有持续盈利能力，财务状况良好；</w:t>
            </w:r>
          </w:p>
          <w:p>
            <w:pPr>
              <w:pStyle w:val="8"/>
              <w:spacing w:before="91"/>
              <w:ind w:left="433"/>
              <w:rPr>
                <w:sz w:val="21"/>
              </w:rPr>
            </w:pPr>
            <w:r>
              <w:rPr>
                <w:sz w:val="21"/>
              </w:rPr>
              <w:t>（三）最近三年财务会计文件无虚假记载，无其他重大违法行为；</w:t>
            </w:r>
          </w:p>
          <w:p>
            <w:pPr>
              <w:pStyle w:val="8"/>
              <w:spacing w:before="91" w:line="321" w:lineRule="auto"/>
              <w:ind w:left="539" w:right="3380" w:hanging="106"/>
              <w:rPr>
                <w:w w:val="95"/>
                <w:sz w:val="21"/>
              </w:rPr>
            </w:pPr>
            <w:r>
              <w:rPr>
                <w:w w:val="95"/>
                <w:sz w:val="21"/>
              </w:rPr>
              <w:t xml:space="preserve">（四）经国务院批准的国务院证券监督管理机构规定的其他条件。 </w:t>
            </w:r>
          </w:p>
          <w:p>
            <w:pPr>
              <w:pStyle w:val="8"/>
              <w:spacing w:before="91" w:line="321" w:lineRule="auto"/>
              <w:ind w:left="539" w:right="3380" w:hanging="106"/>
              <w:rPr>
                <w:sz w:val="21"/>
              </w:rPr>
            </w:pPr>
            <w:r>
              <w:rPr>
                <w:spacing w:val="-1"/>
                <w:sz w:val="21"/>
              </w:rPr>
              <w:t>第五十条 股份有限公司申请股票上市，应当符合下列条件：</w:t>
            </w:r>
          </w:p>
          <w:p>
            <w:pPr>
              <w:pStyle w:val="8"/>
              <w:spacing w:line="268" w:lineRule="exact"/>
              <w:ind w:left="433"/>
              <w:rPr>
                <w:sz w:val="21"/>
              </w:rPr>
            </w:pPr>
            <w:r>
              <w:rPr>
                <w:sz w:val="21"/>
              </w:rPr>
              <w:t>（二）公司最近三年无重大违法行为，财务会计报告无虚假记载。</w:t>
            </w:r>
          </w:p>
          <w:p>
            <w:pPr>
              <w:pStyle w:val="8"/>
              <w:spacing w:before="91"/>
              <w:ind w:left="13"/>
              <w:rPr>
                <w:b/>
                <w:sz w:val="21"/>
              </w:rPr>
            </w:pPr>
            <w:r>
              <w:rPr>
                <w:b/>
                <w:sz w:val="21"/>
              </w:rPr>
              <w:t>《国务院关于全国中小企业股份转让系统有关问题的决定》</w:t>
            </w:r>
          </w:p>
          <w:p>
            <w:pPr>
              <w:pStyle w:val="8"/>
              <w:spacing w:before="90" w:line="321" w:lineRule="auto"/>
              <w:ind w:left="13" w:right="20" w:firstLine="420"/>
              <w:rPr>
                <w:sz w:val="21"/>
              </w:rPr>
            </w:pPr>
            <w:r>
              <w:rPr>
                <w:w w:val="95"/>
                <w:sz w:val="21"/>
              </w:rPr>
              <w:t>申请挂牌的公司应当业务明确、产权清所、依法规范经营、公司治理健全，可以尚未盈利，但须履行信</w:t>
            </w:r>
            <w:r>
              <w:rPr>
                <w:sz w:val="21"/>
              </w:rPr>
              <w:t>息披露义务，所披露的信息应当真实、准确、完整。</w:t>
            </w:r>
          </w:p>
          <w:p>
            <w:pPr>
              <w:pStyle w:val="8"/>
              <w:spacing w:line="268" w:lineRule="exact"/>
              <w:ind w:left="13"/>
              <w:rPr>
                <w:b/>
                <w:sz w:val="21"/>
              </w:rPr>
            </w:pPr>
            <w:r>
              <w:rPr>
                <w:b/>
                <w:sz w:val="21"/>
              </w:rPr>
              <w:t>《非上市公众公司监督管理办法》</w:t>
            </w:r>
          </w:p>
          <w:p>
            <w:pPr>
              <w:pStyle w:val="8"/>
              <w:spacing w:before="91" w:line="321" w:lineRule="auto"/>
              <w:ind w:left="13" w:right="123" w:firstLine="420"/>
              <w:rPr>
                <w:sz w:val="21"/>
              </w:rPr>
            </w:pPr>
            <w:r>
              <w:rPr>
                <w:sz w:val="21"/>
              </w:rPr>
              <w:t>第三条 公众公司应当按照法律、行政法规、本办法和公司章程的规定，做到股权明晰，合法规范经营公司治理机制健全，履行信息披露义务。</w:t>
            </w:r>
          </w:p>
          <w:p>
            <w:pPr>
              <w:pStyle w:val="8"/>
              <w:spacing w:line="321" w:lineRule="auto"/>
              <w:ind w:left="433" w:right="4134" w:hanging="420"/>
              <w:rPr>
                <w:sz w:val="21"/>
              </w:rPr>
            </w:pPr>
            <w:r>
              <w:rPr>
                <w:b/>
                <w:sz w:val="21"/>
              </w:rPr>
              <w:t xml:space="preserve">《首次公开发行股票并上市管理办法》（证监会令第 </w:t>
            </w:r>
            <w:r>
              <w:rPr>
                <w:rFonts w:ascii="Times New Roman" w:eastAsia="Times New Roman"/>
                <w:b/>
                <w:sz w:val="21"/>
              </w:rPr>
              <w:t xml:space="preserve">122 </w:t>
            </w:r>
            <w:r>
              <w:rPr>
                <w:b/>
                <w:sz w:val="21"/>
              </w:rPr>
              <w:t xml:space="preserve">号） </w:t>
            </w:r>
            <w:r>
              <w:rPr>
                <w:sz w:val="21"/>
              </w:rPr>
              <w:t>第十八条 发行人不得有下列情形：</w:t>
            </w:r>
          </w:p>
          <w:p>
            <w:pPr>
              <w:pStyle w:val="8"/>
              <w:spacing w:line="268" w:lineRule="exact"/>
              <w:ind w:left="433"/>
              <w:rPr>
                <w:sz w:val="21"/>
              </w:rPr>
            </w:pPr>
            <w:r>
              <w:rPr>
                <w:sz w:val="21"/>
              </w:rPr>
              <w:t>（二</w:t>
            </w:r>
            <w:r>
              <w:rPr>
                <w:spacing w:val="-10"/>
                <w:sz w:val="21"/>
              </w:rPr>
              <w:t>）</w:t>
            </w:r>
            <w:r>
              <w:rPr>
                <w:spacing w:val="-21"/>
                <w:sz w:val="21"/>
              </w:rPr>
              <w:t xml:space="preserve">最近 </w:t>
            </w:r>
            <w:r>
              <w:rPr>
                <w:rFonts w:ascii="Times New Roman" w:eastAsia="Times New Roman"/>
                <w:sz w:val="21"/>
              </w:rPr>
              <w:t xml:space="preserve">36 </w:t>
            </w:r>
            <w:r>
              <w:rPr>
                <w:spacing w:val="-8"/>
                <w:sz w:val="21"/>
              </w:rPr>
              <w:t>个月内违反工商、税收、土地、环保、海关以及其他法律、行政法规，受到行政处罚，且</w:t>
            </w:r>
          </w:p>
          <w:p>
            <w:pPr>
              <w:pStyle w:val="8"/>
              <w:spacing w:before="90"/>
              <w:ind w:left="13"/>
              <w:rPr>
                <w:sz w:val="21"/>
              </w:rPr>
            </w:pPr>
            <w:r>
              <w:rPr>
                <w:sz w:val="21"/>
              </w:rPr>
              <w:t>情节严重；（六）严重损害投资者合法权益和社会公共利益的其他情形。</w:t>
            </w:r>
          </w:p>
        </w:tc>
        <w:tc>
          <w:tcPr>
            <w:tcW w:w="1979" w:type="dxa"/>
          </w:tcPr>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spacing w:before="131"/>
              <w:ind w:left="232" w:right="226"/>
              <w:jc w:val="center"/>
              <w:rPr>
                <w:sz w:val="21"/>
              </w:rPr>
            </w:pPr>
            <w:r>
              <w:rPr>
                <w:sz w:val="21"/>
              </w:rPr>
              <w:t>证监会</w:t>
            </w:r>
          </w:p>
          <w:p>
            <w:pPr>
              <w:pStyle w:val="8"/>
              <w:rPr>
                <w:rFonts w:ascii="Times New Roman"/>
                <w:sz w:val="20"/>
              </w:rPr>
            </w:pPr>
          </w:p>
          <w:p>
            <w:pPr>
              <w:pStyle w:val="8"/>
              <w:rPr>
                <w:rFonts w:ascii="Times New Roman"/>
                <w:sz w:val="20"/>
              </w:rPr>
            </w:pPr>
          </w:p>
          <w:p>
            <w:pPr>
              <w:pStyle w:val="8"/>
              <w:rPr>
                <w:rFonts w:ascii="Times New Roman"/>
                <w:sz w:val="20"/>
              </w:rPr>
            </w:pPr>
          </w:p>
          <w:p>
            <w:pPr>
              <w:pStyle w:val="8"/>
              <w:spacing w:before="2"/>
              <w:rPr>
                <w:rFonts w:ascii="Times New Roman"/>
                <w:sz w:val="26"/>
              </w:rPr>
            </w:pPr>
          </w:p>
          <w:p>
            <w:pPr>
              <w:pStyle w:val="8"/>
              <w:ind w:left="-136"/>
              <w:rPr>
                <w:sz w:val="21"/>
              </w:rPr>
            </w:pPr>
            <w:r>
              <w:rPr>
                <w:w w:val="99"/>
                <w:sz w:val="21"/>
              </w:rPr>
              <w:t>，</w:t>
            </w:r>
          </w:p>
        </w:tc>
      </w:tr>
    </w:tbl>
    <w:p>
      <w:pPr>
        <w:spacing w:after="0"/>
        <w:rPr>
          <w:sz w:val="21"/>
        </w:rPr>
        <w:sectPr>
          <w:pgSz w:w="16840" w:h="11910" w:orient="landscape"/>
          <w:pgMar w:top="1100" w:right="960" w:bottom="1160" w:left="1700" w:header="0" w:footer="979" w:gutter="0"/>
        </w:sectPr>
      </w:pPr>
    </w:p>
    <w:p>
      <w:pPr>
        <w:pStyle w:val="3"/>
        <w:rPr>
          <w:rFonts w:ascii="Times New Roman"/>
          <w:sz w:val="29"/>
        </w:rPr>
      </w:pPr>
    </w:p>
    <w:tbl>
      <w:tblPr>
        <w:tblStyle w:val="4"/>
        <w:tblW w:w="0" w:type="auto"/>
        <w:tblInd w:w="34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43"/>
        <w:gridCol w:w="9915"/>
        <w:gridCol w:w="197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 w:hRule="atLeast"/>
        </w:trPr>
        <w:tc>
          <w:tcPr>
            <w:tcW w:w="1743" w:type="dxa"/>
          </w:tcPr>
          <w:p>
            <w:pPr>
              <w:pStyle w:val="8"/>
              <w:spacing w:before="63" w:line="438" w:lineRule="exact"/>
              <w:ind w:left="271"/>
              <w:rPr>
                <w:rFonts w:hint="eastAsia" w:ascii="Arial Unicode MS" w:eastAsia="Arial Unicode MS"/>
                <w:sz w:val="30"/>
              </w:rPr>
            </w:pPr>
            <w:r>
              <w:rPr>
                <w:rFonts w:hint="eastAsia" w:ascii="Arial Unicode MS" w:eastAsia="Arial Unicode MS"/>
                <w:sz w:val="30"/>
              </w:rPr>
              <w:t>惩戒措施</w:t>
            </w:r>
          </w:p>
        </w:tc>
        <w:tc>
          <w:tcPr>
            <w:tcW w:w="9915" w:type="dxa"/>
          </w:tcPr>
          <w:p>
            <w:pPr>
              <w:pStyle w:val="8"/>
              <w:spacing w:line="502" w:lineRule="exact"/>
              <w:ind w:left="3886" w:right="3878"/>
              <w:jc w:val="center"/>
              <w:rPr>
                <w:rFonts w:hint="eastAsia" w:ascii="Arial Unicode MS" w:eastAsia="Arial Unicode MS"/>
                <w:sz w:val="30"/>
              </w:rPr>
            </w:pPr>
            <w:r>
              <w:rPr>
                <w:rFonts w:hint="eastAsia" w:ascii="Arial Unicode MS" w:eastAsia="Arial Unicode MS"/>
                <w:sz w:val="30"/>
              </w:rPr>
              <w:t>法律及政策依据</w:t>
            </w:r>
          </w:p>
        </w:tc>
        <w:tc>
          <w:tcPr>
            <w:tcW w:w="1979" w:type="dxa"/>
          </w:tcPr>
          <w:p>
            <w:pPr>
              <w:pStyle w:val="8"/>
              <w:spacing w:line="502" w:lineRule="exact"/>
              <w:ind w:left="387"/>
              <w:rPr>
                <w:rFonts w:hint="eastAsia" w:ascii="Arial Unicode MS" w:eastAsia="Arial Unicode MS"/>
                <w:sz w:val="30"/>
              </w:rPr>
            </w:pPr>
            <w:r>
              <w:rPr>
                <w:rFonts w:hint="eastAsia" w:ascii="Arial Unicode MS" w:eastAsia="Arial Unicode MS"/>
                <w:sz w:val="30"/>
              </w:rPr>
              <w:t>实施部门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7" w:hRule="atLeast"/>
        </w:trPr>
        <w:tc>
          <w:tcPr>
            <w:tcW w:w="1743" w:type="dxa"/>
            <w:tcBorders>
              <w:bottom w:val="nil"/>
            </w:tcBorders>
          </w:tcPr>
          <w:p>
            <w:pPr>
              <w:pStyle w:val="8"/>
              <w:spacing w:before="58"/>
              <w:ind w:left="14"/>
              <w:rPr>
                <w:sz w:val="21"/>
              </w:rPr>
            </w:pPr>
            <w:r>
              <w:rPr>
                <w:sz w:val="21"/>
              </w:rPr>
              <w:t>为参考。</w:t>
            </w:r>
          </w:p>
        </w:tc>
        <w:tc>
          <w:tcPr>
            <w:tcW w:w="9915" w:type="dxa"/>
            <w:vMerge w:val="restart"/>
          </w:tcPr>
          <w:p>
            <w:pPr>
              <w:pStyle w:val="8"/>
              <w:spacing w:before="60"/>
              <w:ind w:left="13"/>
              <w:rPr>
                <w:b/>
                <w:sz w:val="21"/>
              </w:rPr>
            </w:pPr>
            <w:r>
              <w:rPr>
                <w:b/>
                <w:sz w:val="21"/>
              </w:rPr>
              <w:t xml:space="preserve">《首次公开发行股票并上市管理办法》（证监会令第 </w:t>
            </w:r>
            <w:r>
              <w:rPr>
                <w:rFonts w:ascii="Times New Roman" w:eastAsia="Times New Roman"/>
                <w:b/>
                <w:sz w:val="21"/>
              </w:rPr>
              <w:t xml:space="preserve">123 </w:t>
            </w:r>
            <w:r>
              <w:rPr>
                <w:b/>
                <w:sz w:val="21"/>
              </w:rPr>
              <w:t>号）</w:t>
            </w:r>
          </w:p>
          <w:p>
            <w:pPr>
              <w:pStyle w:val="8"/>
              <w:spacing w:before="91" w:line="321" w:lineRule="auto"/>
              <w:ind w:left="13" w:right="3" w:firstLine="420"/>
              <w:rPr>
                <w:sz w:val="21"/>
              </w:rPr>
            </w:pPr>
            <w:r>
              <w:rPr>
                <w:spacing w:val="-10"/>
                <w:sz w:val="21"/>
              </w:rPr>
              <w:t>第二十条 发行人及其控股股东、实际控制人最近三年内不存在损害投资者合法权益和社会公共利益的重大违法行为。</w:t>
            </w:r>
          </w:p>
          <w:p>
            <w:pPr>
              <w:pStyle w:val="8"/>
              <w:spacing w:line="268" w:lineRule="exact"/>
              <w:ind w:left="13"/>
              <w:rPr>
                <w:b/>
                <w:sz w:val="21"/>
              </w:rPr>
            </w:pPr>
            <w:r>
              <w:rPr>
                <w:b/>
                <w:sz w:val="21"/>
              </w:rPr>
              <w:t xml:space="preserve">《上市公司证券发行管理办法》（证监会令第 </w:t>
            </w:r>
            <w:r>
              <w:rPr>
                <w:rFonts w:ascii="Times New Roman" w:eastAsia="Times New Roman"/>
                <w:b/>
                <w:sz w:val="21"/>
              </w:rPr>
              <w:t xml:space="preserve">30 </w:t>
            </w:r>
            <w:r>
              <w:rPr>
                <w:b/>
                <w:sz w:val="21"/>
              </w:rPr>
              <w:t>号）</w:t>
            </w:r>
          </w:p>
          <w:p>
            <w:pPr>
              <w:pStyle w:val="8"/>
              <w:spacing w:before="91"/>
              <w:ind w:left="433"/>
              <w:rPr>
                <w:sz w:val="21"/>
              </w:rPr>
            </w:pPr>
            <w:r>
              <w:rPr>
                <w:sz w:val="21"/>
              </w:rPr>
              <w:t>第九条 上市公司最近三十六个月内财务会计文件无虚假记载，且不存在下列重大违法行为：</w:t>
            </w:r>
          </w:p>
          <w:p>
            <w:pPr>
              <w:pStyle w:val="8"/>
              <w:spacing w:before="91"/>
              <w:ind w:left="433"/>
              <w:rPr>
                <w:sz w:val="21"/>
              </w:rPr>
            </w:pPr>
            <w:r>
              <w:rPr>
                <w:sz w:val="21"/>
              </w:rPr>
              <w:t>（三）违反国家其他法律、行政法规且情节严重的行为。</w:t>
            </w:r>
          </w:p>
          <w:p>
            <w:pPr>
              <w:pStyle w:val="8"/>
              <w:spacing w:before="91" w:line="321" w:lineRule="auto"/>
              <w:ind w:left="433" w:right="3712" w:hanging="420"/>
              <w:rPr>
                <w:sz w:val="21"/>
              </w:rPr>
            </w:pPr>
            <w:r>
              <w:rPr>
                <w:b/>
                <w:sz w:val="21"/>
              </w:rPr>
              <w:t xml:space="preserve">《创业板上市公司证券发行管理暂行办法》（证监会令第 </w:t>
            </w:r>
            <w:r>
              <w:rPr>
                <w:rFonts w:ascii="Times New Roman" w:eastAsia="Times New Roman"/>
                <w:b/>
                <w:sz w:val="21"/>
              </w:rPr>
              <w:t xml:space="preserve">100 </w:t>
            </w:r>
            <w:r>
              <w:rPr>
                <w:b/>
                <w:sz w:val="21"/>
              </w:rPr>
              <w:t xml:space="preserve">号） </w:t>
            </w:r>
            <w:r>
              <w:rPr>
                <w:sz w:val="21"/>
              </w:rPr>
              <w:t>第十条 上市公司存在下列情形之一的，不得发行证券：</w:t>
            </w:r>
          </w:p>
          <w:p>
            <w:pPr>
              <w:pStyle w:val="8"/>
              <w:spacing w:line="321" w:lineRule="auto"/>
              <w:ind w:left="13" w:right="20" w:firstLine="420"/>
              <w:jc w:val="both"/>
              <w:rPr>
                <w:sz w:val="21"/>
              </w:rPr>
            </w:pPr>
            <w:r>
              <w:rPr>
                <w:w w:val="95"/>
                <w:sz w:val="21"/>
              </w:rPr>
              <w:t>（三）最近三十六个月内因违反法律、行政法规、规章受到行政处罚且情节严重，或者受到刑事处罚，或者因违反证券法律、行政法规、规章受到中国证监会的行政处罚；最近十二个月内受到证券交易所的公开</w:t>
            </w:r>
            <w:r>
              <w:rPr>
                <w:sz w:val="21"/>
              </w:rPr>
              <w:t>谴责；因涉嫌犯罪被司法机关立案侦查或者涉嫌违法违规被中国证监会立案调查。</w:t>
            </w:r>
          </w:p>
          <w:p>
            <w:pPr>
              <w:pStyle w:val="8"/>
              <w:spacing w:line="267" w:lineRule="exact"/>
              <w:ind w:left="433"/>
              <w:rPr>
                <w:sz w:val="21"/>
              </w:rPr>
            </w:pPr>
            <w:r>
              <w:rPr>
                <w:sz w:val="21"/>
              </w:rPr>
              <w:t>（六）严重损害投资者的合法权益和社会公共利益的其他情形。</w:t>
            </w:r>
          </w:p>
          <w:p>
            <w:pPr>
              <w:pStyle w:val="8"/>
              <w:spacing w:before="90"/>
              <w:ind w:left="13"/>
              <w:rPr>
                <w:b/>
                <w:sz w:val="21"/>
              </w:rPr>
            </w:pPr>
            <w:r>
              <w:rPr>
                <w:b/>
                <w:sz w:val="21"/>
              </w:rPr>
              <w:t xml:space="preserve">《证券业从业人员资格管理办法》（证监会令第 </w:t>
            </w:r>
            <w:r>
              <w:rPr>
                <w:rFonts w:ascii="Times New Roman" w:eastAsia="Times New Roman"/>
                <w:b/>
                <w:sz w:val="21"/>
              </w:rPr>
              <w:t xml:space="preserve">14 </w:t>
            </w:r>
            <w:r>
              <w:rPr>
                <w:b/>
                <w:sz w:val="21"/>
              </w:rPr>
              <w:t>号）</w:t>
            </w:r>
          </w:p>
          <w:p>
            <w:pPr>
              <w:pStyle w:val="8"/>
              <w:spacing w:before="91"/>
              <w:ind w:left="462"/>
              <w:rPr>
                <w:sz w:val="21"/>
              </w:rPr>
            </w:pPr>
            <w:r>
              <w:rPr>
                <w:sz w:val="21"/>
              </w:rPr>
              <w:t>第十条 取得从业资格的人员，符合下列条件的，可以通过机构申请执业证书：</w:t>
            </w:r>
          </w:p>
          <w:p>
            <w:pPr>
              <w:pStyle w:val="8"/>
              <w:spacing w:before="91"/>
              <w:ind w:left="462"/>
              <w:rPr>
                <w:sz w:val="21"/>
              </w:rPr>
            </w:pPr>
            <w:r>
              <w:rPr>
                <w:sz w:val="21"/>
              </w:rPr>
              <w:t>（五）品行端正，具有良好的职业道德。</w:t>
            </w:r>
          </w:p>
          <w:p>
            <w:pPr>
              <w:pStyle w:val="8"/>
              <w:spacing w:before="90"/>
              <w:ind w:left="13"/>
              <w:rPr>
                <w:b/>
                <w:sz w:val="21"/>
              </w:rPr>
            </w:pPr>
            <w:r>
              <w:rPr>
                <w:b/>
                <w:sz w:val="21"/>
              </w:rPr>
              <w:t xml:space="preserve">《期货从业人员管理办法》（证监会令第 </w:t>
            </w:r>
            <w:r>
              <w:rPr>
                <w:rFonts w:ascii="Times New Roman" w:eastAsia="Times New Roman"/>
                <w:b/>
                <w:sz w:val="21"/>
              </w:rPr>
              <w:t xml:space="preserve">48 </w:t>
            </w:r>
            <w:r>
              <w:rPr>
                <w:b/>
                <w:sz w:val="21"/>
              </w:rPr>
              <w:t>号）</w:t>
            </w:r>
          </w:p>
          <w:p>
            <w:pPr>
              <w:pStyle w:val="8"/>
              <w:spacing w:before="91" w:line="321" w:lineRule="auto"/>
              <w:ind w:left="23" w:right="97" w:firstLine="439"/>
              <w:rPr>
                <w:sz w:val="21"/>
              </w:rPr>
            </w:pPr>
            <w:r>
              <w:rPr>
                <w:sz w:val="21"/>
              </w:rPr>
              <w:t>第十条 机构任用具有从业资格考试合格证明且符合下列条件的人员从事期货业务的，应当为其办理从业资格申请：</w:t>
            </w:r>
          </w:p>
          <w:p>
            <w:pPr>
              <w:pStyle w:val="8"/>
              <w:spacing w:line="268" w:lineRule="exact"/>
              <w:ind w:left="462"/>
              <w:rPr>
                <w:sz w:val="21"/>
              </w:rPr>
            </w:pPr>
            <w:r>
              <w:rPr>
                <w:sz w:val="21"/>
              </w:rPr>
              <w:t>（一）品行端正，具有良好的职业道德。</w:t>
            </w:r>
          </w:p>
          <w:p>
            <w:pPr>
              <w:pStyle w:val="8"/>
              <w:spacing w:before="91"/>
              <w:ind w:left="13"/>
              <w:rPr>
                <w:b/>
                <w:sz w:val="21"/>
              </w:rPr>
            </w:pPr>
            <w:r>
              <w:rPr>
                <w:b/>
                <w:sz w:val="21"/>
              </w:rPr>
              <w:t xml:space="preserve">《私募投资基金监督管理暂行办法》（证监会令第 </w:t>
            </w:r>
            <w:r>
              <w:rPr>
                <w:rFonts w:ascii="Times New Roman" w:eastAsia="Times New Roman"/>
                <w:b/>
                <w:sz w:val="21"/>
              </w:rPr>
              <w:t xml:space="preserve">105 </w:t>
            </w:r>
            <w:r>
              <w:rPr>
                <w:b/>
                <w:sz w:val="21"/>
              </w:rPr>
              <w:t>号）</w:t>
            </w:r>
          </w:p>
          <w:p>
            <w:pPr>
              <w:pStyle w:val="8"/>
              <w:spacing w:line="360" w:lineRule="atLeast"/>
              <w:ind w:left="23" w:right="10" w:firstLine="439"/>
              <w:rPr>
                <w:sz w:val="21"/>
              </w:rPr>
            </w:pPr>
            <w:r>
              <w:rPr>
                <w:spacing w:val="-3"/>
                <w:sz w:val="21"/>
              </w:rPr>
              <w:t>第四条 私募基金管理人和从事私募基金托管业务的机构</w:t>
            </w:r>
            <w:r>
              <w:rPr>
                <w:sz w:val="21"/>
              </w:rPr>
              <w:t>（以下简称私募基金托管人）管理、运用私募</w:t>
            </w:r>
            <w:r>
              <w:rPr>
                <w:w w:val="95"/>
                <w:sz w:val="21"/>
              </w:rPr>
              <w:t>基金财产，从事私募基金销售业务的机构（以下简称私募基金销售机构）及其他私募服务机构从事私募基金服务活动，应当恪尽职守，履行诚实信用、谨慎勤勉的义务。私募基金从业人员应当遵守法律、行政法规，</w:t>
            </w:r>
          </w:p>
        </w:tc>
        <w:tc>
          <w:tcPr>
            <w:tcW w:w="1979" w:type="dxa"/>
            <w:vMerge w:val="restart"/>
          </w:tcPr>
          <w:p>
            <w:pPr>
              <w:pStyle w:val="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0" w:hRule="atLeast"/>
        </w:trPr>
        <w:tc>
          <w:tcPr>
            <w:tcW w:w="1743" w:type="dxa"/>
            <w:tcBorders>
              <w:top w:val="nil"/>
              <w:bottom w:val="nil"/>
            </w:tcBorders>
          </w:tcPr>
          <w:p>
            <w:pPr>
              <w:pStyle w:val="8"/>
              <w:spacing w:before="126" w:line="360" w:lineRule="atLeast"/>
              <w:ind w:left="14" w:right="38"/>
              <w:rPr>
                <w:sz w:val="21"/>
              </w:rPr>
            </w:pPr>
            <w:r>
              <w:rPr>
                <w:rFonts w:ascii="Times New Roman" w:eastAsia="Times New Roman"/>
                <w:sz w:val="21"/>
              </w:rPr>
              <w:t>39.</w:t>
            </w:r>
            <w:r>
              <w:rPr>
                <w:position w:val="1"/>
                <w:sz w:val="21"/>
              </w:rPr>
              <w:t>对相关失信责</w:t>
            </w:r>
            <w:r>
              <w:rPr>
                <w:sz w:val="21"/>
              </w:rPr>
              <w:t>任主体在证券、基</w:t>
            </w:r>
          </w:p>
        </w:tc>
        <w:tc>
          <w:tcPr>
            <w:tcW w:w="9915" w:type="dxa"/>
            <w:vMerge w:val="continue"/>
            <w:tcBorders>
              <w:top w:val="nil"/>
            </w:tcBorders>
          </w:tcPr>
          <w:p>
            <w:pPr>
              <w:rPr>
                <w:sz w:val="2"/>
                <w:szCs w:val="2"/>
              </w:rPr>
            </w:pPr>
          </w:p>
        </w:tc>
        <w:tc>
          <w:tcPr>
            <w:tcW w:w="1979"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1743" w:type="dxa"/>
            <w:tcBorders>
              <w:top w:val="nil"/>
              <w:bottom w:val="nil"/>
            </w:tcBorders>
          </w:tcPr>
          <w:p>
            <w:pPr>
              <w:pStyle w:val="8"/>
              <w:spacing w:before="40"/>
              <w:ind w:left="14"/>
              <w:rPr>
                <w:sz w:val="21"/>
              </w:rPr>
            </w:pPr>
            <w:r>
              <w:rPr>
                <w:sz w:val="21"/>
              </w:rPr>
              <w:t>金、期货从业资格</w:t>
            </w:r>
          </w:p>
        </w:tc>
        <w:tc>
          <w:tcPr>
            <w:tcW w:w="9915" w:type="dxa"/>
            <w:vMerge w:val="continue"/>
            <w:tcBorders>
              <w:top w:val="nil"/>
            </w:tcBorders>
          </w:tcPr>
          <w:p>
            <w:pPr>
              <w:rPr>
                <w:sz w:val="2"/>
                <w:szCs w:val="2"/>
              </w:rPr>
            </w:pPr>
          </w:p>
        </w:tc>
        <w:tc>
          <w:tcPr>
            <w:tcW w:w="1979"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1743" w:type="dxa"/>
            <w:tcBorders>
              <w:top w:val="nil"/>
              <w:bottom w:val="nil"/>
            </w:tcBorders>
          </w:tcPr>
          <w:p>
            <w:pPr>
              <w:pStyle w:val="8"/>
              <w:spacing w:before="40"/>
              <w:ind w:left="14"/>
              <w:rPr>
                <w:sz w:val="21"/>
              </w:rPr>
            </w:pPr>
            <w:r>
              <w:rPr>
                <w:sz w:val="21"/>
              </w:rPr>
              <w:t>申请中予以从严审</w:t>
            </w:r>
          </w:p>
        </w:tc>
        <w:tc>
          <w:tcPr>
            <w:tcW w:w="9915" w:type="dxa"/>
            <w:vMerge w:val="continue"/>
            <w:tcBorders>
              <w:top w:val="nil"/>
            </w:tcBorders>
          </w:tcPr>
          <w:p>
            <w:pPr>
              <w:rPr>
                <w:sz w:val="2"/>
                <w:szCs w:val="2"/>
              </w:rPr>
            </w:pPr>
          </w:p>
        </w:tc>
        <w:tc>
          <w:tcPr>
            <w:tcW w:w="1979"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1743" w:type="dxa"/>
            <w:tcBorders>
              <w:top w:val="nil"/>
              <w:bottom w:val="nil"/>
            </w:tcBorders>
          </w:tcPr>
          <w:p>
            <w:pPr>
              <w:pStyle w:val="8"/>
              <w:spacing w:before="40"/>
              <w:ind w:left="14" w:right="-29"/>
              <w:rPr>
                <w:sz w:val="21"/>
              </w:rPr>
            </w:pPr>
            <w:r>
              <w:rPr>
                <w:spacing w:val="-20"/>
                <w:sz w:val="21"/>
              </w:rPr>
              <w:t>核，对已成为证券、</w:t>
            </w:r>
          </w:p>
        </w:tc>
        <w:tc>
          <w:tcPr>
            <w:tcW w:w="9915" w:type="dxa"/>
            <w:vMerge w:val="continue"/>
            <w:tcBorders>
              <w:top w:val="nil"/>
            </w:tcBorders>
          </w:tcPr>
          <w:p>
            <w:pPr>
              <w:rPr>
                <w:sz w:val="2"/>
                <w:szCs w:val="2"/>
              </w:rPr>
            </w:pPr>
          </w:p>
        </w:tc>
        <w:tc>
          <w:tcPr>
            <w:tcW w:w="1979"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1743" w:type="dxa"/>
            <w:tcBorders>
              <w:top w:val="nil"/>
              <w:bottom w:val="nil"/>
            </w:tcBorders>
          </w:tcPr>
          <w:p>
            <w:pPr>
              <w:pStyle w:val="8"/>
              <w:spacing w:before="40"/>
              <w:ind w:left="14"/>
              <w:rPr>
                <w:sz w:val="21"/>
              </w:rPr>
            </w:pPr>
            <w:r>
              <w:rPr>
                <w:sz w:val="21"/>
              </w:rPr>
              <w:t>基金、期货从业人</w:t>
            </w:r>
          </w:p>
        </w:tc>
        <w:tc>
          <w:tcPr>
            <w:tcW w:w="9915" w:type="dxa"/>
            <w:vMerge w:val="continue"/>
            <w:tcBorders>
              <w:top w:val="nil"/>
            </w:tcBorders>
          </w:tcPr>
          <w:p>
            <w:pPr>
              <w:rPr>
                <w:sz w:val="2"/>
                <w:szCs w:val="2"/>
              </w:rPr>
            </w:pPr>
          </w:p>
        </w:tc>
        <w:tc>
          <w:tcPr>
            <w:tcW w:w="1979"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1743" w:type="dxa"/>
            <w:tcBorders>
              <w:top w:val="nil"/>
              <w:bottom w:val="nil"/>
            </w:tcBorders>
          </w:tcPr>
          <w:p>
            <w:pPr>
              <w:pStyle w:val="8"/>
              <w:spacing w:before="40"/>
              <w:ind w:left="14"/>
              <w:rPr>
                <w:sz w:val="21"/>
              </w:rPr>
            </w:pPr>
            <w:r>
              <w:rPr>
                <w:sz w:val="21"/>
              </w:rPr>
              <w:t>员的相关主体予以</w:t>
            </w:r>
          </w:p>
        </w:tc>
        <w:tc>
          <w:tcPr>
            <w:tcW w:w="9915" w:type="dxa"/>
            <w:vMerge w:val="continue"/>
            <w:tcBorders>
              <w:top w:val="nil"/>
            </w:tcBorders>
          </w:tcPr>
          <w:p>
            <w:pPr>
              <w:rPr>
                <w:sz w:val="2"/>
                <w:szCs w:val="2"/>
              </w:rPr>
            </w:pPr>
          </w:p>
        </w:tc>
        <w:tc>
          <w:tcPr>
            <w:tcW w:w="1979"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0" w:hRule="atLeast"/>
        </w:trPr>
        <w:tc>
          <w:tcPr>
            <w:tcW w:w="1743" w:type="dxa"/>
            <w:tcBorders>
              <w:top w:val="nil"/>
              <w:bottom w:val="nil"/>
            </w:tcBorders>
          </w:tcPr>
          <w:p>
            <w:pPr>
              <w:pStyle w:val="8"/>
              <w:spacing w:before="40"/>
              <w:ind w:left="14"/>
              <w:rPr>
                <w:sz w:val="21"/>
              </w:rPr>
            </w:pPr>
            <w:r>
              <w:rPr>
                <w:sz w:val="21"/>
              </w:rPr>
              <w:t>重点关注。</w:t>
            </w:r>
          </w:p>
        </w:tc>
        <w:tc>
          <w:tcPr>
            <w:tcW w:w="9915" w:type="dxa"/>
            <w:vMerge w:val="continue"/>
            <w:tcBorders>
              <w:top w:val="nil"/>
            </w:tcBorders>
          </w:tcPr>
          <w:p>
            <w:pPr>
              <w:rPr>
                <w:sz w:val="2"/>
                <w:szCs w:val="2"/>
              </w:rPr>
            </w:pPr>
          </w:p>
        </w:tc>
        <w:tc>
          <w:tcPr>
            <w:tcW w:w="1979"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0" w:hRule="atLeast"/>
        </w:trPr>
        <w:tc>
          <w:tcPr>
            <w:tcW w:w="1743" w:type="dxa"/>
            <w:tcBorders>
              <w:top w:val="nil"/>
              <w:bottom w:val="nil"/>
            </w:tcBorders>
          </w:tcPr>
          <w:p>
            <w:pPr>
              <w:pStyle w:val="8"/>
              <w:spacing w:before="126" w:line="360" w:lineRule="atLeast"/>
              <w:ind w:left="14" w:right="38"/>
              <w:rPr>
                <w:sz w:val="21"/>
              </w:rPr>
            </w:pPr>
            <w:r>
              <w:rPr>
                <w:rFonts w:ascii="Times New Roman" w:eastAsia="Times New Roman"/>
                <w:sz w:val="21"/>
              </w:rPr>
              <w:t>40.</w:t>
            </w:r>
            <w:r>
              <w:rPr>
                <w:position w:val="1"/>
                <w:sz w:val="21"/>
              </w:rPr>
              <w:t>对相关失信责</w:t>
            </w:r>
            <w:r>
              <w:rPr>
                <w:sz w:val="21"/>
              </w:rPr>
              <w:t>任主体在上市公司</w:t>
            </w:r>
          </w:p>
        </w:tc>
        <w:tc>
          <w:tcPr>
            <w:tcW w:w="9915" w:type="dxa"/>
            <w:vMerge w:val="continue"/>
            <w:tcBorders>
              <w:top w:val="nil"/>
            </w:tcBorders>
          </w:tcPr>
          <w:p>
            <w:pPr>
              <w:rPr>
                <w:sz w:val="2"/>
                <w:szCs w:val="2"/>
              </w:rPr>
            </w:pPr>
          </w:p>
        </w:tc>
        <w:tc>
          <w:tcPr>
            <w:tcW w:w="1979"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1743" w:type="dxa"/>
            <w:tcBorders>
              <w:top w:val="nil"/>
              <w:bottom w:val="nil"/>
            </w:tcBorders>
          </w:tcPr>
          <w:p>
            <w:pPr>
              <w:pStyle w:val="8"/>
              <w:spacing w:before="40"/>
              <w:ind w:left="14"/>
              <w:rPr>
                <w:sz w:val="21"/>
              </w:rPr>
            </w:pPr>
            <w:r>
              <w:rPr>
                <w:sz w:val="21"/>
              </w:rPr>
              <w:t>或者非上市公众公</w:t>
            </w:r>
          </w:p>
        </w:tc>
        <w:tc>
          <w:tcPr>
            <w:tcW w:w="9915" w:type="dxa"/>
            <w:vMerge w:val="continue"/>
            <w:tcBorders>
              <w:top w:val="nil"/>
            </w:tcBorders>
          </w:tcPr>
          <w:p>
            <w:pPr>
              <w:rPr>
                <w:sz w:val="2"/>
                <w:szCs w:val="2"/>
              </w:rPr>
            </w:pPr>
          </w:p>
        </w:tc>
        <w:tc>
          <w:tcPr>
            <w:tcW w:w="1979"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1743" w:type="dxa"/>
            <w:tcBorders>
              <w:top w:val="nil"/>
              <w:bottom w:val="nil"/>
            </w:tcBorders>
          </w:tcPr>
          <w:p>
            <w:pPr>
              <w:pStyle w:val="8"/>
              <w:spacing w:before="40"/>
              <w:ind w:left="14"/>
              <w:rPr>
                <w:sz w:val="21"/>
              </w:rPr>
            </w:pPr>
            <w:r>
              <w:rPr>
                <w:sz w:val="21"/>
              </w:rPr>
              <w:t>司收购的事中事后</w:t>
            </w:r>
          </w:p>
        </w:tc>
        <w:tc>
          <w:tcPr>
            <w:tcW w:w="9915" w:type="dxa"/>
            <w:vMerge w:val="continue"/>
            <w:tcBorders>
              <w:top w:val="nil"/>
            </w:tcBorders>
          </w:tcPr>
          <w:p>
            <w:pPr>
              <w:rPr>
                <w:sz w:val="2"/>
                <w:szCs w:val="2"/>
              </w:rPr>
            </w:pPr>
          </w:p>
        </w:tc>
        <w:tc>
          <w:tcPr>
            <w:tcW w:w="1979"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1743" w:type="dxa"/>
            <w:tcBorders>
              <w:top w:val="nil"/>
              <w:bottom w:val="nil"/>
            </w:tcBorders>
          </w:tcPr>
          <w:p>
            <w:pPr>
              <w:pStyle w:val="8"/>
              <w:spacing w:before="40"/>
              <w:ind w:left="14"/>
              <w:rPr>
                <w:sz w:val="21"/>
              </w:rPr>
            </w:pPr>
            <w:r>
              <w:rPr>
                <w:sz w:val="21"/>
              </w:rPr>
              <w:t>监管中予以重点关</w:t>
            </w:r>
          </w:p>
        </w:tc>
        <w:tc>
          <w:tcPr>
            <w:tcW w:w="9915" w:type="dxa"/>
            <w:vMerge w:val="continue"/>
            <w:tcBorders>
              <w:top w:val="nil"/>
            </w:tcBorders>
          </w:tcPr>
          <w:p>
            <w:pPr>
              <w:rPr>
                <w:sz w:val="2"/>
                <w:szCs w:val="2"/>
              </w:rPr>
            </w:pPr>
          </w:p>
        </w:tc>
        <w:tc>
          <w:tcPr>
            <w:tcW w:w="1979"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0" w:hRule="atLeast"/>
        </w:trPr>
        <w:tc>
          <w:tcPr>
            <w:tcW w:w="1743" w:type="dxa"/>
            <w:tcBorders>
              <w:top w:val="nil"/>
              <w:bottom w:val="nil"/>
            </w:tcBorders>
          </w:tcPr>
          <w:p>
            <w:pPr>
              <w:pStyle w:val="8"/>
              <w:spacing w:before="40"/>
              <w:ind w:left="14"/>
              <w:rPr>
                <w:sz w:val="21"/>
              </w:rPr>
            </w:pPr>
            <w:r>
              <w:rPr>
                <w:sz w:val="21"/>
              </w:rPr>
              <w:t>注。</w:t>
            </w:r>
          </w:p>
        </w:tc>
        <w:tc>
          <w:tcPr>
            <w:tcW w:w="9915" w:type="dxa"/>
            <w:vMerge w:val="continue"/>
            <w:tcBorders>
              <w:top w:val="nil"/>
            </w:tcBorders>
          </w:tcPr>
          <w:p>
            <w:pPr>
              <w:rPr>
                <w:sz w:val="2"/>
                <w:szCs w:val="2"/>
              </w:rPr>
            </w:pPr>
          </w:p>
        </w:tc>
        <w:tc>
          <w:tcPr>
            <w:tcW w:w="1979"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0" w:hRule="atLeast"/>
        </w:trPr>
        <w:tc>
          <w:tcPr>
            <w:tcW w:w="1743" w:type="dxa"/>
            <w:tcBorders>
              <w:top w:val="nil"/>
              <w:bottom w:val="nil"/>
            </w:tcBorders>
          </w:tcPr>
          <w:p>
            <w:pPr>
              <w:pStyle w:val="8"/>
              <w:spacing w:before="126" w:line="360" w:lineRule="atLeast"/>
              <w:ind w:left="14" w:right="38"/>
              <w:rPr>
                <w:sz w:val="21"/>
              </w:rPr>
            </w:pPr>
            <w:r>
              <w:rPr>
                <w:rFonts w:ascii="Times New Roman" w:eastAsia="Times New Roman"/>
                <w:sz w:val="21"/>
              </w:rPr>
              <w:t>41.</w:t>
            </w:r>
            <w:r>
              <w:rPr>
                <w:position w:val="1"/>
                <w:sz w:val="21"/>
              </w:rPr>
              <w:t>将失信信息作</w:t>
            </w:r>
            <w:r>
              <w:rPr>
                <w:sz w:val="21"/>
              </w:rPr>
              <w:t>为非上市公众公司</w:t>
            </w:r>
          </w:p>
        </w:tc>
        <w:tc>
          <w:tcPr>
            <w:tcW w:w="9915" w:type="dxa"/>
            <w:vMerge w:val="continue"/>
            <w:tcBorders>
              <w:top w:val="nil"/>
            </w:tcBorders>
          </w:tcPr>
          <w:p>
            <w:pPr>
              <w:rPr>
                <w:sz w:val="2"/>
                <w:szCs w:val="2"/>
              </w:rPr>
            </w:pPr>
          </w:p>
        </w:tc>
        <w:tc>
          <w:tcPr>
            <w:tcW w:w="1979"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1743" w:type="dxa"/>
            <w:tcBorders>
              <w:top w:val="nil"/>
              <w:bottom w:val="nil"/>
            </w:tcBorders>
          </w:tcPr>
          <w:p>
            <w:pPr>
              <w:pStyle w:val="8"/>
              <w:spacing w:before="40"/>
              <w:ind w:left="14"/>
              <w:rPr>
                <w:sz w:val="21"/>
              </w:rPr>
            </w:pPr>
            <w:r>
              <w:rPr>
                <w:sz w:val="21"/>
              </w:rPr>
              <w:t>重大资产重组审核</w:t>
            </w:r>
          </w:p>
        </w:tc>
        <w:tc>
          <w:tcPr>
            <w:tcW w:w="9915" w:type="dxa"/>
            <w:vMerge w:val="continue"/>
            <w:tcBorders>
              <w:top w:val="nil"/>
            </w:tcBorders>
          </w:tcPr>
          <w:p>
            <w:pPr>
              <w:rPr>
                <w:sz w:val="2"/>
                <w:szCs w:val="2"/>
              </w:rPr>
            </w:pPr>
          </w:p>
        </w:tc>
        <w:tc>
          <w:tcPr>
            <w:tcW w:w="1979"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atLeast"/>
        </w:trPr>
        <w:tc>
          <w:tcPr>
            <w:tcW w:w="1743" w:type="dxa"/>
            <w:tcBorders>
              <w:top w:val="nil"/>
            </w:tcBorders>
          </w:tcPr>
          <w:p>
            <w:pPr>
              <w:pStyle w:val="8"/>
              <w:spacing w:before="40"/>
              <w:ind w:left="14"/>
              <w:rPr>
                <w:sz w:val="21"/>
              </w:rPr>
            </w:pPr>
            <w:r>
              <w:rPr>
                <w:sz w:val="21"/>
              </w:rPr>
              <w:t>的参考。</w:t>
            </w:r>
          </w:p>
        </w:tc>
        <w:tc>
          <w:tcPr>
            <w:tcW w:w="9915" w:type="dxa"/>
            <w:vMerge w:val="continue"/>
            <w:tcBorders>
              <w:top w:val="nil"/>
            </w:tcBorders>
          </w:tcPr>
          <w:p>
            <w:pPr>
              <w:rPr>
                <w:sz w:val="2"/>
                <w:szCs w:val="2"/>
              </w:rPr>
            </w:pPr>
          </w:p>
        </w:tc>
        <w:tc>
          <w:tcPr>
            <w:tcW w:w="1979" w:type="dxa"/>
            <w:vMerge w:val="continue"/>
            <w:tcBorders>
              <w:top w:val="nil"/>
            </w:tcBorders>
          </w:tcPr>
          <w:p>
            <w:pPr>
              <w:rPr>
                <w:sz w:val="2"/>
                <w:szCs w:val="2"/>
              </w:rPr>
            </w:pPr>
          </w:p>
        </w:tc>
      </w:tr>
    </w:tbl>
    <w:p>
      <w:pPr>
        <w:spacing w:after="0"/>
        <w:rPr>
          <w:sz w:val="2"/>
          <w:szCs w:val="2"/>
        </w:rPr>
        <w:sectPr>
          <w:pgSz w:w="16840" w:h="11910" w:orient="landscape"/>
          <w:pgMar w:top="1100" w:right="960" w:bottom="1160" w:left="1700" w:header="0" w:footer="979" w:gutter="0"/>
        </w:sectPr>
      </w:pPr>
    </w:p>
    <w:p>
      <w:pPr>
        <w:pStyle w:val="3"/>
        <w:rPr>
          <w:rFonts w:ascii="Times New Roman"/>
          <w:sz w:val="29"/>
        </w:rPr>
      </w:pPr>
    </w:p>
    <w:tbl>
      <w:tblPr>
        <w:tblStyle w:val="4"/>
        <w:tblW w:w="0" w:type="auto"/>
        <w:tblInd w:w="34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43"/>
        <w:gridCol w:w="9915"/>
        <w:gridCol w:w="197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 w:hRule="atLeast"/>
        </w:trPr>
        <w:tc>
          <w:tcPr>
            <w:tcW w:w="1743" w:type="dxa"/>
          </w:tcPr>
          <w:p>
            <w:pPr>
              <w:pStyle w:val="8"/>
              <w:spacing w:before="63" w:line="438" w:lineRule="exact"/>
              <w:ind w:left="271"/>
              <w:rPr>
                <w:rFonts w:hint="eastAsia" w:ascii="Arial Unicode MS" w:eastAsia="Arial Unicode MS"/>
                <w:sz w:val="30"/>
              </w:rPr>
            </w:pPr>
            <w:r>
              <w:rPr>
                <w:rFonts w:hint="eastAsia" w:ascii="Arial Unicode MS" w:eastAsia="Arial Unicode MS"/>
                <w:sz w:val="30"/>
              </w:rPr>
              <w:t>惩戒措施</w:t>
            </w:r>
          </w:p>
        </w:tc>
        <w:tc>
          <w:tcPr>
            <w:tcW w:w="9915" w:type="dxa"/>
          </w:tcPr>
          <w:p>
            <w:pPr>
              <w:pStyle w:val="8"/>
              <w:spacing w:line="502" w:lineRule="exact"/>
              <w:ind w:left="3886" w:right="3878"/>
              <w:jc w:val="center"/>
              <w:rPr>
                <w:rFonts w:hint="eastAsia" w:ascii="Arial Unicode MS" w:eastAsia="Arial Unicode MS"/>
                <w:sz w:val="30"/>
              </w:rPr>
            </w:pPr>
            <w:r>
              <w:rPr>
                <w:rFonts w:hint="eastAsia" w:ascii="Arial Unicode MS" w:eastAsia="Arial Unicode MS"/>
                <w:sz w:val="30"/>
              </w:rPr>
              <w:t>法律及政策依据</w:t>
            </w:r>
          </w:p>
        </w:tc>
        <w:tc>
          <w:tcPr>
            <w:tcW w:w="1979" w:type="dxa"/>
          </w:tcPr>
          <w:p>
            <w:pPr>
              <w:pStyle w:val="8"/>
              <w:spacing w:line="502" w:lineRule="exact"/>
              <w:ind w:left="387"/>
              <w:rPr>
                <w:rFonts w:hint="eastAsia" w:ascii="Arial Unicode MS" w:eastAsia="Arial Unicode MS"/>
                <w:sz w:val="30"/>
              </w:rPr>
            </w:pPr>
            <w:r>
              <w:rPr>
                <w:rFonts w:hint="eastAsia" w:ascii="Arial Unicode MS" w:eastAsia="Arial Unicode MS"/>
                <w:sz w:val="30"/>
              </w:rPr>
              <w:t>实施部门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08" w:hRule="atLeast"/>
        </w:trPr>
        <w:tc>
          <w:tcPr>
            <w:tcW w:w="1743" w:type="dxa"/>
          </w:tcPr>
          <w:p>
            <w:pPr>
              <w:pStyle w:val="8"/>
              <w:spacing w:before="55" w:line="321" w:lineRule="auto"/>
              <w:ind w:left="14" w:right="38"/>
              <w:rPr>
                <w:sz w:val="21"/>
              </w:rPr>
            </w:pPr>
            <w:r>
              <w:rPr>
                <w:rFonts w:ascii="Times New Roman" w:eastAsia="Times New Roman"/>
                <w:sz w:val="21"/>
              </w:rPr>
              <w:t>42.</w:t>
            </w:r>
            <w:r>
              <w:rPr>
                <w:position w:val="1"/>
                <w:sz w:val="21"/>
              </w:rPr>
              <w:t>将其失信信息</w:t>
            </w:r>
            <w:r>
              <w:rPr>
                <w:spacing w:val="-2"/>
                <w:sz w:val="21"/>
              </w:rPr>
              <w:t>作为独立基金销售</w:t>
            </w:r>
            <w:r>
              <w:rPr>
                <w:sz w:val="21"/>
              </w:rPr>
              <w:t>机构审批时的参 考。</w:t>
            </w:r>
          </w:p>
        </w:tc>
        <w:tc>
          <w:tcPr>
            <w:tcW w:w="9915" w:type="dxa"/>
          </w:tcPr>
          <w:p>
            <w:pPr>
              <w:pStyle w:val="8"/>
              <w:spacing w:before="60"/>
              <w:ind w:left="23"/>
              <w:rPr>
                <w:sz w:val="21"/>
              </w:rPr>
            </w:pPr>
            <w:r>
              <w:rPr>
                <w:sz w:val="21"/>
              </w:rPr>
              <w:t>恪守职业道德和行为规范。</w:t>
            </w:r>
          </w:p>
          <w:p>
            <w:pPr>
              <w:pStyle w:val="8"/>
              <w:spacing w:before="91"/>
              <w:ind w:left="13"/>
              <w:rPr>
                <w:b/>
                <w:sz w:val="21"/>
              </w:rPr>
            </w:pPr>
            <w:r>
              <w:rPr>
                <w:b/>
                <w:sz w:val="21"/>
              </w:rPr>
              <w:t xml:space="preserve">《上市公司收购管理办法》（证监会令第 </w:t>
            </w:r>
            <w:r>
              <w:rPr>
                <w:rFonts w:ascii="Times New Roman" w:eastAsia="Times New Roman"/>
                <w:b/>
                <w:sz w:val="21"/>
              </w:rPr>
              <w:t xml:space="preserve">108 </w:t>
            </w:r>
            <w:r>
              <w:rPr>
                <w:b/>
                <w:sz w:val="21"/>
              </w:rPr>
              <w:t>号）</w:t>
            </w:r>
          </w:p>
          <w:p>
            <w:pPr>
              <w:pStyle w:val="8"/>
              <w:spacing w:before="91" w:line="321" w:lineRule="auto"/>
              <w:ind w:left="23" w:right="97" w:firstLine="439"/>
              <w:rPr>
                <w:sz w:val="21"/>
              </w:rPr>
            </w:pPr>
            <w:r>
              <w:rPr>
                <w:sz w:val="21"/>
              </w:rPr>
              <w:t>第六条 任何人不得利用上市公司的收购损害被收购公司及其股东的合法权益。有下列情形之一的，不得收购上市公司：</w:t>
            </w:r>
          </w:p>
          <w:p>
            <w:pPr>
              <w:pStyle w:val="8"/>
              <w:spacing w:line="268" w:lineRule="exact"/>
              <w:ind w:left="462"/>
              <w:rPr>
                <w:sz w:val="21"/>
              </w:rPr>
            </w:pPr>
            <w:r>
              <w:rPr>
                <w:w w:val="95"/>
                <w:sz w:val="21"/>
              </w:rPr>
              <w:t>（一）收购人负有数额较大债务，到期未清偿，且处于持续状态；</w:t>
            </w:r>
          </w:p>
          <w:p>
            <w:pPr>
              <w:pStyle w:val="8"/>
              <w:spacing w:before="91"/>
              <w:ind w:left="462"/>
              <w:rPr>
                <w:sz w:val="21"/>
              </w:rPr>
            </w:pPr>
            <w:r>
              <w:rPr>
                <w:sz w:val="21"/>
              </w:rPr>
              <w:t>（二）</w:t>
            </w:r>
            <w:r>
              <w:rPr>
                <w:spacing w:val="-10"/>
                <w:sz w:val="21"/>
              </w:rPr>
              <w:t xml:space="preserve">收购人最近 </w:t>
            </w:r>
            <w:r>
              <w:rPr>
                <w:rFonts w:ascii="Times New Roman" w:eastAsia="Times New Roman"/>
                <w:sz w:val="21"/>
              </w:rPr>
              <w:t>3</w:t>
            </w:r>
            <w:r>
              <w:rPr>
                <w:rFonts w:ascii="Times New Roman" w:eastAsia="Times New Roman"/>
                <w:spacing w:val="-10"/>
                <w:sz w:val="21"/>
              </w:rPr>
              <w:t xml:space="preserve"> </w:t>
            </w:r>
            <w:r>
              <w:rPr>
                <w:sz w:val="21"/>
              </w:rPr>
              <w:t>年有重大违法行为或者涉嫌有重大违法行为；</w:t>
            </w:r>
          </w:p>
          <w:p>
            <w:pPr>
              <w:pStyle w:val="8"/>
              <w:spacing w:before="91"/>
              <w:ind w:left="462"/>
              <w:rPr>
                <w:sz w:val="21"/>
              </w:rPr>
            </w:pPr>
            <w:r>
              <w:rPr>
                <w:sz w:val="21"/>
              </w:rPr>
              <w:t>（四）收购人为自然人的，存在《公司法》第一百四十六条规定情形；</w:t>
            </w:r>
          </w:p>
          <w:p>
            <w:pPr>
              <w:pStyle w:val="8"/>
              <w:spacing w:before="91"/>
              <w:ind w:left="462"/>
              <w:rPr>
                <w:sz w:val="21"/>
              </w:rPr>
            </w:pPr>
            <w:r>
              <w:rPr>
                <w:sz w:val="21"/>
              </w:rPr>
              <w:t>（五）法律、行政法规规定以及中国证监会认定的不得收购上市公司的其他情形。</w:t>
            </w:r>
          </w:p>
          <w:p>
            <w:pPr>
              <w:pStyle w:val="8"/>
              <w:spacing w:before="91"/>
              <w:ind w:left="13"/>
              <w:rPr>
                <w:b/>
                <w:sz w:val="21"/>
              </w:rPr>
            </w:pPr>
            <w:r>
              <w:rPr>
                <w:b/>
                <w:sz w:val="21"/>
              </w:rPr>
              <w:t xml:space="preserve">《非上市公众公司收购管理办法》（证监会令第 </w:t>
            </w:r>
            <w:r>
              <w:rPr>
                <w:rFonts w:ascii="Times New Roman" w:eastAsia="Times New Roman"/>
                <w:b/>
                <w:sz w:val="21"/>
              </w:rPr>
              <w:t xml:space="preserve">102 </w:t>
            </w:r>
            <w:r>
              <w:rPr>
                <w:b/>
                <w:sz w:val="21"/>
              </w:rPr>
              <w:t>号）</w:t>
            </w:r>
          </w:p>
          <w:p>
            <w:pPr>
              <w:pStyle w:val="8"/>
              <w:spacing w:before="91" w:line="321" w:lineRule="auto"/>
              <w:ind w:left="23" w:right="10" w:firstLine="439"/>
              <w:rPr>
                <w:sz w:val="21"/>
              </w:rPr>
            </w:pPr>
            <w:r>
              <w:rPr>
                <w:spacing w:val="-3"/>
                <w:sz w:val="21"/>
              </w:rPr>
              <w:t>第六条 进行公众公司收购，收购人及其实际控制人应当具有良好的诚信记录，收购人及其实际控制人</w:t>
            </w:r>
            <w:r>
              <w:rPr>
                <w:spacing w:val="-3"/>
                <w:w w:val="95"/>
                <w:sz w:val="21"/>
              </w:rPr>
              <w:t>为法人的，应当具有健全的公司治理机制。任何人不得利用公众公司收购损害被收购公司及其股东的合法权</w:t>
            </w:r>
            <w:r>
              <w:rPr>
                <w:spacing w:val="-3"/>
                <w:sz w:val="21"/>
              </w:rPr>
              <w:t>益。有下列情形之一的，不得收购公众公司：</w:t>
            </w:r>
          </w:p>
          <w:p>
            <w:pPr>
              <w:pStyle w:val="8"/>
              <w:spacing w:line="267" w:lineRule="exact"/>
              <w:ind w:left="462"/>
              <w:rPr>
                <w:sz w:val="21"/>
              </w:rPr>
            </w:pPr>
            <w:r>
              <w:rPr>
                <w:sz w:val="21"/>
              </w:rPr>
              <w:t xml:space="preserve">（二）收购人最近 </w:t>
            </w:r>
            <w:r>
              <w:rPr>
                <w:rFonts w:ascii="Times New Roman" w:eastAsia="Times New Roman"/>
                <w:sz w:val="21"/>
              </w:rPr>
              <w:t xml:space="preserve">2 </w:t>
            </w:r>
            <w:r>
              <w:rPr>
                <w:sz w:val="21"/>
              </w:rPr>
              <w:t>年有重大违法行为或者涉嫌有重大违法行为。</w:t>
            </w:r>
          </w:p>
          <w:p>
            <w:pPr>
              <w:pStyle w:val="8"/>
              <w:spacing w:before="91"/>
              <w:ind w:left="13"/>
              <w:rPr>
                <w:b/>
                <w:sz w:val="21"/>
              </w:rPr>
            </w:pPr>
            <w:r>
              <w:rPr>
                <w:b/>
                <w:sz w:val="21"/>
              </w:rPr>
              <w:t xml:space="preserve">《非上市公众公司重大资产重组管理办法》（证监会令第 </w:t>
            </w:r>
            <w:r>
              <w:rPr>
                <w:rFonts w:ascii="Times New Roman" w:eastAsia="Times New Roman"/>
                <w:b/>
                <w:sz w:val="21"/>
              </w:rPr>
              <w:t xml:space="preserve">103 </w:t>
            </w:r>
            <w:r>
              <w:rPr>
                <w:b/>
                <w:sz w:val="21"/>
              </w:rPr>
              <w:t>号）</w:t>
            </w:r>
          </w:p>
          <w:p>
            <w:pPr>
              <w:pStyle w:val="8"/>
              <w:spacing w:before="91" w:line="321" w:lineRule="auto"/>
              <w:ind w:left="13" w:right="5" w:firstLine="420"/>
              <w:jc w:val="both"/>
              <w:rPr>
                <w:sz w:val="21"/>
              </w:rPr>
            </w:pPr>
            <w:r>
              <w:rPr>
                <w:spacing w:val="-10"/>
                <w:sz w:val="21"/>
              </w:rPr>
              <w:t>第五条 公众公司的董事、监事和高级管理人员在重大资产重组中，应当诚实守信、勤勉尽责，维护公众公司资产的安全，保护公众公司和全体股东的合法权益。</w:t>
            </w:r>
          </w:p>
          <w:p>
            <w:pPr>
              <w:pStyle w:val="8"/>
              <w:spacing w:line="321" w:lineRule="auto"/>
              <w:ind w:left="13" w:right="5" w:firstLine="420"/>
              <w:jc w:val="both"/>
              <w:rPr>
                <w:sz w:val="21"/>
              </w:rPr>
            </w:pPr>
            <w:r>
              <w:rPr>
                <w:spacing w:val="-7"/>
                <w:sz w:val="21"/>
              </w:rPr>
              <w:t>第二十七条 全国股份转让系统应当督促为公众公司提供服务的独立财务顾问诚实守信、勤勉尽责，发现独立财务顾问有违反法律、行政法规和中国证监会规定行为的，应当向中国证监会报告，并采取相应的自律监管措施。</w:t>
            </w:r>
          </w:p>
          <w:p>
            <w:pPr>
              <w:pStyle w:val="8"/>
              <w:spacing w:line="267" w:lineRule="exact"/>
              <w:ind w:left="13"/>
              <w:jc w:val="both"/>
              <w:rPr>
                <w:b/>
                <w:sz w:val="21"/>
              </w:rPr>
            </w:pPr>
            <w:r>
              <w:rPr>
                <w:b/>
                <w:sz w:val="21"/>
              </w:rPr>
              <w:t xml:space="preserve">《证券投资基金销售管理办法》（证监会令第 </w:t>
            </w:r>
            <w:r>
              <w:rPr>
                <w:rFonts w:ascii="Times New Roman" w:eastAsia="Times New Roman"/>
                <w:b/>
                <w:sz w:val="21"/>
              </w:rPr>
              <w:t xml:space="preserve">91 </w:t>
            </w:r>
            <w:r>
              <w:rPr>
                <w:b/>
                <w:sz w:val="21"/>
              </w:rPr>
              <w:t>号）</w:t>
            </w:r>
          </w:p>
          <w:p>
            <w:pPr>
              <w:pStyle w:val="8"/>
              <w:spacing w:before="89" w:line="321" w:lineRule="auto"/>
              <w:ind w:left="13" w:right="5" w:firstLine="420"/>
              <w:jc w:val="both"/>
              <w:rPr>
                <w:sz w:val="21"/>
              </w:rPr>
            </w:pPr>
            <w:r>
              <w:rPr>
                <w:spacing w:val="-8"/>
                <w:sz w:val="21"/>
              </w:rPr>
              <w:t>第十六条 独立基金销售机构以有限责任公司形式设立的，其股东可以是企业法人或者自然人。企业法人参股独立基金销售机构，应当具备以下条件：</w:t>
            </w:r>
          </w:p>
          <w:p>
            <w:pPr>
              <w:pStyle w:val="8"/>
              <w:spacing w:line="268" w:lineRule="exact"/>
              <w:ind w:left="433"/>
              <w:jc w:val="both"/>
              <w:rPr>
                <w:sz w:val="21"/>
              </w:rPr>
            </w:pPr>
            <w:r>
              <w:rPr>
                <w:sz w:val="21"/>
              </w:rPr>
              <w:t xml:space="preserve">（二）最近 </w:t>
            </w:r>
            <w:r>
              <w:rPr>
                <w:rFonts w:ascii="Times New Roman" w:eastAsia="Times New Roman"/>
                <w:sz w:val="21"/>
              </w:rPr>
              <w:t xml:space="preserve">3 </w:t>
            </w:r>
            <w:r>
              <w:rPr>
                <w:sz w:val="21"/>
              </w:rPr>
              <w:t>年没有受到刑事处罚；</w:t>
            </w:r>
          </w:p>
        </w:tc>
        <w:tc>
          <w:tcPr>
            <w:tcW w:w="1979" w:type="dxa"/>
          </w:tcPr>
          <w:p>
            <w:pPr>
              <w:pStyle w:val="8"/>
              <w:rPr>
                <w:rFonts w:ascii="Times New Roman"/>
                <w:sz w:val="20"/>
              </w:rPr>
            </w:pPr>
          </w:p>
        </w:tc>
      </w:tr>
    </w:tbl>
    <w:p>
      <w:pPr>
        <w:spacing w:after="0"/>
        <w:rPr>
          <w:rFonts w:ascii="Times New Roman"/>
          <w:sz w:val="20"/>
        </w:rPr>
        <w:sectPr>
          <w:pgSz w:w="16840" w:h="11910" w:orient="landscape"/>
          <w:pgMar w:top="1100" w:right="960" w:bottom="1160" w:left="1700" w:header="0" w:footer="979" w:gutter="0"/>
        </w:sectPr>
      </w:pPr>
    </w:p>
    <w:p>
      <w:pPr>
        <w:pStyle w:val="3"/>
        <w:rPr>
          <w:rFonts w:ascii="Times New Roman"/>
          <w:sz w:val="29"/>
        </w:rPr>
      </w:pPr>
    </w:p>
    <w:tbl>
      <w:tblPr>
        <w:tblStyle w:val="4"/>
        <w:tblW w:w="0" w:type="auto"/>
        <w:tblInd w:w="34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43"/>
        <w:gridCol w:w="9915"/>
        <w:gridCol w:w="197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 w:hRule="atLeast"/>
        </w:trPr>
        <w:tc>
          <w:tcPr>
            <w:tcW w:w="1743" w:type="dxa"/>
          </w:tcPr>
          <w:p>
            <w:pPr>
              <w:pStyle w:val="8"/>
              <w:spacing w:before="63" w:line="438" w:lineRule="exact"/>
              <w:ind w:left="271"/>
              <w:rPr>
                <w:rFonts w:hint="eastAsia" w:ascii="Arial Unicode MS" w:eastAsia="Arial Unicode MS"/>
                <w:sz w:val="30"/>
              </w:rPr>
            </w:pPr>
            <w:r>
              <w:rPr>
                <w:rFonts w:hint="eastAsia" w:ascii="Arial Unicode MS" w:eastAsia="Arial Unicode MS"/>
                <w:sz w:val="30"/>
              </w:rPr>
              <w:t>惩戒措施</w:t>
            </w:r>
          </w:p>
        </w:tc>
        <w:tc>
          <w:tcPr>
            <w:tcW w:w="9915" w:type="dxa"/>
          </w:tcPr>
          <w:p>
            <w:pPr>
              <w:pStyle w:val="8"/>
              <w:spacing w:line="502" w:lineRule="exact"/>
              <w:ind w:left="3886" w:right="3878"/>
              <w:jc w:val="center"/>
              <w:rPr>
                <w:rFonts w:hint="eastAsia" w:ascii="Arial Unicode MS" w:eastAsia="Arial Unicode MS"/>
                <w:sz w:val="30"/>
              </w:rPr>
            </w:pPr>
            <w:r>
              <w:rPr>
                <w:rFonts w:hint="eastAsia" w:ascii="Arial Unicode MS" w:eastAsia="Arial Unicode MS"/>
                <w:sz w:val="30"/>
              </w:rPr>
              <w:t>法律及政策依据</w:t>
            </w:r>
          </w:p>
        </w:tc>
        <w:tc>
          <w:tcPr>
            <w:tcW w:w="1979" w:type="dxa"/>
          </w:tcPr>
          <w:p>
            <w:pPr>
              <w:pStyle w:val="8"/>
              <w:spacing w:line="502" w:lineRule="exact"/>
              <w:ind w:left="387"/>
              <w:rPr>
                <w:rFonts w:hint="eastAsia" w:ascii="Arial Unicode MS" w:eastAsia="Arial Unicode MS"/>
                <w:sz w:val="30"/>
              </w:rPr>
            </w:pPr>
            <w:r>
              <w:rPr>
                <w:rFonts w:hint="eastAsia" w:ascii="Arial Unicode MS" w:eastAsia="Arial Unicode MS"/>
                <w:sz w:val="30"/>
              </w:rPr>
              <w:t>实施部门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9" w:hRule="atLeast"/>
        </w:trPr>
        <w:tc>
          <w:tcPr>
            <w:tcW w:w="1743" w:type="dxa"/>
          </w:tcPr>
          <w:p>
            <w:pPr>
              <w:pStyle w:val="8"/>
              <w:rPr>
                <w:rFonts w:ascii="Times New Roman"/>
                <w:sz w:val="20"/>
              </w:rPr>
            </w:pPr>
          </w:p>
        </w:tc>
        <w:tc>
          <w:tcPr>
            <w:tcW w:w="9915" w:type="dxa"/>
          </w:tcPr>
          <w:p>
            <w:pPr>
              <w:pStyle w:val="8"/>
              <w:spacing w:before="60"/>
              <w:ind w:left="433"/>
              <w:rPr>
                <w:sz w:val="21"/>
              </w:rPr>
            </w:pPr>
            <w:r>
              <w:rPr>
                <w:sz w:val="21"/>
              </w:rPr>
              <w:t xml:space="preserve">（三）最近 </w:t>
            </w:r>
            <w:r>
              <w:rPr>
                <w:rFonts w:ascii="Times New Roman" w:eastAsia="Times New Roman"/>
                <w:sz w:val="21"/>
              </w:rPr>
              <w:t xml:space="preserve">3 </w:t>
            </w:r>
            <w:r>
              <w:rPr>
                <w:sz w:val="21"/>
              </w:rPr>
              <w:t>年没有受到金融监管、行业监管、工商、税务等行政管理部门的行政处罚；</w:t>
            </w:r>
          </w:p>
          <w:p>
            <w:pPr>
              <w:pStyle w:val="8"/>
              <w:spacing w:before="91" w:line="321" w:lineRule="auto"/>
              <w:ind w:left="433" w:right="3945"/>
              <w:rPr>
                <w:sz w:val="21"/>
              </w:rPr>
            </w:pPr>
            <w:r>
              <w:rPr>
                <w:sz w:val="21"/>
              </w:rPr>
              <w:t xml:space="preserve">（四）最近 </w:t>
            </w:r>
            <w:r>
              <w:rPr>
                <w:rFonts w:ascii="Times New Roman" w:eastAsia="Times New Roman"/>
                <w:sz w:val="21"/>
              </w:rPr>
              <w:t xml:space="preserve">3 </w:t>
            </w:r>
            <w:r>
              <w:rPr>
                <w:sz w:val="21"/>
              </w:rPr>
              <w:t>年在自律管理、商业银行等机构无不良记录。自然人参股独立基金销售机构，应当具备以下条件：</w:t>
            </w:r>
          </w:p>
          <w:p>
            <w:pPr>
              <w:pStyle w:val="8"/>
              <w:spacing w:line="268" w:lineRule="exact"/>
              <w:ind w:left="433"/>
              <w:rPr>
                <w:sz w:val="21"/>
              </w:rPr>
            </w:pPr>
            <w:r>
              <w:rPr>
                <w:sz w:val="21"/>
              </w:rPr>
              <w:t xml:space="preserve">（一）最近 </w:t>
            </w:r>
            <w:r>
              <w:rPr>
                <w:rFonts w:ascii="Times New Roman" w:eastAsia="Times New Roman"/>
                <w:sz w:val="21"/>
              </w:rPr>
              <w:t xml:space="preserve">3 </w:t>
            </w:r>
            <w:r>
              <w:rPr>
                <w:sz w:val="21"/>
              </w:rPr>
              <w:t>年没有受到刑事处罚；</w:t>
            </w:r>
          </w:p>
          <w:p>
            <w:pPr>
              <w:pStyle w:val="8"/>
              <w:spacing w:before="91"/>
              <w:ind w:left="433"/>
              <w:rPr>
                <w:sz w:val="21"/>
              </w:rPr>
            </w:pPr>
            <w:r>
              <w:rPr>
                <w:sz w:val="21"/>
              </w:rPr>
              <w:t xml:space="preserve">（二）最近 </w:t>
            </w:r>
            <w:r>
              <w:rPr>
                <w:rFonts w:ascii="Times New Roman" w:eastAsia="Times New Roman"/>
                <w:sz w:val="21"/>
              </w:rPr>
              <w:t xml:space="preserve">3 </w:t>
            </w:r>
            <w:r>
              <w:rPr>
                <w:sz w:val="21"/>
              </w:rPr>
              <w:t>年没有受到金融监管、行业监管、工商、税务等行政管理部门的行政处罚；</w:t>
            </w:r>
          </w:p>
          <w:p>
            <w:pPr>
              <w:pStyle w:val="8"/>
              <w:spacing w:before="91"/>
              <w:ind w:left="433"/>
              <w:rPr>
                <w:sz w:val="21"/>
              </w:rPr>
            </w:pPr>
            <w:r>
              <w:rPr>
                <w:sz w:val="21"/>
              </w:rPr>
              <w:t>（三）在自律管理、商业银行等机构无不良记录；</w:t>
            </w:r>
          </w:p>
          <w:p>
            <w:pPr>
              <w:pStyle w:val="8"/>
              <w:spacing w:before="91"/>
              <w:ind w:left="433"/>
              <w:rPr>
                <w:sz w:val="21"/>
              </w:rPr>
            </w:pPr>
            <w:r>
              <w:rPr>
                <w:sz w:val="21"/>
              </w:rPr>
              <w:t xml:space="preserve">（六）最近 </w:t>
            </w:r>
            <w:r>
              <w:rPr>
                <w:rFonts w:ascii="Times New Roman" w:eastAsia="Times New Roman"/>
                <w:sz w:val="21"/>
              </w:rPr>
              <w:t xml:space="preserve">3 </w:t>
            </w:r>
            <w:r>
              <w:rPr>
                <w:sz w:val="21"/>
              </w:rPr>
              <w:t>年无其他重大不良诚信记录。</w:t>
            </w:r>
          </w:p>
          <w:p>
            <w:pPr>
              <w:pStyle w:val="8"/>
              <w:spacing w:before="91"/>
              <w:ind w:left="433"/>
              <w:rPr>
                <w:sz w:val="21"/>
              </w:rPr>
            </w:pPr>
            <w:r>
              <w:rPr>
                <w:sz w:val="21"/>
              </w:rPr>
              <w:t>第十七条 独立基金销售机构以合伙企业形式设立的，其合伙人应当具备以下条件：</w:t>
            </w:r>
          </w:p>
          <w:p>
            <w:pPr>
              <w:pStyle w:val="8"/>
              <w:spacing w:before="91"/>
              <w:ind w:left="433"/>
              <w:rPr>
                <w:sz w:val="21"/>
              </w:rPr>
            </w:pPr>
            <w:r>
              <w:rPr>
                <w:sz w:val="21"/>
              </w:rPr>
              <w:t xml:space="preserve">（二）最近 </w:t>
            </w:r>
            <w:r>
              <w:rPr>
                <w:rFonts w:ascii="Times New Roman" w:eastAsia="Times New Roman"/>
                <w:sz w:val="21"/>
              </w:rPr>
              <w:t xml:space="preserve">3 </w:t>
            </w:r>
            <w:r>
              <w:rPr>
                <w:sz w:val="21"/>
              </w:rPr>
              <w:t>年没有受到刑事处罚；</w:t>
            </w:r>
          </w:p>
          <w:p>
            <w:pPr>
              <w:pStyle w:val="8"/>
              <w:spacing w:before="91"/>
              <w:ind w:left="433"/>
              <w:rPr>
                <w:sz w:val="21"/>
              </w:rPr>
            </w:pPr>
            <w:r>
              <w:rPr>
                <w:sz w:val="21"/>
              </w:rPr>
              <w:t>（四）在自律管理、商业银行等机构无不良记录；</w:t>
            </w:r>
          </w:p>
          <w:p>
            <w:pPr>
              <w:pStyle w:val="8"/>
              <w:spacing w:before="91"/>
              <w:ind w:left="462"/>
              <w:rPr>
                <w:sz w:val="21"/>
              </w:rPr>
            </w:pPr>
            <w:r>
              <w:rPr>
                <w:sz w:val="21"/>
              </w:rPr>
              <w:t xml:space="preserve">（六）最近 </w:t>
            </w:r>
            <w:r>
              <w:rPr>
                <w:rFonts w:ascii="Times New Roman" w:eastAsia="Times New Roman"/>
                <w:sz w:val="21"/>
              </w:rPr>
              <w:t xml:space="preserve">3 </w:t>
            </w:r>
            <w:r>
              <w:rPr>
                <w:sz w:val="21"/>
              </w:rPr>
              <w:t>年无其他重大不良诚信记录。</w:t>
            </w:r>
          </w:p>
        </w:tc>
        <w:tc>
          <w:tcPr>
            <w:tcW w:w="1979" w:type="dxa"/>
          </w:tcPr>
          <w:p>
            <w:pPr>
              <w:pStyle w:val="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0" w:hRule="atLeast"/>
        </w:trPr>
        <w:tc>
          <w:tcPr>
            <w:tcW w:w="1743" w:type="dxa"/>
          </w:tcPr>
          <w:p>
            <w:pPr>
              <w:pStyle w:val="8"/>
              <w:spacing w:before="56" w:line="321" w:lineRule="auto"/>
              <w:ind w:left="14" w:right="38"/>
              <w:rPr>
                <w:sz w:val="21"/>
              </w:rPr>
            </w:pPr>
            <w:r>
              <w:rPr>
                <w:rFonts w:ascii="Times New Roman" w:eastAsia="Times New Roman"/>
                <w:sz w:val="21"/>
              </w:rPr>
              <w:t xml:space="preserve">43. </w:t>
            </w:r>
            <w:r>
              <w:rPr>
                <w:position w:val="1"/>
                <w:sz w:val="21"/>
              </w:rPr>
              <w:t>对其依法采取</w:t>
            </w:r>
            <w:r>
              <w:rPr>
                <w:sz w:val="21"/>
              </w:rPr>
              <w:t>责令改正、暂停相关业务、停业整顿关闭网站、吊销相关业务许可证或者吊销营业执照等措</w:t>
            </w:r>
          </w:p>
          <w:p>
            <w:pPr>
              <w:pStyle w:val="8"/>
              <w:spacing w:line="266" w:lineRule="exact"/>
              <w:ind w:left="14"/>
              <w:rPr>
                <w:sz w:val="21"/>
              </w:rPr>
            </w:pPr>
            <w:r>
              <w:rPr>
                <w:sz w:val="21"/>
              </w:rPr>
              <w:t>施。</w:t>
            </w:r>
          </w:p>
        </w:tc>
        <w:tc>
          <w:tcPr>
            <w:tcW w:w="9915" w:type="dxa"/>
          </w:tcPr>
          <w:p>
            <w:pPr>
              <w:pStyle w:val="8"/>
              <w:rPr>
                <w:rFonts w:ascii="Times New Roman"/>
                <w:sz w:val="22"/>
              </w:rPr>
            </w:pPr>
          </w:p>
          <w:p>
            <w:pPr>
              <w:pStyle w:val="8"/>
              <w:spacing w:before="168"/>
              <w:ind w:left="13"/>
              <w:rPr>
                <w:sz w:val="21"/>
              </w:rPr>
            </w:pPr>
            <w:r>
              <w:rPr>
                <w:sz w:val="21"/>
              </w:rPr>
              <w:t>《</w:t>
            </w:r>
            <w:r>
              <w:rPr>
                <w:b/>
                <w:sz w:val="21"/>
              </w:rPr>
              <w:t>中共中办公厅 国务院办公厅</w:t>
            </w:r>
            <w:r>
              <w:rPr>
                <w:sz w:val="21"/>
              </w:rPr>
              <w:t>关于进一步加强科研诚信建设的若干意见》（厅发〔</w:t>
            </w:r>
            <w:r>
              <w:rPr>
                <w:rFonts w:ascii="Times New Roman" w:eastAsia="Times New Roman"/>
                <w:sz w:val="21"/>
              </w:rPr>
              <w:t>2018</w:t>
            </w:r>
            <w:r>
              <w:rPr>
                <w:sz w:val="21"/>
              </w:rPr>
              <w:t>〕</w:t>
            </w:r>
            <w:r>
              <w:rPr>
                <w:rFonts w:ascii="Times New Roman" w:eastAsia="Times New Roman"/>
                <w:b/>
                <w:sz w:val="21"/>
              </w:rPr>
              <w:t xml:space="preserve">23 </w:t>
            </w:r>
            <w:r>
              <w:rPr>
                <w:sz w:val="21"/>
              </w:rPr>
              <w:t>号）</w:t>
            </w:r>
          </w:p>
          <w:p>
            <w:pPr>
              <w:pStyle w:val="8"/>
              <w:tabs>
                <w:tab w:val="left" w:pos="433"/>
              </w:tabs>
              <w:spacing w:before="91"/>
              <w:ind w:left="-121"/>
              <w:rPr>
                <w:sz w:val="21"/>
              </w:rPr>
            </w:pPr>
            <w:r>
              <w:rPr>
                <w:sz w:val="21"/>
              </w:rPr>
              <w:t>、</w:t>
            </w:r>
            <w:r>
              <w:rPr>
                <w:sz w:val="21"/>
              </w:rPr>
              <w:tab/>
            </w:r>
            <w:r>
              <w:rPr>
                <w:sz w:val="21"/>
              </w:rPr>
              <w:t>六、严肃查处严重违背科研诚信要求的行为</w:t>
            </w:r>
          </w:p>
          <w:p>
            <w:pPr>
              <w:pStyle w:val="8"/>
              <w:spacing w:before="91"/>
              <w:ind w:left="433"/>
              <w:rPr>
                <w:sz w:val="21"/>
              </w:rPr>
            </w:pPr>
            <w:r>
              <w:rPr>
                <w:sz w:val="21"/>
              </w:rPr>
              <w:t>（十九）切实履行调查处理责任。</w:t>
            </w:r>
          </w:p>
          <w:p>
            <w:pPr>
              <w:pStyle w:val="8"/>
              <w:spacing w:before="91" w:line="321" w:lineRule="auto"/>
              <w:ind w:left="13" w:right="6" w:firstLine="420"/>
              <w:rPr>
                <w:sz w:val="21"/>
              </w:rPr>
            </w:pPr>
            <w:r>
              <w:rPr>
                <w:sz w:val="21"/>
              </w:rPr>
              <w:t>对从事学术论文买卖、代写代投以及伪造、虚构、篡改研究数据等违法违规活动的中介服务机构，市场监督管理、公安等部门应主动开展调查，严肃惩处。</w:t>
            </w:r>
          </w:p>
        </w:tc>
        <w:tc>
          <w:tcPr>
            <w:tcW w:w="1979" w:type="dxa"/>
          </w:tcPr>
          <w:p>
            <w:pPr>
              <w:pStyle w:val="8"/>
              <w:rPr>
                <w:rFonts w:ascii="Times New Roman"/>
                <w:sz w:val="20"/>
              </w:rPr>
            </w:pPr>
          </w:p>
          <w:p>
            <w:pPr>
              <w:pStyle w:val="8"/>
              <w:rPr>
                <w:rFonts w:ascii="Times New Roman"/>
                <w:sz w:val="20"/>
              </w:rPr>
            </w:pPr>
          </w:p>
          <w:p>
            <w:pPr>
              <w:pStyle w:val="8"/>
              <w:rPr>
                <w:rFonts w:ascii="Times New Roman"/>
                <w:sz w:val="20"/>
              </w:rPr>
            </w:pPr>
          </w:p>
          <w:p>
            <w:pPr>
              <w:pStyle w:val="8"/>
              <w:spacing w:before="6"/>
              <w:rPr>
                <w:rFonts w:ascii="Times New Roman"/>
                <w:sz w:val="23"/>
              </w:rPr>
            </w:pPr>
          </w:p>
          <w:p>
            <w:pPr>
              <w:pStyle w:val="8"/>
              <w:spacing w:line="321" w:lineRule="auto"/>
              <w:ind w:left="253" w:right="33" w:hanging="209"/>
              <w:rPr>
                <w:sz w:val="21"/>
              </w:rPr>
            </w:pPr>
            <w:r>
              <w:rPr>
                <w:sz w:val="21"/>
              </w:rPr>
              <w:t>公安部、市场监管总局、中央网信办</w:t>
            </w:r>
          </w:p>
        </w:tc>
      </w:tr>
    </w:tbl>
    <w:p/>
    <w:sectPr>
      <w:pgSz w:w="16840" w:h="11910" w:orient="landscape"/>
      <w:pgMar w:top="1100" w:right="960" w:bottom="1160" w:left="1700" w:header="0" w:footer="979"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Arial Unicode MS">
    <w:panose1 w:val="020B0604020202020204"/>
    <w:charset w:val="86"/>
    <w:family w:val="swiss"/>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48939520" behindDoc="1" locked="0" layoutInCell="1" allowOverlap="1">
              <wp:simplePos x="0" y="0"/>
              <wp:positionH relativeFrom="page">
                <wp:posOffset>3716020</wp:posOffset>
              </wp:positionH>
              <wp:positionV relativeFrom="page">
                <wp:posOffset>9879965</wp:posOffset>
              </wp:positionV>
              <wp:extent cx="127000" cy="19431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27000" cy="194310"/>
                      </a:xfrm>
                      <a:prstGeom prst="rect">
                        <a:avLst/>
                      </a:prstGeom>
                      <a:noFill/>
                      <a:ln>
                        <a:noFill/>
                      </a:ln>
                    </wps:spPr>
                    <wps:txbx>
                      <w:txbxContent>
                        <w:p>
                          <w:pPr>
                            <w:spacing w:before="10"/>
                            <w:ind w:left="40" w:right="0" w:firstLine="0"/>
                            <w:jc w:val="left"/>
                            <w:rPr>
                              <w:rFonts w:ascii="Times New Roman"/>
                              <w:sz w:val="24"/>
                            </w:rPr>
                          </w:pPr>
                          <w:r>
                            <w:fldChar w:fldCharType="begin"/>
                          </w:r>
                          <w:r>
                            <w:rPr>
                              <w:rFonts w:ascii="Times New Roman"/>
                              <w:sz w:val="24"/>
                            </w:rPr>
                            <w:instrText xml:space="preserve"> PAGE </w:instrText>
                          </w:r>
                          <w:r>
                            <w:fldChar w:fldCharType="separate"/>
                          </w:r>
                          <w:r>
                            <w:t>1</w:t>
                          </w:r>
                          <w:r>
                            <w:fldChar w:fldCharType="end"/>
                          </w:r>
                        </w:p>
                      </w:txbxContent>
                    </wps:txbx>
                    <wps:bodyPr lIns="0" tIns="0" rIns="0" bIns="0" upright="1"/>
                  </wps:wsp>
                </a:graphicData>
              </a:graphic>
            </wp:anchor>
          </w:drawing>
        </mc:Choice>
        <mc:Fallback>
          <w:pict>
            <v:shape id="文本框 1" o:spid="_x0000_s1026" o:spt="202" type="#_x0000_t202" style="position:absolute;left:0pt;margin-left:292.6pt;margin-top:777.95pt;height:15.3pt;width:10pt;mso-position-horizontal-relative:page;mso-position-vertical-relative:page;z-index:-254376960;mso-width-relative:page;mso-height-relative:page;" filled="f" stroked="f" coordsize="21600,21600" o:gfxdata="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KtZnpfZAAAADQEAAA8AAAAAAAAA&#10;AQAgAAAAIgAAAGRycy9kb3ducmV2LnhtbFBLAQIUABQAAAAIAIdO4kAyn4PIngEAACMDAAAOAAAA&#10;AAAAAAEAIAAAACgBAABkcnMvZTJvRG9jLnhtbFBLBQYAAAAABgAGAFkBAAA4BQAAAAA=&#10;">
              <v:fill on="f" focussize="0,0"/>
              <v:stroke on="f"/>
              <v:imagedata o:title=""/>
              <o:lock v:ext="edit" aspectratio="f"/>
              <v:textbox inset="0mm,0mm,0mm,0mm">
                <w:txbxContent>
                  <w:p>
                    <w:pPr>
                      <w:spacing w:before="10"/>
                      <w:ind w:left="40" w:right="0" w:firstLine="0"/>
                      <w:jc w:val="left"/>
                      <w:rPr>
                        <w:rFonts w:ascii="Times New Roman"/>
                        <w:sz w:val="24"/>
                      </w:rPr>
                    </w:pPr>
                    <w:r>
                      <w:fldChar w:fldCharType="begin"/>
                    </w:r>
                    <w:r>
                      <w:rPr>
                        <w:rFonts w:ascii="Times New Roman"/>
                        <w:sz w:val="24"/>
                      </w:rPr>
                      <w:instrText xml:space="preserve"> PAGE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48940544" behindDoc="1" locked="0" layoutInCell="1" allowOverlap="1">
              <wp:simplePos x="0" y="0"/>
              <wp:positionH relativeFrom="page">
                <wp:posOffset>5282565</wp:posOffset>
              </wp:positionH>
              <wp:positionV relativeFrom="page">
                <wp:posOffset>6748145</wp:posOffset>
              </wp:positionV>
              <wp:extent cx="127000" cy="194310"/>
              <wp:effectExtent l="0" t="0" r="0" b="0"/>
              <wp:wrapNone/>
              <wp:docPr id="4" name="文本框 2"/>
              <wp:cNvGraphicFramePr/>
              <a:graphic xmlns:a="http://schemas.openxmlformats.org/drawingml/2006/main">
                <a:graphicData uri="http://schemas.microsoft.com/office/word/2010/wordprocessingShape">
                  <wps:wsp>
                    <wps:cNvSpPr txBox="1"/>
                    <wps:spPr>
                      <a:xfrm>
                        <a:off x="0" y="0"/>
                        <a:ext cx="127000" cy="194310"/>
                      </a:xfrm>
                      <a:prstGeom prst="rect">
                        <a:avLst/>
                      </a:prstGeom>
                      <a:noFill/>
                      <a:ln>
                        <a:noFill/>
                      </a:ln>
                    </wps:spPr>
                    <wps:txbx>
                      <w:txbxContent>
                        <w:p>
                          <w:pPr>
                            <w:spacing w:before="10"/>
                            <w:ind w:left="40" w:right="0" w:firstLine="0"/>
                            <w:jc w:val="left"/>
                            <w:rPr>
                              <w:rFonts w:ascii="Times New Roman"/>
                              <w:sz w:val="24"/>
                            </w:rPr>
                          </w:pPr>
                          <w:r>
                            <w:fldChar w:fldCharType="begin"/>
                          </w:r>
                          <w:r>
                            <w:rPr>
                              <w:rFonts w:ascii="Times New Roman"/>
                              <w:sz w:val="24"/>
                            </w:rPr>
                            <w:instrText xml:space="preserve"> PAGE </w:instrText>
                          </w:r>
                          <w:r>
                            <w:fldChar w:fldCharType="separate"/>
                          </w:r>
                          <w:r>
                            <w:t>9</w:t>
                          </w:r>
                          <w:r>
                            <w:fldChar w:fldCharType="end"/>
                          </w:r>
                        </w:p>
                      </w:txbxContent>
                    </wps:txbx>
                    <wps:bodyPr lIns="0" tIns="0" rIns="0" bIns="0" upright="1"/>
                  </wps:wsp>
                </a:graphicData>
              </a:graphic>
            </wp:anchor>
          </w:drawing>
        </mc:Choice>
        <mc:Fallback>
          <w:pict>
            <v:shape id="文本框 2" o:spid="_x0000_s1026" o:spt="202" type="#_x0000_t202" style="position:absolute;left:0pt;margin-left:415.95pt;margin-top:531.35pt;height:15.3pt;width:10pt;mso-position-horizontal-relative:page;mso-position-vertical-relative:page;z-index:-254375936;mso-width-relative:page;mso-height-relative:page;" filled="f" stroked="f" coordsize="21600,21600" o:gfxdata="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AWu7Fk2gAAAA0BAAAPAAAAAAAA&#10;AAEAIAAAACIAAABkcnMvZG93bnJldi54bWxQSwECFAAUAAAACACHTuJAgptlhp4BAAAjAwAADgAA&#10;AAAAAAABACAAAAApAQAAZHJzL2Uyb0RvYy54bWxQSwUGAAAAAAYABgBZAQAAOQUAAAAA&#10;">
              <v:fill on="f" focussize="0,0"/>
              <v:stroke on="f"/>
              <v:imagedata o:title=""/>
              <o:lock v:ext="edit" aspectratio="f"/>
              <v:textbox inset="0mm,0mm,0mm,0mm">
                <w:txbxContent>
                  <w:p>
                    <w:pPr>
                      <w:spacing w:before="10"/>
                      <w:ind w:left="40" w:right="0" w:firstLine="0"/>
                      <w:jc w:val="left"/>
                      <w:rPr>
                        <w:rFonts w:ascii="Times New Roman"/>
                        <w:sz w:val="24"/>
                      </w:rPr>
                    </w:pPr>
                    <w:r>
                      <w:fldChar w:fldCharType="begin"/>
                    </w:r>
                    <w:r>
                      <w:rPr>
                        <w:rFonts w:ascii="Times New Roman"/>
                        <w:sz w:val="24"/>
                      </w:rPr>
                      <w:instrText xml:space="preserve"> PAGE </w:instrText>
                    </w:r>
                    <w:r>
                      <w:fldChar w:fldCharType="separate"/>
                    </w:r>
                    <w:r>
                      <w:t>9</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48941568" behindDoc="1" locked="0" layoutInCell="1" allowOverlap="1">
              <wp:simplePos x="0" y="0"/>
              <wp:positionH relativeFrom="page">
                <wp:posOffset>5244465</wp:posOffset>
              </wp:positionH>
              <wp:positionV relativeFrom="page">
                <wp:posOffset>6748145</wp:posOffset>
              </wp:positionV>
              <wp:extent cx="203200" cy="194310"/>
              <wp:effectExtent l="0" t="0" r="0" b="0"/>
              <wp:wrapNone/>
              <wp:docPr id="5" name="文本框 3"/>
              <wp:cNvGraphicFramePr/>
              <a:graphic xmlns:a="http://schemas.openxmlformats.org/drawingml/2006/main">
                <a:graphicData uri="http://schemas.microsoft.com/office/word/2010/wordprocessingShape">
                  <wps:wsp>
                    <wps:cNvSpPr txBox="1"/>
                    <wps:spPr>
                      <a:xfrm>
                        <a:off x="0" y="0"/>
                        <a:ext cx="203200" cy="194310"/>
                      </a:xfrm>
                      <a:prstGeom prst="rect">
                        <a:avLst/>
                      </a:prstGeom>
                      <a:noFill/>
                      <a:ln>
                        <a:noFill/>
                      </a:ln>
                    </wps:spPr>
                    <wps:txbx>
                      <w:txbxContent>
                        <w:p>
                          <w:pPr>
                            <w:spacing w:before="10"/>
                            <w:ind w:left="40" w:right="0" w:firstLine="0"/>
                            <w:jc w:val="left"/>
                            <w:rPr>
                              <w:rFonts w:ascii="Times New Roman"/>
                              <w:sz w:val="24"/>
                            </w:rPr>
                          </w:pPr>
                          <w:r>
                            <w:fldChar w:fldCharType="begin"/>
                          </w:r>
                          <w:r>
                            <w:rPr>
                              <w:rFonts w:ascii="Times New Roman"/>
                              <w:sz w:val="24"/>
                            </w:rPr>
                            <w:instrText xml:space="preserve"> PAGE </w:instrText>
                          </w:r>
                          <w:r>
                            <w:fldChar w:fldCharType="separate"/>
                          </w:r>
                          <w:r>
                            <w:t>10</w:t>
                          </w:r>
                          <w:r>
                            <w:fldChar w:fldCharType="end"/>
                          </w:r>
                        </w:p>
                      </w:txbxContent>
                    </wps:txbx>
                    <wps:bodyPr lIns="0" tIns="0" rIns="0" bIns="0" upright="1"/>
                  </wps:wsp>
                </a:graphicData>
              </a:graphic>
            </wp:anchor>
          </w:drawing>
        </mc:Choice>
        <mc:Fallback>
          <w:pict>
            <v:shape id="文本框 3" o:spid="_x0000_s1026" o:spt="202" type="#_x0000_t202" style="position:absolute;left:0pt;margin-left:412.95pt;margin-top:531.35pt;height:15.3pt;width:16pt;mso-position-horizontal-relative:page;mso-position-vertical-relative:page;z-index:-254374912;mso-width-relative:page;mso-height-relative:page;" filled="f" stroked="f" coordsize="21600,21600" o:gfxdata="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BYXjE52gAAAA0BAAAPAAAAAAAA&#10;AAEAIAAAACIAAABkcnMvZG93bnJldi54bWxQSwECFAAUAAAACACHTuJAt+Ut7Z4BAAAjAwAADgAA&#10;AAAAAAABACAAAAApAQAAZHJzL2Uyb0RvYy54bWxQSwUGAAAAAAYABgBZAQAAOQUAAAAA&#10;">
              <v:fill on="f" focussize="0,0"/>
              <v:stroke on="f"/>
              <v:imagedata o:title=""/>
              <o:lock v:ext="edit" aspectratio="f"/>
              <v:textbox inset="0mm,0mm,0mm,0mm">
                <w:txbxContent>
                  <w:p>
                    <w:pPr>
                      <w:spacing w:before="10"/>
                      <w:ind w:left="40" w:right="0" w:firstLine="0"/>
                      <w:jc w:val="left"/>
                      <w:rPr>
                        <w:rFonts w:ascii="Times New Roman"/>
                        <w:sz w:val="24"/>
                      </w:rPr>
                    </w:pPr>
                    <w:r>
                      <w:fldChar w:fldCharType="begin"/>
                    </w:r>
                    <w:r>
                      <w:rPr>
                        <w:rFonts w:ascii="Times New Roman"/>
                        <w:sz w:val="24"/>
                      </w:rPr>
                      <w:instrText xml:space="preserve"> PAGE </w:instrText>
                    </w:r>
                    <w:r>
                      <w:fldChar w:fldCharType="separate"/>
                    </w:r>
                    <w:r>
                      <w:t>10</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48942592" behindDoc="1" locked="0" layoutInCell="1" allowOverlap="1">
              <wp:simplePos x="0" y="0"/>
              <wp:positionH relativeFrom="page">
                <wp:posOffset>5244465</wp:posOffset>
              </wp:positionH>
              <wp:positionV relativeFrom="page">
                <wp:posOffset>6748145</wp:posOffset>
              </wp:positionV>
              <wp:extent cx="203200" cy="194310"/>
              <wp:effectExtent l="0" t="0" r="0" b="0"/>
              <wp:wrapNone/>
              <wp:docPr id="6" name="文本框 4"/>
              <wp:cNvGraphicFramePr/>
              <a:graphic xmlns:a="http://schemas.openxmlformats.org/drawingml/2006/main">
                <a:graphicData uri="http://schemas.microsoft.com/office/word/2010/wordprocessingShape">
                  <wps:wsp>
                    <wps:cNvSpPr txBox="1"/>
                    <wps:spPr>
                      <a:xfrm>
                        <a:off x="0" y="0"/>
                        <a:ext cx="203200" cy="194310"/>
                      </a:xfrm>
                      <a:prstGeom prst="rect">
                        <a:avLst/>
                      </a:prstGeom>
                      <a:noFill/>
                      <a:ln>
                        <a:noFill/>
                      </a:ln>
                    </wps:spPr>
                    <wps:txbx>
                      <w:txbxContent>
                        <w:p>
                          <w:pPr>
                            <w:spacing w:before="10"/>
                            <w:ind w:left="40" w:right="0" w:firstLine="0"/>
                            <w:jc w:val="left"/>
                            <w:rPr>
                              <w:rFonts w:ascii="Times New Roman"/>
                              <w:sz w:val="24"/>
                            </w:rPr>
                          </w:pPr>
                          <w:r>
                            <w:fldChar w:fldCharType="begin"/>
                          </w:r>
                          <w:r>
                            <w:rPr>
                              <w:rFonts w:ascii="Times New Roman"/>
                              <w:sz w:val="24"/>
                            </w:rPr>
                            <w:instrText xml:space="preserve"> PAGE </w:instrText>
                          </w:r>
                          <w:r>
                            <w:fldChar w:fldCharType="separate"/>
                          </w:r>
                          <w:r>
                            <w:t>20</w:t>
                          </w:r>
                          <w:r>
                            <w:fldChar w:fldCharType="end"/>
                          </w:r>
                        </w:p>
                      </w:txbxContent>
                    </wps:txbx>
                    <wps:bodyPr lIns="0" tIns="0" rIns="0" bIns="0" upright="1"/>
                  </wps:wsp>
                </a:graphicData>
              </a:graphic>
            </wp:anchor>
          </w:drawing>
        </mc:Choice>
        <mc:Fallback>
          <w:pict>
            <v:shape id="文本框 4" o:spid="_x0000_s1026" o:spt="202" type="#_x0000_t202" style="position:absolute;left:0pt;margin-left:412.95pt;margin-top:531.35pt;height:15.3pt;width:16pt;mso-position-horizontal-relative:page;mso-position-vertical-relative:page;z-index:-254373888;mso-width-relative:page;mso-height-relative:page;" filled="f" stroked="f" coordsize="21600,21600" o:gfxdata="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WF4xOdoAAAANAQAADwAAAAAA&#10;AAABACAAAAAiAAAAZHJzL2Rvd25yZXYueG1sUEsBAhQAFAAAAAgAh07iQBAs/0KfAQAAIwMAAA4A&#10;AAAAAAAAAQAgAAAAKQEAAGRycy9lMm9Eb2MueG1sUEsFBgAAAAAGAAYAWQEAADoFAAAAAA==&#10;">
              <v:fill on="f" focussize="0,0"/>
              <v:stroke on="f"/>
              <v:imagedata o:title=""/>
              <o:lock v:ext="edit" aspectratio="f"/>
              <v:textbox inset="0mm,0mm,0mm,0mm">
                <w:txbxContent>
                  <w:p>
                    <w:pPr>
                      <w:spacing w:before="10"/>
                      <w:ind w:left="40" w:right="0" w:firstLine="0"/>
                      <w:jc w:val="left"/>
                      <w:rPr>
                        <w:rFonts w:ascii="Times New Roman"/>
                        <w:sz w:val="24"/>
                      </w:rPr>
                    </w:pPr>
                    <w:r>
                      <w:fldChar w:fldCharType="begin"/>
                    </w:r>
                    <w:r>
                      <w:rPr>
                        <w:rFonts w:ascii="Times New Roman"/>
                        <w:sz w:val="24"/>
                      </w:rPr>
                      <w:instrText xml:space="preserve"> PAGE </w:instrText>
                    </w:r>
                    <w:r>
                      <w:fldChar w:fldCharType="separate"/>
                    </w:r>
                    <w:r>
                      <w:t>20</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48943616" behindDoc="1" locked="0" layoutInCell="1" allowOverlap="1">
              <wp:simplePos x="0" y="0"/>
              <wp:positionH relativeFrom="page">
                <wp:posOffset>5244465</wp:posOffset>
              </wp:positionH>
              <wp:positionV relativeFrom="page">
                <wp:posOffset>6748145</wp:posOffset>
              </wp:positionV>
              <wp:extent cx="203200" cy="194310"/>
              <wp:effectExtent l="0" t="0" r="0" b="0"/>
              <wp:wrapNone/>
              <wp:docPr id="7" name="文本框 5"/>
              <wp:cNvGraphicFramePr/>
              <a:graphic xmlns:a="http://schemas.openxmlformats.org/drawingml/2006/main">
                <a:graphicData uri="http://schemas.microsoft.com/office/word/2010/wordprocessingShape">
                  <wps:wsp>
                    <wps:cNvSpPr txBox="1"/>
                    <wps:spPr>
                      <a:xfrm>
                        <a:off x="0" y="0"/>
                        <a:ext cx="203200" cy="194310"/>
                      </a:xfrm>
                      <a:prstGeom prst="rect">
                        <a:avLst/>
                      </a:prstGeom>
                      <a:noFill/>
                      <a:ln>
                        <a:noFill/>
                      </a:ln>
                    </wps:spPr>
                    <wps:txbx>
                      <w:txbxContent>
                        <w:p>
                          <w:pPr>
                            <w:spacing w:before="10"/>
                            <w:ind w:left="40" w:right="0" w:firstLine="0"/>
                            <w:jc w:val="left"/>
                            <w:rPr>
                              <w:rFonts w:ascii="Times New Roman"/>
                              <w:sz w:val="24"/>
                            </w:rPr>
                          </w:pPr>
                          <w:r>
                            <w:fldChar w:fldCharType="begin"/>
                          </w:r>
                          <w:r>
                            <w:rPr>
                              <w:rFonts w:ascii="Times New Roman"/>
                              <w:sz w:val="24"/>
                            </w:rPr>
                            <w:instrText xml:space="preserve"> PAGE </w:instrText>
                          </w:r>
                          <w:r>
                            <w:fldChar w:fldCharType="separate"/>
                          </w:r>
                          <w:r>
                            <w:t>30</w:t>
                          </w:r>
                          <w:r>
                            <w:fldChar w:fldCharType="end"/>
                          </w:r>
                        </w:p>
                      </w:txbxContent>
                    </wps:txbx>
                    <wps:bodyPr lIns="0" tIns="0" rIns="0" bIns="0" upright="1"/>
                  </wps:wsp>
                </a:graphicData>
              </a:graphic>
            </wp:anchor>
          </w:drawing>
        </mc:Choice>
        <mc:Fallback>
          <w:pict>
            <v:shape id="文本框 5" o:spid="_x0000_s1026" o:spt="202" type="#_x0000_t202" style="position:absolute;left:0pt;margin-left:412.95pt;margin-top:531.35pt;height:15.3pt;width:16pt;mso-position-horizontal-relative:page;mso-position-vertical-relative:page;z-index:-254372864;mso-width-relative:page;mso-height-relative:page;" filled="f" stroked="f" coordsize="21600,21600" o:gfxdata="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BYXjE52gAAAA0BAAAPAAAAAAAA&#10;AAEAIAAAACIAAABkcnMvZG93bnJldi54bWxQSwECFAAUAAAACACHTuJA5d3W4Z4BAAAjAwAADgAA&#10;AAAAAAABACAAAAApAQAAZHJzL2Uyb0RvYy54bWxQSwUGAAAAAAYABgBZAQAAOQUAAAAA&#10;">
              <v:fill on="f" focussize="0,0"/>
              <v:stroke on="f"/>
              <v:imagedata o:title=""/>
              <o:lock v:ext="edit" aspectratio="f"/>
              <v:textbox inset="0mm,0mm,0mm,0mm">
                <w:txbxContent>
                  <w:p>
                    <w:pPr>
                      <w:spacing w:before="10"/>
                      <w:ind w:left="40" w:right="0" w:firstLine="0"/>
                      <w:jc w:val="left"/>
                      <w:rPr>
                        <w:rFonts w:ascii="Times New Roman"/>
                        <w:sz w:val="24"/>
                      </w:rPr>
                    </w:pPr>
                    <w:r>
                      <w:fldChar w:fldCharType="begin"/>
                    </w:r>
                    <w:r>
                      <w:rPr>
                        <w:rFonts w:ascii="Times New Roman"/>
                        <w:sz w:val="24"/>
                      </w:rPr>
                      <w:instrText xml:space="preserve"> PAGE </w:instrText>
                    </w:r>
                    <w:r>
                      <w:fldChar w:fldCharType="separate"/>
                    </w:r>
                    <w:r>
                      <w:t>30</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48944640" behindDoc="1" locked="0" layoutInCell="1" allowOverlap="1">
              <wp:simplePos x="0" y="0"/>
              <wp:positionH relativeFrom="page">
                <wp:posOffset>5244465</wp:posOffset>
              </wp:positionH>
              <wp:positionV relativeFrom="page">
                <wp:posOffset>6748145</wp:posOffset>
              </wp:positionV>
              <wp:extent cx="203200" cy="194310"/>
              <wp:effectExtent l="0" t="0" r="0" b="0"/>
              <wp:wrapNone/>
              <wp:docPr id="8" name="文本框 6"/>
              <wp:cNvGraphicFramePr/>
              <a:graphic xmlns:a="http://schemas.openxmlformats.org/drawingml/2006/main">
                <a:graphicData uri="http://schemas.microsoft.com/office/word/2010/wordprocessingShape">
                  <wps:wsp>
                    <wps:cNvSpPr txBox="1"/>
                    <wps:spPr>
                      <a:xfrm>
                        <a:off x="0" y="0"/>
                        <a:ext cx="203200" cy="194310"/>
                      </a:xfrm>
                      <a:prstGeom prst="rect">
                        <a:avLst/>
                      </a:prstGeom>
                      <a:noFill/>
                      <a:ln>
                        <a:noFill/>
                      </a:ln>
                    </wps:spPr>
                    <wps:txbx>
                      <w:txbxContent>
                        <w:p>
                          <w:pPr>
                            <w:spacing w:before="10"/>
                            <w:ind w:left="40" w:right="0" w:firstLine="0"/>
                            <w:jc w:val="left"/>
                            <w:rPr>
                              <w:rFonts w:ascii="Times New Roman"/>
                              <w:sz w:val="24"/>
                            </w:rPr>
                          </w:pPr>
                          <w:r>
                            <w:fldChar w:fldCharType="begin"/>
                          </w:r>
                          <w:r>
                            <w:rPr>
                              <w:rFonts w:ascii="Times New Roman"/>
                              <w:sz w:val="24"/>
                            </w:rPr>
                            <w:instrText xml:space="preserve"> PAGE </w:instrText>
                          </w:r>
                          <w:r>
                            <w:fldChar w:fldCharType="separate"/>
                          </w:r>
                          <w:r>
                            <w:t>40</w:t>
                          </w:r>
                          <w:r>
                            <w:fldChar w:fldCharType="end"/>
                          </w:r>
                        </w:p>
                      </w:txbxContent>
                    </wps:txbx>
                    <wps:bodyPr lIns="0" tIns="0" rIns="0" bIns="0" upright="1"/>
                  </wps:wsp>
                </a:graphicData>
              </a:graphic>
            </wp:anchor>
          </w:drawing>
        </mc:Choice>
        <mc:Fallback>
          <w:pict>
            <v:shape id="文本框 6" o:spid="_x0000_s1026" o:spt="202" type="#_x0000_t202" style="position:absolute;left:0pt;margin-left:412.95pt;margin-top:531.35pt;height:15.3pt;width:16pt;mso-position-horizontal-relative:page;mso-position-vertical-relative:page;z-index:-254371840;mso-width-relative:page;mso-height-relative:page;" filled="f" stroked="f" coordsize="21600,21600" o:gfxdata="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FheMTnaAAAADQEAAA8AAAAAAAAA&#10;AQAgAAAAIgAAAGRycy9kb3ducmV2LnhtbFBLAQIUABQAAAAIAIdO4kCJ+OpOnQEAACMDAAAOAAAA&#10;AAAAAAEAIAAAACkBAABkcnMvZTJvRG9jLnhtbFBLBQYAAAAABgAGAFkBAAA4BQAAAAA=&#10;">
              <v:fill on="f" focussize="0,0"/>
              <v:stroke on="f"/>
              <v:imagedata o:title=""/>
              <o:lock v:ext="edit" aspectratio="f"/>
              <v:textbox inset="0mm,0mm,0mm,0mm">
                <w:txbxContent>
                  <w:p>
                    <w:pPr>
                      <w:spacing w:before="10"/>
                      <w:ind w:left="40" w:right="0" w:firstLine="0"/>
                      <w:jc w:val="left"/>
                      <w:rPr>
                        <w:rFonts w:ascii="Times New Roman"/>
                        <w:sz w:val="24"/>
                      </w:rPr>
                    </w:pPr>
                    <w:r>
                      <w:fldChar w:fldCharType="begin"/>
                    </w:r>
                    <w:r>
                      <w:rPr>
                        <w:rFonts w:ascii="Times New Roman"/>
                        <w:sz w:val="24"/>
                      </w:rPr>
                      <w:instrText xml:space="preserve"> PAGE </w:instrText>
                    </w:r>
                    <w:r>
                      <w:fldChar w:fldCharType="separate"/>
                    </w:r>
                    <w:r>
                      <w:t>40</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5E306ED"/>
    <w:multiLevelType w:val="multilevel"/>
    <w:tmpl w:val="B5E306ED"/>
    <w:lvl w:ilvl="0" w:tentative="0">
      <w:start w:val="3"/>
      <w:numFmt w:val="decimal"/>
      <w:lvlText w:val="%1."/>
      <w:lvlJc w:val="left"/>
      <w:pPr>
        <w:ind w:left="13" w:hanging="316"/>
        <w:jc w:val="left"/>
      </w:pPr>
      <w:rPr>
        <w:rFonts w:hint="default" w:ascii="Times New Roman" w:hAnsi="Times New Roman" w:eastAsia="Times New Roman" w:cs="Times New Roman"/>
        <w:spacing w:val="-22"/>
        <w:w w:val="99"/>
        <w:sz w:val="19"/>
        <w:szCs w:val="19"/>
        <w:lang w:val="zh-CN" w:eastAsia="zh-CN" w:bidi="zh-CN"/>
      </w:rPr>
    </w:lvl>
    <w:lvl w:ilvl="1" w:tentative="0">
      <w:start w:val="0"/>
      <w:numFmt w:val="bullet"/>
      <w:lvlText w:val="•"/>
      <w:lvlJc w:val="left"/>
      <w:pPr>
        <w:ind w:left="1008" w:hanging="316"/>
      </w:pPr>
      <w:rPr>
        <w:rFonts w:hint="default"/>
        <w:lang w:val="zh-CN" w:eastAsia="zh-CN" w:bidi="zh-CN"/>
      </w:rPr>
    </w:lvl>
    <w:lvl w:ilvl="2" w:tentative="0">
      <w:start w:val="0"/>
      <w:numFmt w:val="bullet"/>
      <w:lvlText w:val="•"/>
      <w:lvlJc w:val="left"/>
      <w:pPr>
        <w:ind w:left="1997" w:hanging="316"/>
      </w:pPr>
      <w:rPr>
        <w:rFonts w:hint="default"/>
        <w:lang w:val="zh-CN" w:eastAsia="zh-CN" w:bidi="zh-CN"/>
      </w:rPr>
    </w:lvl>
    <w:lvl w:ilvl="3" w:tentative="0">
      <w:start w:val="0"/>
      <w:numFmt w:val="bullet"/>
      <w:lvlText w:val="•"/>
      <w:lvlJc w:val="left"/>
      <w:pPr>
        <w:ind w:left="2985" w:hanging="316"/>
      </w:pPr>
      <w:rPr>
        <w:rFonts w:hint="default"/>
        <w:lang w:val="zh-CN" w:eastAsia="zh-CN" w:bidi="zh-CN"/>
      </w:rPr>
    </w:lvl>
    <w:lvl w:ilvl="4" w:tentative="0">
      <w:start w:val="0"/>
      <w:numFmt w:val="bullet"/>
      <w:lvlText w:val="•"/>
      <w:lvlJc w:val="left"/>
      <w:pPr>
        <w:ind w:left="3974" w:hanging="316"/>
      </w:pPr>
      <w:rPr>
        <w:rFonts w:hint="default"/>
        <w:lang w:val="zh-CN" w:eastAsia="zh-CN" w:bidi="zh-CN"/>
      </w:rPr>
    </w:lvl>
    <w:lvl w:ilvl="5" w:tentative="0">
      <w:start w:val="0"/>
      <w:numFmt w:val="bullet"/>
      <w:lvlText w:val="•"/>
      <w:lvlJc w:val="left"/>
      <w:pPr>
        <w:ind w:left="4962" w:hanging="316"/>
      </w:pPr>
      <w:rPr>
        <w:rFonts w:hint="default"/>
        <w:lang w:val="zh-CN" w:eastAsia="zh-CN" w:bidi="zh-CN"/>
      </w:rPr>
    </w:lvl>
    <w:lvl w:ilvl="6" w:tentative="0">
      <w:start w:val="0"/>
      <w:numFmt w:val="bullet"/>
      <w:lvlText w:val="•"/>
      <w:lvlJc w:val="left"/>
      <w:pPr>
        <w:ind w:left="5951" w:hanging="316"/>
      </w:pPr>
      <w:rPr>
        <w:rFonts w:hint="default"/>
        <w:lang w:val="zh-CN" w:eastAsia="zh-CN" w:bidi="zh-CN"/>
      </w:rPr>
    </w:lvl>
    <w:lvl w:ilvl="7" w:tentative="0">
      <w:start w:val="0"/>
      <w:numFmt w:val="bullet"/>
      <w:lvlText w:val="•"/>
      <w:lvlJc w:val="left"/>
      <w:pPr>
        <w:ind w:left="6939" w:hanging="316"/>
      </w:pPr>
      <w:rPr>
        <w:rFonts w:hint="default"/>
        <w:lang w:val="zh-CN" w:eastAsia="zh-CN" w:bidi="zh-CN"/>
      </w:rPr>
    </w:lvl>
    <w:lvl w:ilvl="8" w:tentative="0">
      <w:start w:val="0"/>
      <w:numFmt w:val="bullet"/>
      <w:lvlText w:val="•"/>
      <w:lvlJc w:val="left"/>
      <w:pPr>
        <w:ind w:left="7928" w:hanging="316"/>
      </w:pPr>
      <w:rPr>
        <w:rFonts w:hint="default"/>
        <w:lang w:val="zh-CN" w:eastAsia="zh-CN" w:bidi="zh-CN"/>
      </w:rPr>
    </w:lvl>
  </w:abstractNum>
  <w:abstractNum w:abstractNumId="1">
    <w:nsid w:val="BF205925"/>
    <w:multiLevelType w:val="multilevel"/>
    <w:tmpl w:val="BF205925"/>
    <w:lvl w:ilvl="0" w:tentative="0">
      <w:start w:val="1"/>
      <w:numFmt w:val="decimal"/>
      <w:lvlText w:val="%1."/>
      <w:lvlJc w:val="left"/>
      <w:pPr>
        <w:ind w:left="749" w:hanging="316"/>
        <w:jc w:val="left"/>
      </w:pPr>
      <w:rPr>
        <w:rFonts w:hint="default" w:ascii="Times New Roman" w:hAnsi="Times New Roman" w:eastAsia="Times New Roman" w:cs="Times New Roman"/>
        <w:spacing w:val="-1"/>
        <w:w w:val="99"/>
        <w:sz w:val="19"/>
        <w:szCs w:val="19"/>
        <w:lang w:val="zh-CN" w:eastAsia="zh-CN" w:bidi="zh-CN"/>
      </w:rPr>
    </w:lvl>
    <w:lvl w:ilvl="1" w:tentative="0">
      <w:start w:val="0"/>
      <w:numFmt w:val="bullet"/>
      <w:lvlText w:val="•"/>
      <w:lvlJc w:val="left"/>
      <w:pPr>
        <w:ind w:left="1656" w:hanging="316"/>
      </w:pPr>
      <w:rPr>
        <w:rFonts w:hint="default"/>
        <w:lang w:val="zh-CN" w:eastAsia="zh-CN" w:bidi="zh-CN"/>
      </w:rPr>
    </w:lvl>
    <w:lvl w:ilvl="2" w:tentative="0">
      <w:start w:val="0"/>
      <w:numFmt w:val="bullet"/>
      <w:lvlText w:val="•"/>
      <w:lvlJc w:val="left"/>
      <w:pPr>
        <w:ind w:left="2573" w:hanging="316"/>
      </w:pPr>
      <w:rPr>
        <w:rFonts w:hint="default"/>
        <w:lang w:val="zh-CN" w:eastAsia="zh-CN" w:bidi="zh-CN"/>
      </w:rPr>
    </w:lvl>
    <w:lvl w:ilvl="3" w:tentative="0">
      <w:start w:val="0"/>
      <w:numFmt w:val="bullet"/>
      <w:lvlText w:val="•"/>
      <w:lvlJc w:val="left"/>
      <w:pPr>
        <w:ind w:left="3490" w:hanging="316"/>
      </w:pPr>
      <w:rPr>
        <w:rFonts w:hint="default"/>
        <w:lang w:val="zh-CN" w:eastAsia="zh-CN" w:bidi="zh-CN"/>
      </w:rPr>
    </w:lvl>
    <w:lvl w:ilvl="4" w:tentative="0">
      <w:start w:val="0"/>
      <w:numFmt w:val="bullet"/>
      <w:lvlText w:val="•"/>
      <w:lvlJc w:val="left"/>
      <w:pPr>
        <w:ind w:left="4407" w:hanging="316"/>
      </w:pPr>
      <w:rPr>
        <w:rFonts w:hint="default"/>
        <w:lang w:val="zh-CN" w:eastAsia="zh-CN" w:bidi="zh-CN"/>
      </w:rPr>
    </w:lvl>
    <w:lvl w:ilvl="5" w:tentative="0">
      <w:start w:val="0"/>
      <w:numFmt w:val="bullet"/>
      <w:lvlText w:val="•"/>
      <w:lvlJc w:val="left"/>
      <w:pPr>
        <w:ind w:left="5324" w:hanging="316"/>
      </w:pPr>
      <w:rPr>
        <w:rFonts w:hint="default"/>
        <w:lang w:val="zh-CN" w:eastAsia="zh-CN" w:bidi="zh-CN"/>
      </w:rPr>
    </w:lvl>
    <w:lvl w:ilvl="6" w:tentative="0">
      <w:start w:val="0"/>
      <w:numFmt w:val="bullet"/>
      <w:lvlText w:val="•"/>
      <w:lvlJc w:val="left"/>
      <w:pPr>
        <w:ind w:left="6241" w:hanging="316"/>
      </w:pPr>
      <w:rPr>
        <w:rFonts w:hint="default"/>
        <w:lang w:val="zh-CN" w:eastAsia="zh-CN" w:bidi="zh-CN"/>
      </w:rPr>
    </w:lvl>
    <w:lvl w:ilvl="7" w:tentative="0">
      <w:start w:val="0"/>
      <w:numFmt w:val="bullet"/>
      <w:lvlText w:val="•"/>
      <w:lvlJc w:val="left"/>
      <w:pPr>
        <w:ind w:left="7158" w:hanging="316"/>
      </w:pPr>
      <w:rPr>
        <w:rFonts w:hint="default"/>
        <w:lang w:val="zh-CN" w:eastAsia="zh-CN" w:bidi="zh-CN"/>
      </w:rPr>
    </w:lvl>
    <w:lvl w:ilvl="8" w:tentative="0">
      <w:start w:val="0"/>
      <w:numFmt w:val="bullet"/>
      <w:lvlText w:val="•"/>
      <w:lvlJc w:val="left"/>
      <w:pPr>
        <w:ind w:left="8075" w:hanging="316"/>
      </w:pPr>
      <w:rPr>
        <w:rFonts w:hint="default"/>
        <w:lang w:val="zh-CN" w:eastAsia="zh-CN" w:bidi="zh-CN"/>
      </w:rPr>
    </w:lvl>
  </w:abstractNum>
  <w:abstractNum w:abstractNumId="2">
    <w:nsid w:val="CF092B84"/>
    <w:multiLevelType w:val="multilevel"/>
    <w:tmpl w:val="CF092B84"/>
    <w:lvl w:ilvl="0" w:tentative="0">
      <w:start w:val="5"/>
      <w:numFmt w:val="decimal"/>
      <w:lvlText w:val="%1."/>
      <w:lvlJc w:val="left"/>
      <w:pPr>
        <w:ind w:left="14" w:hanging="296"/>
        <w:jc w:val="left"/>
      </w:pPr>
      <w:rPr>
        <w:rFonts w:hint="default" w:ascii="Times New Roman" w:hAnsi="Times New Roman" w:eastAsia="Times New Roman" w:cs="Times New Roman"/>
        <w:spacing w:val="0"/>
        <w:w w:val="99"/>
        <w:sz w:val="21"/>
        <w:szCs w:val="21"/>
        <w:lang w:val="zh-CN" w:eastAsia="zh-CN" w:bidi="zh-CN"/>
      </w:rPr>
    </w:lvl>
    <w:lvl w:ilvl="1" w:tentative="0">
      <w:start w:val="0"/>
      <w:numFmt w:val="bullet"/>
      <w:lvlText w:val="•"/>
      <w:lvlJc w:val="left"/>
      <w:pPr>
        <w:ind w:left="191" w:hanging="296"/>
      </w:pPr>
      <w:rPr>
        <w:rFonts w:hint="default"/>
        <w:lang w:val="zh-CN" w:eastAsia="zh-CN" w:bidi="zh-CN"/>
      </w:rPr>
    </w:lvl>
    <w:lvl w:ilvl="2" w:tentative="0">
      <w:start w:val="0"/>
      <w:numFmt w:val="bullet"/>
      <w:lvlText w:val="•"/>
      <w:lvlJc w:val="left"/>
      <w:pPr>
        <w:ind w:left="362" w:hanging="296"/>
      </w:pPr>
      <w:rPr>
        <w:rFonts w:hint="default"/>
        <w:lang w:val="zh-CN" w:eastAsia="zh-CN" w:bidi="zh-CN"/>
      </w:rPr>
    </w:lvl>
    <w:lvl w:ilvl="3" w:tentative="0">
      <w:start w:val="0"/>
      <w:numFmt w:val="bullet"/>
      <w:lvlText w:val="•"/>
      <w:lvlJc w:val="left"/>
      <w:pPr>
        <w:ind w:left="533" w:hanging="296"/>
      </w:pPr>
      <w:rPr>
        <w:rFonts w:hint="default"/>
        <w:lang w:val="zh-CN" w:eastAsia="zh-CN" w:bidi="zh-CN"/>
      </w:rPr>
    </w:lvl>
    <w:lvl w:ilvl="4" w:tentative="0">
      <w:start w:val="0"/>
      <w:numFmt w:val="bullet"/>
      <w:lvlText w:val="•"/>
      <w:lvlJc w:val="left"/>
      <w:pPr>
        <w:ind w:left="705" w:hanging="296"/>
      </w:pPr>
      <w:rPr>
        <w:rFonts w:hint="default"/>
        <w:lang w:val="zh-CN" w:eastAsia="zh-CN" w:bidi="zh-CN"/>
      </w:rPr>
    </w:lvl>
    <w:lvl w:ilvl="5" w:tentative="0">
      <w:start w:val="0"/>
      <w:numFmt w:val="bullet"/>
      <w:lvlText w:val="•"/>
      <w:lvlJc w:val="left"/>
      <w:pPr>
        <w:ind w:left="876" w:hanging="296"/>
      </w:pPr>
      <w:rPr>
        <w:rFonts w:hint="default"/>
        <w:lang w:val="zh-CN" w:eastAsia="zh-CN" w:bidi="zh-CN"/>
      </w:rPr>
    </w:lvl>
    <w:lvl w:ilvl="6" w:tentative="0">
      <w:start w:val="0"/>
      <w:numFmt w:val="bullet"/>
      <w:lvlText w:val="•"/>
      <w:lvlJc w:val="left"/>
      <w:pPr>
        <w:ind w:left="1047" w:hanging="296"/>
      </w:pPr>
      <w:rPr>
        <w:rFonts w:hint="default"/>
        <w:lang w:val="zh-CN" w:eastAsia="zh-CN" w:bidi="zh-CN"/>
      </w:rPr>
    </w:lvl>
    <w:lvl w:ilvl="7" w:tentative="0">
      <w:start w:val="0"/>
      <w:numFmt w:val="bullet"/>
      <w:lvlText w:val="•"/>
      <w:lvlJc w:val="left"/>
      <w:pPr>
        <w:ind w:left="1219" w:hanging="296"/>
      </w:pPr>
      <w:rPr>
        <w:rFonts w:hint="default"/>
        <w:lang w:val="zh-CN" w:eastAsia="zh-CN" w:bidi="zh-CN"/>
      </w:rPr>
    </w:lvl>
    <w:lvl w:ilvl="8" w:tentative="0">
      <w:start w:val="0"/>
      <w:numFmt w:val="bullet"/>
      <w:lvlText w:val="•"/>
      <w:lvlJc w:val="left"/>
      <w:pPr>
        <w:ind w:left="1390" w:hanging="296"/>
      </w:pPr>
      <w:rPr>
        <w:rFonts w:hint="default"/>
        <w:lang w:val="zh-CN" w:eastAsia="zh-CN" w:bidi="zh-CN"/>
      </w:rPr>
    </w:lvl>
  </w:abstractNum>
  <w:abstractNum w:abstractNumId="3">
    <w:nsid w:val="EEACFFDE"/>
    <w:multiLevelType w:val="singleLevel"/>
    <w:tmpl w:val="EEACFFDE"/>
    <w:lvl w:ilvl="0" w:tentative="0">
      <w:start w:val="1"/>
      <w:numFmt w:val="decimal"/>
      <w:suff w:val="nothing"/>
      <w:lvlText w:val="%1．"/>
      <w:lvlJc w:val="left"/>
      <w:pPr>
        <w:ind w:left="0" w:firstLine="400"/>
      </w:pPr>
      <w:rPr>
        <w:rFonts w:hint="default"/>
      </w:rPr>
    </w:lvl>
  </w:abstractNum>
  <w:abstractNum w:abstractNumId="4">
    <w:nsid w:val="03D62ECE"/>
    <w:multiLevelType w:val="multilevel"/>
    <w:tmpl w:val="03D62ECE"/>
    <w:lvl w:ilvl="0" w:tentative="0">
      <w:start w:val="1"/>
      <w:numFmt w:val="decimal"/>
      <w:lvlText w:val="（%1）"/>
      <w:lvlJc w:val="left"/>
      <w:pPr>
        <w:ind w:left="960" w:hanging="527"/>
        <w:jc w:val="left"/>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1854" w:hanging="527"/>
      </w:pPr>
      <w:rPr>
        <w:rFonts w:hint="default"/>
        <w:lang w:val="zh-CN" w:eastAsia="zh-CN" w:bidi="zh-CN"/>
      </w:rPr>
    </w:lvl>
    <w:lvl w:ilvl="2" w:tentative="0">
      <w:start w:val="0"/>
      <w:numFmt w:val="bullet"/>
      <w:lvlText w:val="•"/>
      <w:lvlJc w:val="left"/>
      <w:pPr>
        <w:ind w:left="2749" w:hanging="527"/>
      </w:pPr>
      <w:rPr>
        <w:rFonts w:hint="default"/>
        <w:lang w:val="zh-CN" w:eastAsia="zh-CN" w:bidi="zh-CN"/>
      </w:rPr>
    </w:lvl>
    <w:lvl w:ilvl="3" w:tentative="0">
      <w:start w:val="0"/>
      <w:numFmt w:val="bullet"/>
      <w:lvlText w:val="•"/>
      <w:lvlJc w:val="left"/>
      <w:pPr>
        <w:ind w:left="3643" w:hanging="527"/>
      </w:pPr>
      <w:rPr>
        <w:rFonts w:hint="default"/>
        <w:lang w:val="zh-CN" w:eastAsia="zh-CN" w:bidi="zh-CN"/>
      </w:rPr>
    </w:lvl>
    <w:lvl w:ilvl="4" w:tentative="0">
      <w:start w:val="0"/>
      <w:numFmt w:val="bullet"/>
      <w:lvlText w:val="•"/>
      <w:lvlJc w:val="left"/>
      <w:pPr>
        <w:ind w:left="4538" w:hanging="527"/>
      </w:pPr>
      <w:rPr>
        <w:rFonts w:hint="default"/>
        <w:lang w:val="zh-CN" w:eastAsia="zh-CN" w:bidi="zh-CN"/>
      </w:rPr>
    </w:lvl>
    <w:lvl w:ilvl="5" w:tentative="0">
      <w:start w:val="0"/>
      <w:numFmt w:val="bullet"/>
      <w:lvlText w:val="•"/>
      <w:lvlJc w:val="left"/>
      <w:pPr>
        <w:ind w:left="5432" w:hanging="527"/>
      </w:pPr>
      <w:rPr>
        <w:rFonts w:hint="default"/>
        <w:lang w:val="zh-CN" w:eastAsia="zh-CN" w:bidi="zh-CN"/>
      </w:rPr>
    </w:lvl>
    <w:lvl w:ilvl="6" w:tentative="0">
      <w:start w:val="0"/>
      <w:numFmt w:val="bullet"/>
      <w:lvlText w:val="•"/>
      <w:lvlJc w:val="left"/>
      <w:pPr>
        <w:ind w:left="6327" w:hanging="527"/>
      </w:pPr>
      <w:rPr>
        <w:rFonts w:hint="default"/>
        <w:lang w:val="zh-CN" w:eastAsia="zh-CN" w:bidi="zh-CN"/>
      </w:rPr>
    </w:lvl>
    <w:lvl w:ilvl="7" w:tentative="0">
      <w:start w:val="0"/>
      <w:numFmt w:val="bullet"/>
      <w:lvlText w:val="•"/>
      <w:lvlJc w:val="left"/>
      <w:pPr>
        <w:ind w:left="7221" w:hanging="527"/>
      </w:pPr>
      <w:rPr>
        <w:rFonts w:hint="default"/>
        <w:lang w:val="zh-CN" w:eastAsia="zh-CN" w:bidi="zh-CN"/>
      </w:rPr>
    </w:lvl>
    <w:lvl w:ilvl="8" w:tentative="0">
      <w:start w:val="0"/>
      <w:numFmt w:val="bullet"/>
      <w:lvlText w:val="•"/>
      <w:lvlJc w:val="left"/>
      <w:pPr>
        <w:ind w:left="8116" w:hanging="527"/>
      </w:pPr>
      <w:rPr>
        <w:rFonts w:hint="default"/>
        <w:lang w:val="zh-CN" w:eastAsia="zh-CN" w:bidi="zh-CN"/>
      </w:rPr>
    </w:lvl>
  </w:abstractNum>
  <w:abstractNum w:abstractNumId="5">
    <w:nsid w:val="25B654F3"/>
    <w:multiLevelType w:val="multilevel"/>
    <w:tmpl w:val="25B654F3"/>
    <w:lvl w:ilvl="0" w:tentative="0">
      <w:start w:val="1"/>
      <w:numFmt w:val="decimal"/>
      <w:lvlText w:val="（%1）"/>
      <w:lvlJc w:val="left"/>
      <w:pPr>
        <w:ind w:left="960" w:hanging="527"/>
        <w:jc w:val="left"/>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1854" w:hanging="527"/>
      </w:pPr>
      <w:rPr>
        <w:rFonts w:hint="default"/>
        <w:lang w:val="zh-CN" w:eastAsia="zh-CN" w:bidi="zh-CN"/>
      </w:rPr>
    </w:lvl>
    <w:lvl w:ilvl="2" w:tentative="0">
      <w:start w:val="0"/>
      <w:numFmt w:val="bullet"/>
      <w:lvlText w:val="•"/>
      <w:lvlJc w:val="left"/>
      <w:pPr>
        <w:ind w:left="2749" w:hanging="527"/>
      </w:pPr>
      <w:rPr>
        <w:rFonts w:hint="default"/>
        <w:lang w:val="zh-CN" w:eastAsia="zh-CN" w:bidi="zh-CN"/>
      </w:rPr>
    </w:lvl>
    <w:lvl w:ilvl="3" w:tentative="0">
      <w:start w:val="0"/>
      <w:numFmt w:val="bullet"/>
      <w:lvlText w:val="•"/>
      <w:lvlJc w:val="left"/>
      <w:pPr>
        <w:ind w:left="3643" w:hanging="527"/>
      </w:pPr>
      <w:rPr>
        <w:rFonts w:hint="default"/>
        <w:lang w:val="zh-CN" w:eastAsia="zh-CN" w:bidi="zh-CN"/>
      </w:rPr>
    </w:lvl>
    <w:lvl w:ilvl="4" w:tentative="0">
      <w:start w:val="0"/>
      <w:numFmt w:val="bullet"/>
      <w:lvlText w:val="•"/>
      <w:lvlJc w:val="left"/>
      <w:pPr>
        <w:ind w:left="4538" w:hanging="527"/>
      </w:pPr>
      <w:rPr>
        <w:rFonts w:hint="default"/>
        <w:lang w:val="zh-CN" w:eastAsia="zh-CN" w:bidi="zh-CN"/>
      </w:rPr>
    </w:lvl>
    <w:lvl w:ilvl="5" w:tentative="0">
      <w:start w:val="0"/>
      <w:numFmt w:val="bullet"/>
      <w:lvlText w:val="•"/>
      <w:lvlJc w:val="left"/>
      <w:pPr>
        <w:ind w:left="5432" w:hanging="527"/>
      </w:pPr>
      <w:rPr>
        <w:rFonts w:hint="default"/>
        <w:lang w:val="zh-CN" w:eastAsia="zh-CN" w:bidi="zh-CN"/>
      </w:rPr>
    </w:lvl>
    <w:lvl w:ilvl="6" w:tentative="0">
      <w:start w:val="0"/>
      <w:numFmt w:val="bullet"/>
      <w:lvlText w:val="•"/>
      <w:lvlJc w:val="left"/>
      <w:pPr>
        <w:ind w:left="6327" w:hanging="527"/>
      </w:pPr>
      <w:rPr>
        <w:rFonts w:hint="default"/>
        <w:lang w:val="zh-CN" w:eastAsia="zh-CN" w:bidi="zh-CN"/>
      </w:rPr>
    </w:lvl>
    <w:lvl w:ilvl="7" w:tentative="0">
      <w:start w:val="0"/>
      <w:numFmt w:val="bullet"/>
      <w:lvlText w:val="•"/>
      <w:lvlJc w:val="left"/>
      <w:pPr>
        <w:ind w:left="7221" w:hanging="527"/>
      </w:pPr>
      <w:rPr>
        <w:rFonts w:hint="default"/>
        <w:lang w:val="zh-CN" w:eastAsia="zh-CN" w:bidi="zh-CN"/>
      </w:rPr>
    </w:lvl>
    <w:lvl w:ilvl="8" w:tentative="0">
      <w:start w:val="0"/>
      <w:numFmt w:val="bullet"/>
      <w:lvlText w:val="•"/>
      <w:lvlJc w:val="left"/>
      <w:pPr>
        <w:ind w:left="8116" w:hanging="527"/>
      </w:pPr>
      <w:rPr>
        <w:rFonts w:hint="default"/>
        <w:lang w:val="zh-CN" w:eastAsia="zh-CN" w:bidi="zh-CN"/>
      </w:rPr>
    </w:lvl>
  </w:abstractNum>
  <w:abstractNum w:abstractNumId="6">
    <w:nsid w:val="59ADCABA"/>
    <w:multiLevelType w:val="multilevel"/>
    <w:tmpl w:val="59ADCABA"/>
    <w:lvl w:ilvl="0" w:tentative="0">
      <w:start w:val="8"/>
      <w:numFmt w:val="decimal"/>
      <w:lvlText w:val="%1."/>
      <w:lvlJc w:val="left"/>
      <w:pPr>
        <w:ind w:left="14" w:hanging="262"/>
        <w:jc w:val="left"/>
      </w:pPr>
      <w:rPr>
        <w:rFonts w:hint="default" w:ascii="Times New Roman" w:hAnsi="Times New Roman" w:eastAsia="Times New Roman" w:cs="Times New Roman"/>
        <w:spacing w:val="0"/>
        <w:w w:val="99"/>
        <w:sz w:val="21"/>
        <w:szCs w:val="21"/>
        <w:lang w:val="zh-CN" w:eastAsia="zh-CN" w:bidi="zh-CN"/>
      </w:rPr>
    </w:lvl>
    <w:lvl w:ilvl="1" w:tentative="0">
      <w:start w:val="0"/>
      <w:numFmt w:val="bullet"/>
      <w:lvlText w:val="•"/>
      <w:lvlJc w:val="left"/>
      <w:pPr>
        <w:ind w:left="191" w:hanging="262"/>
      </w:pPr>
      <w:rPr>
        <w:rFonts w:hint="default"/>
        <w:lang w:val="zh-CN" w:eastAsia="zh-CN" w:bidi="zh-CN"/>
      </w:rPr>
    </w:lvl>
    <w:lvl w:ilvl="2" w:tentative="0">
      <w:start w:val="0"/>
      <w:numFmt w:val="bullet"/>
      <w:lvlText w:val="•"/>
      <w:lvlJc w:val="left"/>
      <w:pPr>
        <w:ind w:left="362" w:hanging="262"/>
      </w:pPr>
      <w:rPr>
        <w:rFonts w:hint="default"/>
        <w:lang w:val="zh-CN" w:eastAsia="zh-CN" w:bidi="zh-CN"/>
      </w:rPr>
    </w:lvl>
    <w:lvl w:ilvl="3" w:tentative="0">
      <w:start w:val="0"/>
      <w:numFmt w:val="bullet"/>
      <w:lvlText w:val="•"/>
      <w:lvlJc w:val="left"/>
      <w:pPr>
        <w:ind w:left="533" w:hanging="262"/>
      </w:pPr>
      <w:rPr>
        <w:rFonts w:hint="default"/>
        <w:lang w:val="zh-CN" w:eastAsia="zh-CN" w:bidi="zh-CN"/>
      </w:rPr>
    </w:lvl>
    <w:lvl w:ilvl="4" w:tentative="0">
      <w:start w:val="0"/>
      <w:numFmt w:val="bullet"/>
      <w:lvlText w:val="•"/>
      <w:lvlJc w:val="left"/>
      <w:pPr>
        <w:ind w:left="705" w:hanging="262"/>
      </w:pPr>
      <w:rPr>
        <w:rFonts w:hint="default"/>
        <w:lang w:val="zh-CN" w:eastAsia="zh-CN" w:bidi="zh-CN"/>
      </w:rPr>
    </w:lvl>
    <w:lvl w:ilvl="5" w:tentative="0">
      <w:start w:val="0"/>
      <w:numFmt w:val="bullet"/>
      <w:lvlText w:val="•"/>
      <w:lvlJc w:val="left"/>
      <w:pPr>
        <w:ind w:left="876" w:hanging="262"/>
      </w:pPr>
      <w:rPr>
        <w:rFonts w:hint="default"/>
        <w:lang w:val="zh-CN" w:eastAsia="zh-CN" w:bidi="zh-CN"/>
      </w:rPr>
    </w:lvl>
    <w:lvl w:ilvl="6" w:tentative="0">
      <w:start w:val="0"/>
      <w:numFmt w:val="bullet"/>
      <w:lvlText w:val="•"/>
      <w:lvlJc w:val="left"/>
      <w:pPr>
        <w:ind w:left="1047" w:hanging="262"/>
      </w:pPr>
      <w:rPr>
        <w:rFonts w:hint="default"/>
        <w:lang w:val="zh-CN" w:eastAsia="zh-CN" w:bidi="zh-CN"/>
      </w:rPr>
    </w:lvl>
    <w:lvl w:ilvl="7" w:tentative="0">
      <w:start w:val="0"/>
      <w:numFmt w:val="bullet"/>
      <w:lvlText w:val="•"/>
      <w:lvlJc w:val="left"/>
      <w:pPr>
        <w:ind w:left="1219" w:hanging="262"/>
      </w:pPr>
      <w:rPr>
        <w:rFonts w:hint="default"/>
        <w:lang w:val="zh-CN" w:eastAsia="zh-CN" w:bidi="zh-CN"/>
      </w:rPr>
    </w:lvl>
    <w:lvl w:ilvl="8" w:tentative="0">
      <w:start w:val="0"/>
      <w:numFmt w:val="bullet"/>
      <w:lvlText w:val="•"/>
      <w:lvlJc w:val="left"/>
      <w:pPr>
        <w:ind w:left="1390" w:hanging="262"/>
      </w:pPr>
      <w:rPr>
        <w:rFonts w:hint="default"/>
        <w:lang w:val="zh-CN" w:eastAsia="zh-CN" w:bidi="zh-CN"/>
      </w:rPr>
    </w:lvl>
  </w:abstractNum>
  <w:abstractNum w:abstractNumId="7">
    <w:nsid w:val="72183CF9"/>
    <w:multiLevelType w:val="multilevel"/>
    <w:tmpl w:val="72183CF9"/>
    <w:lvl w:ilvl="0" w:tentative="0">
      <w:start w:val="37"/>
      <w:numFmt w:val="decimal"/>
      <w:lvlText w:val="%1."/>
      <w:lvlJc w:val="left"/>
      <w:pPr>
        <w:ind w:left="14" w:hanging="265"/>
        <w:jc w:val="left"/>
      </w:pPr>
      <w:rPr>
        <w:rFonts w:hint="default" w:ascii="Times New Roman" w:hAnsi="Times New Roman" w:eastAsia="Times New Roman" w:cs="Times New Roman"/>
        <w:spacing w:val="-2"/>
        <w:w w:val="99"/>
        <w:sz w:val="19"/>
        <w:szCs w:val="19"/>
        <w:lang w:val="zh-CN" w:eastAsia="zh-CN" w:bidi="zh-CN"/>
      </w:rPr>
    </w:lvl>
    <w:lvl w:ilvl="1" w:tentative="0">
      <w:start w:val="0"/>
      <w:numFmt w:val="bullet"/>
      <w:lvlText w:val="•"/>
      <w:lvlJc w:val="left"/>
      <w:pPr>
        <w:ind w:left="191" w:hanging="265"/>
      </w:pPr>
      <w:rPr>
        <w:rFonts w:hint="default"/>
        <w:lang w:val="zh-CN" w:eastAsia="zh-CN" w:bidi="zh-CN"/>
      </w:rPr>
    </w:lvl>
    <w:lvl w:ilvl="2" w:tentative="0">
      <w:start w:val="0"/>
      <w:numFmt w:val="bullet"/>
      <w:lvlText w:val="•"/>
      <w:lvlJc w:val="left"/>
      <w:pPr>
        <w:ind w:left="362" w:hanging="265"/>
      </w:pPr>
      <w:rPr>
        <w:rFonts w:hint="default"/>
        <w:lang w:val="zh-CN" w:eastAsia="zh-CN" w:bidi="zh-CN"/>
      </w:rPr>
    </w:lvl>
    <w:lvl w:ilvl="3" w:tentative="0">
      <w:start w:val="0"/>
      <w:numFmt w:val="bullet"/>
      <w:lvlText w:val="•"/>
      <w:lvlJc w:val="left"/>
      <w:pPr>
        <w:ind w:left="533" w:hanging="265"/>
      </w:pPr>
      <w:rPr>
        <w:rFonts w:hint="default"/>
        <w:lang w:val="zh-CN" w:eastAsia="zh-CN" w:bidi="zh-CN"/>
      </w:rPr>
    </w:lvl>
    <w:lvl w:ilvl="4" w:tentative="0">
      <w:start w:val="0"/>
      <w:numFmt w:val="bullet"/>
      <w:lvlText w:val="•"/>
      <w:lvlJc w:val="left"/>
      <w:pPr>
        <w:ind w:left="705" w:hanging="265"/>
      </w:pPr>
      <w:rPr>
        <w:rFonts w:hint="default"/>
        <w:lang w:val="zh-CN" w:eastAsia="zh-CN" w:bidi="zh-CN"/>
      </w:rPr>
    </w:lvl>
    <w:lvl w:ilvl="5" w:tentative="0">
      <w:start w:val="0"/>
      <w:numFmt w:val="bullet"/>
      <w:lvlText w:val="•"/>
      <w:lvlJc w:val="left"/>
      <w:pPr>
        <w:ind w:left="876" w:hanging="265"/>
      </w:pPr>
      <w:rPr>
        <w:rFonts w:hint="default"/>
        <w:lang w:val="zh-CN" w:eastAsia="zh-CN" w:bidi="zh-CN"/>
      </w:rPr>
    </w:lvl>
    <w:lvl w:ilvl="6" w:tentative="0">
      <w:start w:val="0"/>
      <w:numFmt w:val="bullet"/>
      <w:lvlText w:val="•"/>
      <w:lvlJc w:val="left"/>
      <w:pPr>
        <w:ind w:left="1047" w:hanging="265"/>
      </w:pPr>
      <w:rPr>
        <w:rFonts w:hint="default"/>
        <w:lang w:val="zh-CN" w:eastAsia="zh-CN" w:bidi="zh-CN"/>
      </w:rPr>
    </w:lvl>
    <w:lvl w:ilvl="7" w:tentative="0">
      <w:start w:val="0"/>
      <w:numFmt w:val="bullet"/>
      <w:lvlText w:val="•"/>
      <w:lvlJc w:val="left"/>
      <w:pPr>
        <w:ind w:left="1219" w:hanging="265"/>
      </w:pPr>
      <w:rPr>
        <w:rFonts w:hint="default"/>
        <w:lang w:val="zh-CN" w:eastAsia="zh-CN" w:bidi="zh-CN"/>
      </w:rPr>
    </w:lvl>
    <w:lvl w:ilvl="8" w:tentative="0">
      <w:start w:val="0"/>
      <w:numFmt w:val="bullet"/>
      <w:lvlText w:val="•"/>
      <w:lvlJc w:val="left"/>
      <w:pPr>
        <w:ind w:left="1390" w:hanging="265"/>
      </w:pPr>
      <w:rPr>
        <w:rFonts w:hint="default"/>
        <w:lang w:val="zh-CN" w:eastAsia="zh-CN" w:bidi="zh-CN"/>
      </w:rPr>
    </w:lvl>
  </w:abstractNum>
  <w:num w:numId="1">
    <w:abstractNumId w:val="3"/>
  </w:num>
  <w:num w:numId="2">
    <w:abstractNumId w:val="2"/>
  </w:num>
  <w:num w:numId="3">
    <w:abstractNumId w:val="6"/>
  </w:num>
  <w:num w:numId="4">
    <w:abstractNumId w:val="1"/>
  </w:num>
  <w:num w:numId="5">
    <w:abstractNumId w:val="0"/>
  </w:num>
  <w:num w:numId="6">
    <w:abstractNumId w:val="4"/>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drawingGridHorizontalSpacing w:val="110"/>
  <w:displayHorizontalDrawingGridEvery w:val="2"/>
  <w:characterSpacingControl w:val="doNotCompress"/>
  <w:hdrShapeDefaults>
    <o:shapelayout v:ext="edit">
      <o:idmap v:ext="edit" data="2"/>
    </o:shapelayout>
  </w:hdrShapeDefault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9B278BB"/>
    <w:rsid w:val="318D6C55"/>
    <w:rsid w:val="38B3613B"/>
    <w:rsid w:val="419F4D17"/>
    <w:rsid w:val="48051FB5"/>
    <w:rsid w:val="50B52CA9"/>
    <w:rsid w:val="5F497146"/>
    <w:rsid w:val="7006217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1"/>
    <w:basedOn w:val="1"/>
    <w:next w:val="1"/>
    <w:qFormat/>
    <w:uiPriority w:val="1"/>
    <w:pPr>
      <w:spacing w:before="126"/>
      <w:ind w:left="2612" w:right="1368" w:hanging="1400"/>
      <w:outlineLvl w:val="1"/>
    </w:pPr>
    <w:rPr>
      <w:rFonts w:ascii="Arial Unicode MS" w:hAnsi="Arial Unicode MS" w:eastAsia="Arial Unicode MS" w:cs="Arial Unicode MS"/>
      <w:sz w:val="40"/>
      <w:szCs w:val="40"/>
      <w:lang w:val="zh-CN" w:eastAsia="zh-CN" w:bidi="zh-CN"/>
    </w:rPr>
  </w:style>
  <w:style w:type="character" w:default="1" w:styleId="5">
    <w:name w:val="Default Paragraph Font"/>
    <w:semiHidden/>
    <w:unhideWhenUsed/>
    <w:qFormat/>
    <w:uiPriority w:val="1"/>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rPr>
      <w:rFonts w:ascii="Arial Unicode MS" w:hAnsi="Arial Unicode MS" w:eastAsia="Arial Unicode MS" w:cs="Arial Unicode MS"/>
      <w:sz w:val="30"/>
      <w:szCs w:val="30"/>
      <w:lang w:val="zh-CN" w:eastAsia="zh-CN" w:bidi="zh-CN"/>
    </w:rPr>
  </w:style>
  <w:style w:type="table" w:customStyle="1" w:styleId="6">
    <w:name w:val="Table Normal"/>
    <w:semiHidden/>
    <w:unhideWhenUsed/>
    <w:qFormat/>
    <w:uiPriority w:val="2"/>
    <w:tblPr>
      <w:tblCellMar>
        <w:top w:w="0" w:type="dxa"/>
        <w:left w:w="0" w:type="dxa"/>
        <w:bottom w:w="0" w:type="dxa"/>
        <w:right w:w="0" w:type="dxa"/>
      </w:tblCellMar>
    </w:tblPr>
  </w:style>
  <w:style w:type="paragraph" w:styleId="7">
    <w:name w:val="List Paragraph"/>
    <w:basedOn w:val="1"/>
    <w:qFormat/>
    <w:uiPriority w:val="1"/>
    <w:pPr>
      <w:ind w:left="100" w:right="257" w:firstLine="600"/>
    </w:pPr>
    <w:rPr>
      <w:rFonts w:ascii="Arial Unicode MS" w:hAnsi="Arial Unicode MS" w:eastAsia="Arial Unicode MS" w:cs="Arial Unicode MS"/>
      <w:lang w:val="zh-CN" w:eastAsia="zh-CN" w:bidi="zh-CN"/>
    </w:rPr>
  </w:style>
  <w:style w:type="paragraph" w:customStyle="1" w:styleId="8">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568</TotalTime>
  <ScaleCrop>false</ScaleCrop>
  <LinksUpToDate>false</LinksUpToDate>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2020-05-22T06:23:00Z</dcterms:created>
  <dc:creator>Administrator</dc:creator>
  <cp:lastModifiedBy> 丽  小木  </cp:lastModifiedBy>
  <dcterms:modified xsi:type="dcterms:W3CDTF">2020-08-21T05:56:14Z</dcterms:modified>
  <dc:title>附录</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2018-11-09T00:00:00Z</vt:filetime>
  </property>
  <property fmtid="{D5CDD505-2E9C-101B-9397-08002B2CF9AE}" pid="3" name="Creator">
    <vt:lpwstr>WPS Office</vt:lpwstr>
  </property>
  <property fmtid="{D5CDD505-2E9C-101B-9397-08002B2CF9AE}" pid="4" name="LastSaved">
    <vt:filetime>2020-05-22T00:00:00Z</vt:filetime>
  </property>
  <property fmtid="{D5CDD505-2E9C-101B-9397-08002B2CF9AE}" pid="5" name="KSOProductBuildVer">
    <vt:lpwstr>2052-11.1.0.9912</vt:lpwstr>
  </property>
</Properties>
</file>