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0" w:line="600" w:lineRule="exact"/>
        <w:ind w:right="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关于对社会保险领域严重失信企业及其有关</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right="0"/>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人员实施联合惩戒的合作备忘录</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为深入学习贯彻习近平新时代中国特色社会主义思想和党的十九大精神，落实《社会保险法》《国务院关于印发社会信用体系建设规划纲要（2014-2020 年）的通知》（国发〔2014〕21号）、《国务院关于建立完善守信联合激励和失信联合惩戒制度加快推进社会诚信建设的指导意见》（国发〔2016〕33 号）等文件要求，加快推进社会信用体系建设，健全跨部门失信联合惩戒机制，打击社会保险领域违法失信行为，国家发展改革委、人民银行、人力资源社会保障部、中央组织部、中央宣传部、中央编办、中央文明办、中央网信办、工业和信息化部、财政部、自然资源部、住房城乡建设部、交通运输部、水利部、商务部、卫生健康委、应急管理部、国资委、海关总署、税务总局、市场监管总局、国际发展合作署、医保局、银保监会、证监会、民航局、外汇局、铁路总公司等部门就社会保险领域严重失信企业及其有关人员实施联合惩戒达成如下一致意见。</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一、惩戒对象</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联合惩戒的对象是指人力资源社会保障部、税务总局和医疗保障局会同有关部门确定的违反社会保险相关法律、法规和规章的企事业单位及其有关人员，其严重失信、失范行为主要包括以下情形：</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（一）用人单位未按相关规定参加社会保险且拒不整改的；</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（二）用人单位未如实申报社会保险缴费基数且拒不整改的；</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（三）应缴纳社会保险费却拒不缴纳的；</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（四）隐匿、转移、侵占、挪用社会保险费款、基金或者违规投资运营的；</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（五）以欺诈、伪造证明材料或者其他手段参加、申报社会保险和骗取社会保险基金支出或社会保险待遇的；</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（六）非法获取、出售或变相交易社会保险个人权益数据的；</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（七）社会保险服务机构违反服务协议或相关规定的；</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（八）拒绝协助社会保险行政部门、经办机构对事故和问题进行调查核实的；拒绝接受或协助税务部门对社会保险实施监督检查，不如实提供与社会保险相关各项资料的；</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（九）其他违反法律法规规定的。</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二、信息共享与联合惩戒的实施方式</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人力资源社会保障部、税务总局和医疗保障局通过全国信用信息共享平台依法依规向签署本备忘录的其他部门和单位提供社会保险领域相关失信用人单位信息，并在</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信用中国</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网站、国家企业信用信息公示系统、人力资源社会保障部、税务总局和医疗保障局网站向社会公布。有关部门和单位按照本备忘录规定实施联合惩戒措施，并根据实际情况定期将联合惩戒实施情况通过全国信用信息共享平台反馈至国家发展改革委、人力资源社会保障部、税务总局和医疗保障局。</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三、惩戒措施</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（一）限制招录（聘）失信人为公务员或事业单位工作人员。</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（实施单位：中央组织部、人力资源社会保障部等相关部门）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（二）将失信企业列为重点监督检查对象，增加社会保险监督检查和稽核的频次，再次发现有社会保险违法违规行为的，延长公示期限。</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（实施单位：人力资源社会保障部、税务总局、医疗保障局）</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（三）限制失信企业参与社会保险业务合作项目。</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（实施单位：人力资源社会保障部等相关部门）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（四）限制失信主体办理社会保险业务的便捷性。</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（实施单位：人力资资源社会保障部等相关部门）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（五）依法限制失信企业申请财政补助补贴性资金和社会保障资金支持。</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（实施单位：国家发展改革委、财政部、人力资源社会保障部及相关部门）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（六）依法限制失信企业作为供应商参加政府采购活动。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（实施单位：财政部）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（七）依法将失信信息作为选择基础设施和公用事业特许经营等政府和社会资本合作项目合作伙伴的重要参考因素，限制失信主体成为项目合作伙伴。</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（实施单位：国家发展改革委、财政部）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八）将失信信息作为证券公司、基金管理公司及期货公司的设立及股权或实际控制人变更审批或备案，私募投资基金管理人登记、重大事项变更以及基金备案的参考；将失信信息作为公司债券审核或备案的参考；对存在失信记录的相关主体在上市公司或者非上市公众公司收购的事中事后监管中予以重点关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（实施单位：国家发展改革委、证监会）</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（九）在股票、可转换债券发行审核及在全国中小企业股份转让系统挂牌公开转让审核中，将失信信息作为参考。</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（实施单位：证监会）</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（十）对存在失信记录的相关主体在证券、基金、期货从业资格申请中予以从严审核，对已成为证券、基金、期货从业人员的相关主体予以重点关注。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（实施单位：证监会）</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（十一）将失信信息作为非上市公众公司重大资产重组审核的参考。</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（实施单位：证监会）</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（十二）将失信信息作为基金销售资格审批的参考。</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（实施单位：证监会）</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（十三）将违法失信信息作为审核或注册公司信用类债券的重要参考。</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（实施单位：国家发展改革委、人民银行）</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（十四）将失信企业及其有关人员的失信信息纳入金融信用信息基础数据库，为金融机构融资授信提供重要参考。</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（实施单位：人民银行）</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十五）依法限制失信企业设立融资性担保公司；依法限制失信相关责任人任职融资性担保公司或金融机构的董事、监事、高级管理人员。将失信信息作为证券公司、基金管理公司及期货公司的董事、监事和高级管理人员及分支机构负责人任职审批或备案的参考。</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（实施单位：银保监会、证监会、工业和信息化部、财政部、市场监管总局等相关部门以及地方政府确定的融资性担保公司监管机构）</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十六）将失信企业相关信息作为设立保险公司审批参考,作为保险中介业务许可和保险专业中介机构变更股权、实际控制人备案的参考；依法限制失信企业及失信企业（企事业单位）的法定代表人、主要负责人、影响债务履行的直接责任人员、实际控制人支付高额保费购买具有现金价值的保险产品。</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（实施单位：银保监会）</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（十七）将失信企业相关信息作为设立商业银行或分行、代表处以及参股、收购商业银行的审批时审慎性参考。</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（实施单位：银保监会）</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（十八）将失信信息作为境内上市公司实行股权激励计划或相关人员成为股权激励对象事中事后监管的参考。</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（实施单位：证监会、国资委、财政部）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（十九）在合格境外机构投资者、合格境内机构投资者额度审批和管理中，将失信状况作为审慎性参考依据。</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（实施单位：外汇局）</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（二十）在融资授信时查询拟授信对象及其法定代表人、实际控制人、董事、监事、高级管理人员是否为失信责任主体，对拟授信对象为失信责任主体的从严审核。</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（实施单位：人民银行、银保监会）</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（二十一）限制严重失信行为有关责任人乘坐飞机、列车软卧、轮船二等以上仓位、G 字头动车组列车全部座位、其他动车组一等以上座位等非生活和工作必须的消费行为。</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（实施单位：交通运输部、民航局、铁路总公司等相关部门）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（二十二）将相关机构及其法人代表、实际控制人、董事、监事、高级管理人等失信责任主体状况作为优惠性政策支持的审慎性参考。</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（实施单位：国家发展改革委、商务部、海关总署、税务总局、市场监管总局）</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（二十三）对失信企业在取得政府供应土地方面依法予以限制或禁止。</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（实施单位：自然资源部）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（二十四）依法限制失信企业参与工程建设项目招标投标。</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（实施单位：国家发展改革委、工业和信息化部、住房城乡建设部、交通运输部、水利部、商务部、国际发展合作署、民航局、铁路总公司）</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（二十五）依法限制失信企业受让收费公路权益。</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（实施单位：交通运输部）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（二十六）失信企业申请适用海关认证企业管理的，海关不予通过认证；已经成为认证企业的，按照规定下调企业信用等级。</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（实施单位：海关总署）</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（二十七）在失信企业申请办理相关海关业务时，对其进出口货物实施严密监管，加强布控查验、后续稽查或统计监督核查。</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（实施单位：海关总署）</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二十八）失信责任主体为个人的，依法限制其担任国有独资公司法定代表人、董事、监事及国有资本控股或参股公司法定代表人、董事、监事及国有企业的法定代表人、高级管理人员；已担任相关职务的，提出其不再担任相关职务的意见。</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（实施单位：中央组织部、国资委、财政部等相关部门）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（二十九）失信责任主体为个人的，依法限制登记为事业单位法定代表人。失信责任主体是机构的，该机构法定代表人依法限制登记为事业单位法定代表人。</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（实施单位：中央编办）</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三十）将失信企业和以失信责任主体为法定代表人、实际控制人、董事、监事、高级管理人员的单位，作为重点监管对象，加大日常监管力度，提高随机抽查的比例和频次，并可依据相关法律法规对其采取行政监管措施。</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（实施单位：相关市场监管、行业主管部门）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（三十一）通过主要新闻网站向社会公布失信责任主体信息。</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（实施单位：中央网信办）</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（三十二）对于机关、企事业单位、社会团体或其领导成员为失信单位或个人的，不得参加文明单位、道德模范等各类评选表彰， 已经取得荣誉称号的予以撤销。</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rPr>
        <w:t>（实施单位：中央宣传部、中央文明办</w:t>
      </w:r>
      <w:r>
        <w:rPr>
          <w:rFonts w:hint="eastAsia" w:ascii="仿宋" w:hAnsi="仿宋" w:eastAsia="仿宋" w:cs="仿宋"/>
          <w:spacing w:val="0"/>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四、共享信息的持续管理</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人力资源社会保障部、税务总局、医疗保障局和国家发展改革委在全国信用信息共享平台的失信联合惩戒系统上及时更新社会保险领域相关失信企业及其有关人员信息，其他部门和单位根据各自职责，按照法律法规和有关规定实施惩戒或解除惩戒。同时，有关部门要依法依规规范失信企业及其有关人员名单产生和发布行为，建立健全退出机制和异议、投诉制度。</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五、其他事宜</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各部门和单位应密切协作，积极落实本备忘录，积极推动修改相关领域法律法规，制定修改部门规章和规范性文件，指导和要求相关领域内部各层级单位依法依规实施具体、严格、有效的惩戒措施。本备忘录实施过程中的具体操作问题，由各部门另行协商解决。</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pacing w:val="0"/>
          <w:sz w:val="32"/>
        </w:rPr>
      </w:pPr>
      <w:r>
        <w:rPr>
          <w:rFonts w:hint="eastAsia" w:ascii="仿宋" w:hAnsi="仿宋" w:eastAsia="仿宋" w:cs="仿宋"/>
          <w:spacing w:val="0"/>
          <w:sz w:val="32"/>
          <w:szCs w:val="32"/>
        </w:rPr>
        <w:t>附表：联合惩戒措施相关依据和实施单位</w:t>
      </w:r>
    </w:p>
    <w:p>
      <w:pPr>
        <w:spacing w:after="0"/>
        <w:sectPr>
          <w:footerReference r:id="rId3" w:type="default"/>
          <w:pgSz w:w="11910" w:h="16840"/>
          <w:pgMar w:top="1871" w:right="1417" w:bottom="1871" w:left="1417" w:header="0" w:footer="1721" w:gutter="0"/>
        </w:sectPr>
      </w:pPr>
    </w:p>
    <w:p>
      <w:pPr>
        <w:pStyle w:val="3"/>
        <w:rPr>
          <w:sz w:val="20"/>
        </w:rPr>
      </w:pPr>
    </w:p>
    <w:p>
      <w:pPr>
        <w:pStyle w:val="3"/>
        <w:rPr>
          <w:sz w:val="20"/>
        </w:rPr>
      </w:pPr>
    </w:p>
    <w:p>
      <w:pPr>
        <w:pStyle w:val="3"/>
        <w:spacing w:before="16"/>
        <w:rPr>
          <w:sz w:val="17"/>
        </w:rPr>
      </w:pPr>
    </w:p>
    <w:p>
      <w:pPr>
        <w:spacing w:before="62"/>
        <w:ind w:left="215" w:right="0" w:firstLine="0"/>
        <w:jc w:val="left"/>
        <w:rPr>
          <w:rFonts w:hint="eastAsia" w:eastAsia="宋体"/>
          <w:b/>
          <w:sz w:val="28"/>
          <w:lang w:eastAsia="zh-CN"/>
        </w:rPr>
      </w:pPr>
      <w:r>
        <w:rPr>
          <w:b/>
          <w:sz w:val="28"/>
        </w:rPr>
        <w:t>附表</w:t>
      </w:r>
      <w:r>
        <w:rPr>
          <w:rFonts w:hint="eastAsia"/>
          <w:b/>
          <w:sz w:val="28"/>
          <w:lang w:eastAsia="zh-CN"/>
        </w:rPr>
        <w:t>：</w:t>
      </w:r>
    </w:p>
    <w:p>
      <w:pPr>
        <w:pStyle w:val="2"/>
        <w:spacing w:before="183" w:after="60"/>
        <w:ind w:left="3917" w:right="4202" w:firstLine="0"/>
        <w:jc w:val="center"/>
      </w:pPr>
      <w:r>
        <w:t>联合惩戒措施相关依据和实施单位</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626" w:type="dxa"/>
          </w:tcPr>
          <w:p>
            <w:pPr>
              <w:pStyle w:val="8"/>
              <w:spacing w:before="33"/>
              <w:ind w:left="332"/>
              <w:rPr>
                <w:b/>
                <w:sz w:val="24"/>
              </w:rPr>
            </w:pPr>
            <w:r>
              <w:rPr>
                <w:b/>
                <w:sz w:val="24"/>
              </w:rPr>
              <w:t>惩戒措施</w:t>
            </w:r>
          </w:p>
        </w:tc>
        <w:tc>
          <w:tcPr>
            <w:tcW w:w="10220" w:type="dxa"/>
          </w:tcPr>
          <w:p>
            <w:pPr>
              <w:pStyle w:val="8"/>
              <w:spacing w:before="33"/>
              <w:ind w:left="508" w:right="14"/>
              <w:jc w:val="center"/>
              <w:rPr>
                <w:b/>
                <w:sz w:val="24"/>
              </w:rPr>
            </w:pPr>
            <w:r>
              <w:rPr>
                <w:b/>
                <w:sz w:val="24"/>
              </w:rPr>
              <w:t>法律及政策依据</w:t>
            </w:r>
          </w:p>
        </w:tc>
        <w:tc>
          <w:tcPr>
            <w:tcW w:w="2081" w:type="dxa"/>
          </w:tcPr>
          <w:p>
            <w:pPr>
              <w:pStyle w:val="8"/>
              <w:spacing w:before="33"/>
              <w:ind w:left="558"/>
              <w:rPr>
                <w:b/>
                <w:sz w:val="24"/>
              </w:rPr>
            </w:pPr>
            <w:r>
              <w:rPr>
                <w:b/>
                <w:sz w:val="24"/>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626" w:type="dxa"/>
            <w:tcBorders>
              <w:bottom w:val="nil"/>
            </w:tcBorders>
          </w:tcPr>
          <w:p>
            <w:pPr>
              <w:pStyle w:val="8"/>
              <w:rPr>
                <w:rFonts w:ascii="Times New Roman"/>
                <w:sz w:val="20"/>
              </w:rPr>
            </w:pPr>
          </w:p>
        </w:tc>
        <w:tc>
          <w:tcPr>
            <w:tcW w:w="10220" w:type="dxa"/>
            <w:tcBorders>
              <w:bottom w:val="nil"/>
            </w:tcBorders>
          </w:tcPr>
          <w:p>
            <w:pPr>
              <w:pStyle w:val="8"/>
              <w:spacing w:before="2" w:line="250" w:lineRule="exact"/>
              <w:ind w:left="528"/>
              <w:rPr>
                <w:b/>
                <w:sz w:val="21"/>
              </w:rPr>
            </w:pPr>
            <w:r>
              <w:rPr>
                <w:b/>
                <w:sz w:val="21"/>
              </w:rPr>
              <w:t>1.《中华人民共和国公务员法》</w:t>
            </w:r>
          </w:p>
        </w:tc>
        <w:tc>
          <w:tcPr>
            <w:tcW w:w="2081" w:type="dxa"/>
            <w:tcBorders>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626" w:type="dxa"/>
            <w:tcBorders>
              <w:top w:val="nil"/>
              <w:bottom w:val="nil"/>
            </w:tcBorders>
          </w:tcPr>
          <w:p>
            <w:pPr>
              <w:pStyle w:val="8"/>
              <w:rPr>
                <w:rFonts w:ascii="Times New Roman"/>
                <w:sz w:val="20"/>
              </w:rPr>
            </w:pPr>
          </w:p>
        </w:tc>
        <w:tc>
          <w:tcPr>
            <w:tcW w:w="10220" w:type="dxa"/>
            <w:tcBorders>
              <w:top w:val="nil"/>
              <w:bottom w:val="nil"/>
            </w:tcBorders>
          </w:tcPr>
          <w:p>
            <w:pPr>
              <w:pStyle w:val="8"/>
              <w:spacing w:line="251" w:lineRule="exact"/>
              <w:ind w:left="528"/>
              <w:rPr>
                <w:sz w:val="21"/>
              </w:rPr>
            </w:pPr>
            <w:r>
              <w:rPr>
                <w:sz w:val="21"/>
              </w:rPr>
              <w:t>第十二条公务员应当履行下列义务：</w:t>
            </w:r>
          </w:p>
        </w:tc>
        <w:tc>
          <w:tcPr>
            <w:tcW w:w="2081"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626" w:type="dxa"/>
            <w:tcBorders>
              <w:top w:val="nil"/>
              <w:bottom w:val="nil"/>
            </w:tcBorders>
          </w:tcPr>
          <w:p>
            <w:pPr>
              <w:pStyle w:val="8"/>
              <w:rPr>
                <w:rFonts w:ascii="Times New Roman"/>
                <w:sz w:val="20"/>
              </w:rPr>
            </w:pPr>
          </w:p>
        </w:tc>
        <w:tc>
          <w:tcPr>
            <w:tcW w:w="10220" w:type="dxa"/>
            <w:tcBorders>
              <w:top w:val="nil"/>
              <w:bottom w:val="nil"/>
            </w:tcBorders>
          </w:tcPr>
          <w:p>
            <w:pPr>
              <w:pStyle w:val="8"/>
              <w:spacing w:line="252" w:lineRule="exact"/>
              <w:ind w:left="528"/>
              <w:rPr>
                <w:sz w:val="21"/>
              </w:rPr>
            </w:pPr>
            <w:r>
              <w:rPr>
                <w:sz w:val="21"/>
              </w:rPr>
              <w:t>（一）模范遵守宪法和法律；</w:t>
            </w:r>
          </w:p>
        </w:tc>
        <w:tc>
          <w:tcPr>
            <w:tcW w:w="2081"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626" w:type="dxa"/>
            <w:tcBorders>
              <w:top w:val="nil"/>
              <w:bottom w:val="nil"/>
            </w:tcBorders>
          </w:tcPr>
          <w:p>
            <w:pPr>
              <w:pStyle w:val="8"/>
              <w:rPr>
                <w:rFonts w:ascii="Times New Roman"/>
                <w:sz w:val="20"/>
              </w:rPr>
            </w:pPr>
          </w:p>
        </w:tc>
        <w:tc>
          <w:tcPr>
            <w:tcW w:w="10220" w:type="dxa"/>
            <w:tcBorders>
              <w:top w:val="nil"/>
              <w:bottom w:val="nil"/>
            </w:tcBorders>
          </w:tcPr>
          <w:p>
            <w:pPr>
              <w:pStyle w:val="8"/>
              <w:spacing w:before="2" w:line="250" w:lineRule="exact"/>
              <w:ind w:left="528"/>
              <w:rPr>
                <w:sz w:val="21"/>
              </w:rPr>
            </w:pPr>
            <w:r>
              <w:rPr>
                <w:sz w:val="21"/>
              </w:rPr>
              <w:t>（二）按照规定的权限和程序认真履行职责，努力提高工作效率；</w:t>
            </w:r>
          </w:p>
        </w:tc>
        <w:tc>
          <w:tcPr>
            <w:tcW w:w="2081"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626" w:type="dxa"/>
            <w:tcBorders>
              <w:top w:val="nil"/>
              <w:bottom w:val="nil"/>
            </w:tcBorders>
          </w:tcPr>
          <w:p>
            <w:pPr>
              <w:pStyle w:val="8"/>
              <w:rPr>
                <w:rFonts w:ascii="Times New Roman"/>
                <w:sz w:val="20"/>
              </w:rPr>
            </w:pPr>
          </w:p>
        </w:tc>
        <w:tc>
          <w:tcPr>
            <w:tcW w:w="10220" w:type="dxa"/>
            <w:tcBorders>
              <w:top w:val="nil"/>
              <w:bottom w:val="nil"/>
            </w:tcBorders>
          </w:tcPr>
          <w:p>
            <w:pPr>
              <w:pStyle w:val="8"/>
              <w:spacing w:line="252" w:lineRule="exact"/>
              <w:ind w:left="528"/>
              <w:rPr>
                <w:sz w:val="21"/>
              </w:rPr>
            </w:pPr>
            <w:r>
              <w:rPr>
                <w:sz w:val="21"/>
              </w:rPr>
              <w:t>（三）全心全意为人民服务，接受人民监督；</w:t>
            </w:r>
          </w:p>
        </w:tc>
        <w:tc>
          <w:tcPr>
            <w:tcW w:w="2081"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626" w:type="dxa"/>
            <w:tcBorders>
              <w:top w:val="nil"/>
              <w:bottom w:val="nil"/>
            </w:tcBorders>
          </w:tcPr>
          <w:p>
            <w:pPr>
              <w:pStyle w:val="8"/>
              <w:rPr>
                <w:rFonts w:ascii="Times New Roman"/>
                <w:sz w:val="20"/>
              </w:rPr>
            </w:pPr>
          </w:p>
        </w:tc>
        <w:tc>
          <w:tcPr>
            <w:tcW w:w="10220" w:type="dxa"/>
            <w:tcBorders>
              <w:top w:val="nil"/>
              <w:bottom w:val="nil"/>
            </w:tcBorders>
          </w:tcPr>
          <w:p>
            <w:pPr>
              <w:pStyle w:val="8"/>
              <w:spacing w:before="2" w:line="250" w:lineRule="exact"/>
              <w:ind w:left="528"/>
              <w:rPr>
                <w:sz w:val="21"/>
              </w:rPr>
            </w:pPr>
            <w:r>
              <w:rPr>
                <w:sz w:val="21"/>
              </w:rPr>
              <w:t>（四）维护国家的安全、荣誉和利益；</w:t>
            </w:r>
          </w:p>
        </w:tc>
        <w:tc>
          <w:tcPr>
            <w:tcW w:w="2081"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626" w:type="dxa"/>
            <w:tcBorders>
              <w:top w:val="nil"/>
              <w:bottom w:val="nil"/>
            </w:tcBorders>
          </w:tcPr>
          <w:p>
            <w:pPr>
              <w:pStyle w:val="8"/>
              <w:rPr>
                <w:rFonts w:ascii="Times New Roman"/>
                <w:sz w:val="20"/>
              </w:rPr>
            </w:pPr>
          </w:p>
        </w:tc>
        <w:tc>
          <w:tcPr>
            <w:tcW w:w="10220" w:type="dxa"/>
            <w:tcBorders>
              <w:top w:val="nil"/>
              <w:bottom w:val="nil"/>
            </w:tcBorders>
          </w:tcPr>
          <w:p>
            <w:pPr>
              <w:pStyle w:val="8"/>
              <w:spacing w:line="252" w:lineRule="exact"/>
              <w:ind w:left="528"/>
              <w:rPr>
                <w:sz w:val="21"/>
              </w:rPr>
            </w:pPr>
            <w:r>
              <w:rPr>
                <w:sz w:val="21"/>
              </w:rPr>
              <w:t>（五）忠于职守，勤勉尽责，服从和执行上级依法作出的决定和命令；</w:t>
            </w:r>
          </w:p>
        </w:tc>
        <w:tc>
          <w:tcPr>
            <w:tcW w:w="2081"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626" w:type="dxa"/>
            <w:tcBorders>
              <w:top w:val="nil"/>
              <w:bottom w:val="nil"/>
            </w:tcBorders>
          </w:tcPr>
          <w:p>
            <w:pPr>
              <w:pStyle w:val="8"/>
              <w:rPr>
                <w:rFonts w:ascii="Times New Roman"/>
                <w:sz w:val="20"/>
              </w:rPr>
            </w:pPr>
          </w:p>
        </w:tc>
        <w:tc>
          <w:tcPr>
            <w:tcW w:w="10220" w:type="dxa"/>
            <w:tcBorders>
              <w:top w:val="nil"/>
              <w:bottom w:val="nil"/>
            </w:tcBorders>
          </w:tcPr>
          <w:p>
            <w:pPr>
              <w:pStyle w:val="8"/>
              <w:spacing w:before="2" w:line="250" w:lineRule="exact"/>
              <w:ind w:left="528"/>
              <w:rPr>
                <w:sz w:val="21"/>
              </w:rPr>
            </w:pPr>
            <w:r>
              <w:rPr>
                <w:sz w:val="21"/>
              </w:rPr>
              <w:t>（六）保守国家秘密和工作秘密；</w:t>
            </w:r>
          </w:p>
        </w:tc>
        <w:tc>
          <w:tcPr>
            <w:tcW w:w="2081"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626" w:type="dxa"/>
            <w:tcBorders>
              <w:top w:val="nil"/>
              <w:bottom w:val="nil"/>
            </w:tcBorders>
          </w:tcPr>
          <w:p>
            <w:pPr>
              <w:pStyle w:val="8"/>
              <w:rPr>
                <w:rFonts w:ascii="Times New Roman"/>
                <w:sz w:val="20"/>
              </w:rPr>
            </w:pPr>
          </w:p>
        </w:tc>
        <w:tc>
          <w:tcPr>
            <w:tcW w:w="10220" w:type="dxa"/>
            <w:tcBorders>
              <w:top w:val="nil"/>
              <w:bottom w:val="nil"/>
            </w:tcBorders>
          </w:tcPr>
          <w:p>
            <w:pPr>
              <w:pStyle w:val="8"/>
              <w:spacing w:line="252" w:lineRule="exact"/>
              <w:ind w:left="528"/>
              <w:rPr>
                <w:sz w:val="21"/>
              </w:rPr>
            </w:pPr>
            <w:r>
              <w:rPr>
                <w:sz w:val="21"/>
              </w:rPr>
              <w:t>（七）遵守纪律，恪守职业道德，模范遵守社会公德；</w:t>
            </w:r>
          </w:p>
        </w:tc>
        <w:tc>
          <w:tcPr>
            <w:tcW w:w="2081"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1626" w:type="dxa"/>
            <w:tcBorders>
              <w:top w:val="nil"/>
              <w:bottom w:val="nil"/>
            </w:tcBorders>
          </w:tcPr>
          <w:p>
            <w:pPr>
              <w:pStyle w:val="8"/>
              <w:spacing w:before="136"/>
              <w:ind w:left="106"/>
              <w:jc w:val="both"/>
              <w:rPr>
                <w:sz w:val="21"/>
              </w:rPr>
            </w:pPr>
            <w:r>
              <w:rPr>
                <w:sz w:val="21"/>
              </w:rPr>
              <w:t>1. 限 制 招 录</w:t>
            </w:r>
          </w:p>
          <w:p>
            <w:pPr>
              <w:pStyle w:val="8"/>
              <w:spacing w:before="2" w:line="242" w:lineRule="auto"/>
              <w:ind w:left="106" w:right="38"/>
              <w:jc w:val="both"/>
              <w:rPr>
                <w:sz w:val="21"/>
              </w:rPr>
            </w:pPr>
            <w:r>
              <w:rPr>
                <w:sz w:val="21"/>
              </w:rPr>
              <w:t>（聘</w:t>
            </w:r>
            <w:r>
              <w:rPr>
                <w:spacing w:val="-58"/>
                <w:sz w:val="21"/>
              </w:rPr>
              <w:t>）</w:t>
            </w:r>
            <w:r>
              <w:rPr>
                <w:sz w:val="21"/>
              </w:rPr>
              <w:t>失信人为</w:t>
            </w:r>
            <w:r>
              <w:rPr>
                <w:spacing w:val="25"/>
                <w:sz w:val="21"/>
              </w:rPr>
              <w:t>公务员或事业</w:t>
            </w:r>
            <w:r>
              <w:rPr>
                <w:spacing w:val="19"/>
                <w:sz w:val="21"/>
              </w:rPr>
              <w:t>单位工作人员。</w:t>
            </w:r>
          </w:p>
        </w:tc>
        <w:tc>
          <w:tcPr>
            <w:tcW w:w="10220" w:type="dxa"/>
            <w:tcBorders>
              <w:top w:val="nil"/>
              <w:bottom w:val="nil"/>
            </w:tcBorders>
          </w:tcPr>
          <w:p>
            <w:pPr>
              <w:pStyle w:val="8"/>
              <w:spacing w:before="2"/>
              <w:ind w:left="528"/>
              <w:rPr>
                <w:sz w:val="21"/>
              </w:rPr>
            </w:pPr>
            <w:r>
              <w:rPr>
                <w:w w:val="95"/>
                <w:sz w:val="21"/>
              </w:rPr>
              <w:t>（八）清正廉洁，公道正派；</w:t>
            </w:r>
          </w:p>
          <w:p>
            <w:pPr>
              <w:pStyle w:val="8"/>
              <w:spacing w:before="2"/>
              <w:ind w:left="528"/>
              <w:rPr>
                <w:sz w:val="21"/>
              </w:rPr>
            </w:pPr>
            <w:r>
              <w:rPr>
                <w:w w:val="95"/>
                <w:sz w:val="21"/>
              </w:rPr>
              <w:t>（九）法律规定的其他义务。</w:t>
            </w:r>
          </w:p>
          <w:p>
            <w:pPr>
              <w:pStyle w:val="8"/>
              <w:spacing w:before="2"/>
              <w:ind w:left="528"/>
              <w:rPr>
                <w:sz w:val="21"/>
              </w:rPr>
            </w:pPr>
            <w:r>
              <w:rPr>
                <w:sz w:val="21"/>
              </w:rPr>
              <w:t>第二十四条下列人员不得录用为公务员：</w:t>
            </w:r>
          </w:p>
          <w:p>
            <w:pPr>
              <w:pStyle w:val="8"/>
              <w:spacing w:before="4"/>
              <w:ind w:left="528"/>
              <w:rPr>
                <w:sz w:val="21"/>
              </w:rPr>
            </w:pPr>
            <w:r>
              <w:rPr>
                <w:sz w:val="21"/>
              </w:rPr>
              <w:t>（一）曾因犯罪受过刑事处罚的；</w:t>
            </w:r>
          </w:p>
          <w:p>
            <w:pPr>
              <w:pStyle w:val="8"/>
              <w:spacing w:before="5" w:line="250" w:lineRule="exact"/>
              <w:ind w:left="528"/>
              <w:rPr>
                <w:sz w:val="21"/>
              </w:rPr>
            </w:pPr>
            <w:r>
              <w:rPr>
                <w:sz w:val="21"/>
              </w:rPr>
              <w:t>（二）曾被开除公职的；</w:t>
            </w:r>
          </w:p>
        </w:tc>
        <w:tc>
          <w:tcPr>
            <w:tcW w:w="2081" w:type="dxa"/>
            <w:tcBorders>
              <w:top w:val="nil"/>
              <w:bottom w:val="nil"/>
            </w:tcBorders>
          </w:tcPr>
          <w:p>
            <w:pPr>
              <w:pStyle w:val="8"/>
              <w:spacing w:before="12"/>
              <w:rPr>
                <w:rFonts w:ascii="Arial Unicode MS"/>
                <w:sz w:val="15"/>
              </w:rPr>
            </w:pPr>
          </w:p>
          <w:p>
            <w:pPr>
              <w:pStyle w:val="8"/>
              <w:ind w:left="107"/>
              <w:rPr>
                <w:sz w:val="21"/>
              </w:rPr>
            </w:pPr>
            <w:r>
              <w:rPr>
                <w:w w:val="95"/>
                <w:sz w:val="21"/>
              </w:rPr>
              <w:t>中央组织部、</w:t>
            </w:r>
          </w:p>
          <w:p>
            <w:pPr>
              <w:pStyle w:val="8"/>
              <w:spacing w:before="2" w:line="242" w:lineRule="auto"/>
              <w:ind w:left="107" w:right="283"/>
              <w:rPr>
                <w:sz w:val="21"/>
              </w:rPr>
            </w:pPr>
            <w:r>
              <w:rPr>
                <w:spacing w:val="-2"/>
                <w:sz w:val="21"/>
              </w:rPr>
              <w:t>人力资源社会保障</w:t>
            </w:r>
            <w:r>
              <w:rPr>
                <w:sz w:val="21"/>
              </w:rPr>
              <w:t>部等相关部门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626" w:type="dxa"/>
            <w:tcBorders>
              <w:top w:val="nil"/>
              <w:bottom w:val="nil"/>
            </w:tcBorders>
          </w:tcPr>
          <w:p>
            <w:pPr>
              <w:pStyle w:val="8"/>
              <w:rPr>
                <w:rFonts w:ascii="Times New Roman"/>
                <w:sz w:val="20"/>
              </w:rPr>
            </w:pPr>
          </w:p>
        </w:tc>
        <w:tc>
          <w:tcPr>
            <w:tcW w:w="10220" w:type="dxa"/>
            <w:tcBorders>
              <w:top w:val="nil"/>
              <w:bottom w:val="nil"/>
            </w:tcBorders>
          </w:tcPr>
          <w:p>
            <w:pPr>
              <w:pStyle w:val="8"/>
              <w:spacing w:line="252" w:lineRule="exact"/>
              <w:ind w:left="528"/>
              <w:rPr>
                <w:sz w:val="21"/>
              </w:rPr>
            </w:pPr>
            <w:r>
              <w:rPr>
                <w:sz w:val="21"/>
              </w:rPr>
              <w:t>（三）有法律规定不得录用为公务员的其他情形的。</w:t>
            </w:r>
          </w:p>
        </w:tc>
        <w:tc>
          <w:tcPr>
            <w:tcW w:w="2081"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626" w:type="dxa"/>
            <w:tcBorders>
              <w:top w:val="nil"/>
              <w:bottom w:val="nil"/>
            </w:tcBorders>
          </w:tcPr>
          <w:p>
            <w:pPr>
              <w:pStyle w:val="8"/>
              <w:rPr>
                <w:rFonts w:ascii="Times New Roman"/>
                <w:sz w:val="20"/>
              </w:rPr>
            </w:pPr>
          </w:p>
        </w:tc>
        <w:tc>
          <w:tcPr>
            <w:tcW w:w="10220" w:type="dxa"/>
            <w:tcBorders>
              <w:top w:val="nil"/>
              <w:bottom w:val="nil"/>
            </w:tcBorders>
          </w:tcPr>
          <w:p>
            <w:pPr>
              <w:pStyle w:val="8"/>
              <w:spacing w:before="2" w:line="250" w:lineRule="exact"/>
              <w:ind w:left="528"/>
              <w:rPr>
                <w:b/>
                <w:sz w:val="21"/>
              </w:rPr>
            </w:pPr>
            <w:r>
              <w:rPr>
                <w:b/>
                <w:sz w:val="21"/>
              </w:rPr>
              <w:t>2.《公务员录用规定（试行</w:t>
            </w:r>
            <w:r>
              <w:rPr>
                <w:b/>
                <w:spacing w:val="-104"/>
                <w:sz w:val="21"/>
              </w:rPr>
              <w:t>）</w:t>
            </w:r>
            <w:r>
              <w:rPr>
                <w:b/>
                <w:sz w:val="21"/>
              </w:rPr>
              <w:t>》</w:t>
            </w:r>
          </w:p>
        </w:tc>
        <w:tc>
          <w:tcPr>
            <w:tcW w:w="2081"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626" w:type="dxa"/>
            <w:tcBorders>
              <w:top w:val="nil"/>
              <w:bottom w:val="nil"/>
            </w:tcBorders>
          </w:tcPr>
          <w:p>
            <w:pPr>
              <w:pStyle w:val="8"/>
              <w:rPr>
                <w:rFonts w:ascii="Times New Roman"/>
                <w:sz w:val="20"/>
              </w:rPr>
            </w:pPr>
          </w:p>
        </w:tc>
        <w:tc>
          <w:tcPr>
            <w:tcW w:w="10220" w:type="dxa"/>
            <w:tcBorders>
              <w:top w:val="nil"/>
              <w:bottom w:val="nil"/>
            </w:tcBorders>
          </w:tcPr>
          <w:p>
            <w:pPr>
              <w:pStyle w:val="8"/>
              <w:spacing w:line="250" w:lineRule="exact"/>
              <w:ind w:left="528"/>
              <w:rPr>
                <w:sz w:val="21"/>
              </w:rPr>
            </w:pPr>
            <w:r>
              <w:rPr>
                <w:sz w:val="21"/>
              </w:rPr>
              <w:t>第十六条报考公务员，应当具备下列资格条件：</w:t>
            </w:r>
          </w:p>
        </w:tc>
        <w:tc>
          <w:tcPr>
            <w:tcW w:w="2081"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626" w:type="dxa"/>
            <w:tcBorders>
              <w:top w:val="nil"/>
              <w:bottom w:val="nil"/>
            </w:tcBorders>
          </w:tcPr>
          <w:p>
            <w:pPr>
              <w:pStyle w:val="8"/>
              <w:rPr>
                <w:rFonts w:ascii="Times New Roman"/>
                <w:sz w:val="20"/>
              </w:rPr>
            </w:pPr>
          </w:p>
        </w:tc>
        <w:tc>
          <w:tcPr>
            <w:tcW w:w="10220" w:type="dxa"/>
            <w:tcBorders>
              <w:top w:val="nil"/>
              <w:bottom w:val="nil"/>
            </w:tcBorders>
          </w:tcPr>
          <w:p>
            <w:pPr>
              <w:pStyle w:val="8"/>
              <w:spacing w:line="252" w:lineRule="exact"/>
              <w:ind w:left="528"/>
              <w:rPr>
                <w:sz w:val="21"/>
              </w:rPr>
            </w:pPr>
            <w:r>
              <w:rPr>
                <w:sz w:val="21"/>
              </w:rPr>
              <w:t>（四）具有良好的品行；</w:t>
            </w:r>
          </w:p>
        </w:tc>
        <w:tc>
          <w:tcPr>
            <w:tcW w:w="2081"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626" w:type="dxa"/>
            <w:tcBorders>
              <w:top w:val="nil"/>
              <w:bottom w:val="nil"/>
            </w:tcBorders>
          </w:tcPr>
          <w:p>
            <w:pPr>
              <w:pStyle w:val="8"/>
              <w:rPr>
                <w:rFonts w:ascii="Times New Roman"/>
                <w:sz w:val="20"/>
              </w:rPr>
            </w:pPr>
          </w:p>
        </w:tc>
        <w:tc>
          <w:tcPr>
            <w:tcW w:w="10220" w:type="dxa"/>
            <w:tcBorders>
              <w:top w:val="nil"/>
              <w:bottom w:val="nil"/>
            </w:tcBorders>
          </w:tcPr>
          <w:p>
            <w:pPr>
              <w:pStyle w:val="8"/>
              <w:spacing w:before="2" w:line="250" w:lineRule="exact"/>
              <w:ind w:left="528"/>
              <w:rPr>
                <w:sz w:val="21"/>
              </w:rPr>
            </w:pPr>
            <w:r>
              <w:rPr>
                <w:sz w:val="21"/>
              </w:rPr>
              <w:t>（八）省级以上公务员主管部门规定的拟任职位所要求的资格条件；</w:t>
            </w:r>
          </w:p>
        </w:tc>
        <w:tc>
          <w:tcPr>
            <w:tcW w:w="2081"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626" w:type="dxa"/>
            <w:tcBorders>
              <w:top w:val="nil"/>
              <w:bottom w:val="nil"/>
            </w:tcBorders>
          </w:tcPr>
          <w:p>
            <w:pPr>
              <w:pStyle w:val="8"/>
              <w:rPr>
                <w:rFonts w:ascii="Times New Roman"/>
                <w:sz w:val="20"/>
              </w:rPr>
            </w:pPr>
          </w:p>
        </w:tc>
        <w:tc>
          <w:tcPr>
            <w:tcW w:w="10220" w:type="dxa"/>
            <w:tcBorders>
              <w:top w:val="nil"/>
              <w:bottom w:val="nil"/>
            </w:tcBorders>
          </w:tcPr>
          <w:p>
            <w:pPr>
              <w:pStyle w:val="8"/>
              <w:spacing w:line="252" w:lineRule="exact"/>
              <w:ind w:left="528"/>
              <w:rPr>
                <w:sz w:val="21"/>
              </w:rPr>
            </w:pPr>
            <w:r>
              <w:rPr>
                <w:sz w:val="21"/>
              </w:rPr>
              <w:t>（九）法律、法规规定的其他条件。</w:t>
            </w:r>
          </w:p>
        </w:tc>
        <w:tc>
          <w:tcPr>
            <w:tcW w:w="2081"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626" w:type="dxa"/>
            <w:tcBorders>
              <w:top w:val="nil"/>
              <w:bottom w:val="nil"/>
            </w:tcBorders>
          </w:tcPr>
          <w:p>
            <w:pPr>
              <w:pStyle w:val="8"/>
              <w:rPr>
                <w:rFonts w:ascii="Times New Roman"/>
                <w:sz w:val="20"/>
              </w:rPr>
            </w:pPr>
          </w:p>
        </w:tc>
        <w:tc>
          <w:tcPr>
            <w:tcW w:w="10220" w:type="dxa"/>
            <w:tcBorders>
              <w:top w:val="nil"/>
              <w:bottom w:val="nil"/>
            </w:tcBorders>
          </w:tcPr>
          <w:p>
            <w:pPr>
              <w:pStyle w:val="8"/>
              <w:spacing w:before="2" w:line="250" w:lineRule="exact"/>
              <w:ind w:left="528"/>
              <w:rPr>
                <w:b/>
                <w:sz w:val="21"/>
              </w:rPr>
            </w:pPr>
            <w:r>
              <w:rPr>
                <w:b/>
                <w:sz w:val="21"/>
              </w:rPr>
              <w:t>3.《事业单位公开招聘人员暂行规定》</w:t>
            </w:r>
          </w:p>
        </w:tc>
        <w:tc>
          <w:tcPr>
            <w:tcW w:w="2081"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626" w:type="dxa"/>
            <w:tcBorders>
              <w:top w:val="nil"/>
              <w:bottom w:val="nil"/>
            </w:tcBorders>
          </w:tcPr>
          <w:p>
            <w:pPr>
              <w:pStyle w:val="8"/>
              <w:rPr>
                <w:rFonts w:ascii="Times New Roman"/>
                <w:sz w:val="20"/>
              </w:rPr>
            </w:pPr>
          </w:p>
        </w:tc>
        <w:tc>
          <w:tcPr>
            <w:tcW w:w="10220" w:type="dxa"/>
            <w:tcBorders>
              <w:top w:val="nil"/>
              <w:bottom w:val="nil"/>
            </w:tcBorders>
          </w:tcPr>
          <w:p>
            <w:pPr>
              <w:pStyle w:val="8"/>
              <w:spacing w:line="252" w:lineRule="exact"/>
              <w:ind w:left="528"/>
              <w:rPr>
                <w:sz w:val="21"/>
              </w:rPr>
            </w:pPr>
            <w:r>
              <w:rPr>
                <w:sz w:val="21"/>
              </w:rPr>
              <w:t>第九条应聘人员必须具备下列条件：</w:t>
            </w:r>
          </w:p>
        </w:tc>
        <w:tc>
          <w:tcPr>
            <w:tcW w:w="2081"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626" w:type="dxa"/>
            <w:tcBorders>
              <w:top w:val="nil"/>
            </w:tcBorders>
          </w:tcPr>
          <w:p>
            <w:pPr>
              <w:pStyle w:val="8"/>
              <w:rPr>
                <w:rFonts w:ascii="Times New Roman"/>
                <w:sz w:val="20"/>
              </w:rPr>
            </w:pPr>
          </w:p>
        </w:tc>
        <w:tc>
          <w:tcPr>
            <w:tcW w:w="10220" w:type="dxa"/>
            <w:tcBorders>
              <w:top w:val="nil"/>
            </w:tcBorders>
          </w:tcPr>
          <w:p>
            <w:pPr>
              <w:pStyle w:val="8"/>
              <w:spacing w:before="2" w:line="249" w:lineRule="exact"/>
              <w:ind w:left="528"/>
              <w:rPr>
                <w:sz w:val="21"/>
              </w:rPr>
            </w:pPr>
            <w:r>
              <w:rPr>
                <w:sz w:val="21"/>
              </w:rPr>
              <w:t>（一）具有中华人民共和国国籍；</w:t>
            </w:r>
          </w:p>
        </w:tc>
        <w:tc>
          <w:tcPr>
            <w:tcW w:w="2081" w:type="dxa"/>
            <w:tcBorders>
              <w:top w:val="nil"/>
            </w:tcBorders>
          </w:tcPr>
          <w:p>
            <w:pPr>
              <w:pStyle w:val="8"/>
              <w:rPr>
                <w:rFonts w:ascii="Times New Roman"/>
                <w:sz w:val="20"/>
              </w:rPr>
            </w:pPr>
          </w:p>
        </w:tc>
      </w:tr>
    </w:tbl>
    <w:p>
      <w:pPr>
        <w:spacing w:after="0"/>
        <w:rPr>
          <w:rFonts w:ascii="Times New Roman"/>
          <w:sz w:val="20"/>
        </w:rPr>
        <w:sectPr>
          <w:footerReference r:id="rId4" w:type="default"/>
          <w:pgSz w:w="16840" w:h="11910" w:orient="landscape"/>
          <w:pgMar w:top="1100" w:right="1280" w:bottom="1380" w:left="1400" w:header="0" w:footer="1200" w:gutter="0"/>
          <w:pgNumType w:start="9"/>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1626" w:type="dxa"/>
          </w:tcPr>
          <w:p>
            <w:pPr>
              <w:pStyle w:val="8"/>
              <w:rPr>
                <w:rFonts w:ascii="Times New Roman"/>
                <w:sz w:val="20"/>
              </w:rPr>
            </w:pPr>
          </w:p>
        </w:tc>
        <w:tc>
          <w:tcPr>
            <w:tcW w:w="10220" w:type="dxa"/>
          </w:tcPr>
          <w:p>
            <w:pPr>
              <w:pStyle w:val="8"/>
              <w:spacing w:before="1"/>
              <w:ind w:left="528"/>
              <w:rPr>
                <w:sz w:val="21"/>
              </w:rPr>
            </w:pPr>
            <w:r>
              <w:rPr>
                <w:w w:val="95"/>
                <w:sz w:val="21"/>
              </w:rPr>
              <w:t>（二）遵守宪法和法律；</w:t>
            </w:r>
          </w:p>
          <w:p>
            <w:pPr>
              <w:pStyle w:val="8"/>
              <w:spacing w:before="3"/>
              <w:ind w:left="528"/>
              <w:rPr>
                <w:sz w:val="21"/>
              </w:rPr>
            </w:pPr>
            <w:r>
              <w:rPr>
                <w:w w:val="95"/>
                <w:sz w:val="21"/>
              </w:rPr>
              <w:t>（三）具有良好的品行；</w:t>
            </w:r>
          </w:p>
          <w:p>
            <w:pPr>
              <w:pStyle w:val="8"/>
              <w:spacing w:before="2"/>
              <w:ind w:left="528"/>
              <w:rPr>
                <w:sz w:val="21"/>
              </w:rPr>
            </w:pPr>
            <w:r>
              <w:rPr>
                <w:sz w:val="21"/>
              </w:rPr>
              <w:t>（四）岗位所需的专业或技能条件；</w:t>
            </w:r>
          </w:p>
          <w:p>
            <w:pPr>
              <w:pStyle w:val="8"/>
              <w:spacing w:before="4"/>
              <w:ind w:left="528"/>
              <w:rPr>
                <w:sz w:val="21"/>
              </w:rPr>
            </w:pPr>
            <w:r>
              <w:rPr>
                <w:sz w:val="21"/>
              </w:rPr>
              <w:t>（五）适应岗位要求的身体条件；</w:t>
            </w:r>
          </w:p>
          <w:p>
            <w:pPr>
              <w:pStyle w:val="8"/>
              <w:spacing w:before="2" w:line="253" w:lineRule="exact"/>
              <w:ind w:left="528"/>
              <w:rPr>
                <w:sz w:val="21"/>
              </w:rPr>
            </w:pPr>
            <w:r>
              <w:rPr>
                <w:sz w:val="21"/>
              </w:rPr>
              <w:t>（六）岗位所需要的其他条件。</w:t>
            </w:r>
          </w:p>
        </w:tc>
        <w:tc>
          <w:tcPr>
            <w:tcW w:w="208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4" w:hRule="atLeast"/>
        </w:trPr>
        <w:tc>
          <w:tcPr>
            <w:tcW w:w="1626"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8"/>
              <w:rPr>
                <w:rFonts w:ascii="Times New Roman"/>
                <w:sz w:val="25"/>
              </w:rPr>
            </w:pPr>
          </w:p>
          <w:p>
            <w:pPr>
              <w:pStyle w:val="8"/>
              <w:spacing w:line="242" w:lineRule="auto"/>
              <w:ind w:left="106" w:right="38"/>
              <w:jc w:val="both"/>
              <w:rPr>
                <w:sz w:val="21"/>
              </w:rPr>
            </w:pPr>
            <w:r>
              <w:rPr>
                <w:sz w:val="21"/>
              </w:rPr>
              <w:t>2. 将失信企业列为重点监督检查对象，增加社会保险监督检查和稽核的频次，再次发现有社会保险违法违规行为的，延长公示期限。</w:t>
            </w:r>
          </w:p>
        </w:tc>
        <w:tc>
          <w:tcPr>
            <w:tcW w:w="10220" w:type="dxa"/>
          </w:tcPr>
          <w:p>
            <w:pPr>
              <w:pStyle w:val="8"/>
              <w:numPr>
                <w:ilvl w:val="0"/>
                <w:numId w:val="1"/>
              </w:numPr>
              <w:tabs>
                <w:tab w:val="left" w:pos="733"/>
              </w:tabs>
              <w:spacing w:before="0" w:after="0" w:line="240" w:lineRule="auto"/>
              <w:ind w:left="732" w:right="0" w:hanging="215"/>
              <w:jc w:val="left"/>
              <w:rPr>
                <w:b/>
                <w:sz w:val="21"/>
              </w:rPr>
            </w:pPr>
            <w:r>
              <w:rPr>
                <w:b/>
                <w:sz w:val="21"/>
              </w:rPr>
              <w:t>《中华人民共和国社会保险法》</w:t>
            </w:r>
          </w:p>
          <w:p>
            <w:pPr>
              <w:pStyle w:val="8"/>
              <w:spacing w:before="2" w:line="242" w:lineRule="auto"/>
              <w:ind w:left="108" w:right="94" w:firstLine="420"/>
              <w:jc w:val="both"/>
              <w:rPr>
                <w:sz w:val="21"/>
              </w:rPr>
            </w:pPr>
            <w:r>
              <w:rPr>
                <w:spacing w:val="-4"/>
                <w:sz w:val="21"/>
              </w:rPr>
              <w:t>第八十四条 用人单位不办理社会保险登记的，由社会保险行政部门责令限期改正；逾期不改正的，对用</w:t>
            </w:r>
            <w:r>
              <w:rPr>
                <w:spacing w:val="-7"/>
                <w:w w:val="95"/>
                <w:sz w:val="21"/>
              </w:rPr>
              <w:t>人单位处应缴社会保险费数额一倍以上三倍以下的罚款，对其直接负责的主管人员和其他直接责任人员处五百</w:t>
            </w:r>
            <w:r>
              <w:rPr>
                <w:spacing w:val="-7"/>
                <w:sz w:val="21"/>
              </w:rPr>
              <w:t>元以上三千元以下的罚款。</w:t>
            </w:r>
          </w:p>
          <w:p>
            <w:pPr>
              <w:pStyle w:val="8"/>
              <w:spacing w:before="3" w:line="242" w:lineRule="auto"/>
              <w:ind w:left="108" w:right="94" w:firstLine="420"/>
              <w:jc w:val="both"/>
              <w:rPr>
                <w:sz w:val="21"/>
              </w:rPr>
            </w:pPr>
            <w:r>
              <w:rPr>
                <w:spacing w:val="-3"/>
                <w:sz w:val="21"/>
              </w:rPr>
              <w:t>第八十六条 用人单位未按时足额缴纳社会保险费的，由社会保险费征收机构责令限期缴纳或者补足，并</w:t>
            </w:r>
            <w:r>
              <w:rPr>
                <w:spacing w:val="-9"/>
                <w:w w:val="95"/>
                <w:sz w:val="21"/>
              </w:rPr>
              <w:t>自欠缴之日起，按日加收万分之五的滞纳金；逾期仍不缴纳的，由有关行政部门处欠缴数额一倍以上三倍以下</w:t>
            </w:r>
            <w:r>
              <w:rPr>
                <w:spacing w:val="-9"/>
                <w:sz w:val="21"/>
              </w:rPr>
              <w:t>的罚款。</w:t>
            </w:r>
          </w:p>
          <w:p>
            <w:pPr>
              <w:pStyle w:val="8"/>
              <w:spacing w:before="1" w:line="242" w:lineRule="auto"/>
              <w:ind w:left="108" w:right="94" w:firstLine="420"/>
              <w:jc w:val="both"/>
              <w:rPr>
                <w:sz w:val="21"/>
              </w:rPr>
            </w:pPr>
            <w:r>
              <w:rPr>
                <w:spacing w:val="-3"/>
                <w:sz w:val="21"/>
              </w:rPr>
              <w:t>第八十七条 社会保险经办机构以及医疗机构、药品经营单位等社会保险服务机构以欺诈、伪造证明材料</w:t>
            </w:r>
            <w:r>
              <w:rPr>
                <w:spacing w:val="-6"/>
                <w:w w:val="95"/>
                <w:sz w:val="21"/>
              </w:rPr>
              <w:t>或者其他手段骗取社会保险基金支出的，由社会保险行政部门责令退回骗取的社会保险金，处骗取金额二倍以</w:t>
            </w:r>
            <w:r>
              <w:rPr>
                <w:spacing w:val="-11"/>
                <w:w w:val="95"/>
                <w:sz w:val="21"/>
              </w:rPr>
              <w:t>上五倍以下的罚款；属于社会保险服务机构的，解除服务协议；直接负责的主管人员和其他直接责任人员有执</w:t>
            </w:r>
            <w:r>
              <w:rPr>
                <w:spacing w:val="-11"/>
                <w:sz w:val="21"/>
              </w:rPr>
              <w:t>业资格的，依法吊销其执业资格。</w:t>
            </w:r>
          </w:p>
          <w:p>
            <w:pPr>
              <w:pStyle w:val="8"/>
              <w:spacing w:before="2" w:line="244" w:lineRule="auto"/>
              <w:ind w:left="108" w:right="98" w:firstLine="420"/>
              <w:jc w:val="both"/>
              <w:rPr>
                <w:sz w:val="21"/>
              </w:rPr>
            </w:pPr>
            <w:r>
              <w:rPr>
                <w:sz w:val="21"/>
              </w:rPr>
              <w:t>第八十八条 以欺诈、伪造证明材料或者其他手段骗取社会保险待遇的，由社会保险行政部门责令退回骗取的社会保险金，处骗取金额二倍以上五倍以下的罚款。</w:t>
            </w:r>
          </w:p>
          <w:p>
            <w:pPr>
              <w:pStyle w:val="8"/>
              <w:spacing w:line="242" w:lineRule="auto"/>
              <w:ind w:left="108" w:right="94" w:firstLine="420"/>
              <w:jc w:val="both"/>
              <w:rPr>
                <w:sz w:val="21"/>
              </w:rPr>
            </w:pPr>
            <w:r>
              <w:rPr>
                <w:spacing w:val="-3"/>
                <w:sz w:val="21"/>
              </w:rPr>
              <w:t>第九十一条 违反本法规定，隐匿、转移、侵占、挪用社会保险基金或者违规投资运营的，由社会保险行</w:t>
            </w:r>
            <w:r>
              <w:rPr>
                <w:spacing w:val="-10"/>
                <w:w w:val="95"/>
                <w:sz w:val="21"/>
              </w:rPr>
              <w:t>政部门、财政部门、审计机关责令追回；有违法所得的，没收违法所得；对直接负责的主管人员和其他直接责</w:t>
            </w:r>
            <w:r>
              <w:rPr>
                <w:spacing w:val="-10"/>
                <w:sz w:val="21"/>
              </w:rPr>
              <w:t>任人员依法给予处分。</w:t>
            </w:r>
          </w:p>
          <w:p>
            <w:pPr>
              <w:pStyle w:val="8"/>
              <w:numPr>
                <w:ilvl w:val="0"/>
                <w:numId w:val="1"/>
              </w:numPr>
              <w:tabs>
                <w:tab w:val="left" w:pos="730"/>
              </w:tabs>
              <w:spacing w:before="0" w:after="0" w:line="240" w:lineRule="auto"/>
              <w:ind w:left="729" w:right="0" w:hanging="212"/>
              <w:jc w:val="left"/>
              <w:rPr>
                <w:b/>
                <w:sz w:val="21"/>
              </w:rPr>
            </w:pPr>
            <w:r>
              <w:rPr>
                <w:b/>
                <w:sz w:val="21"/>
              </w:rPr>
              <w:t>《基本养老保险基金投资管理办法》</w:t>
            </w:r>
          </w:p>
          <w:p>
            <w:pPr>
              <w:pStyle w:val="8"/>
              <w:spacing w:before="2" w:line="242" w:lineRule="auto"/>
              <w:ind w:left="108" w:right="98" w:firstLine="420"/>
              <w:jc w:val="both"/>
              <w:rPr>
                <w:sz w:val="21"/>
              </w:rPr>
            </w:pPr>
            <w:r>
              <w:rPr>
                <w:spacing w:val="-3"/>
                <w:sz w:val="21"/>
              </w:rPr>
              <w:t>第十二条 国家对养老基金投资实行严格监管。养老基金投资应当严格遵守相关法律法规，严禁从事内幕</w:t>
            </w:r>
            <w:r>
              <w:rPr>
                <w:spacing w:val="-9"/>
                <w:w w:val="95"/>
                <w:sz w:val="21"/>
              </w:rPr>
              <w:t>交易、利用未公开信息交易、操纵市场等违法行为，严禁通过关联交易等损害养老基金及他人利益、获取不正</w:t>
            </w:r>
            <w:r>
              <w:rPr>
                <w:spacing w:val="-9"/>
                <w:sz w:val="21"/>
              </w:rPr>
              <w:t>当利益。任何组织和个人不得贪污、侵占、挪用投资运营的养老基金。</w:t>
            </w:r>
          </w:p>
          <w:p>
            <w:pPr>
              <w:pStyle w:val="8"/>
              <w:spacing w:line="244" w:lineRule="auto"/>
              <w:ind w:left="108" w:right="96" w:firstLine="420"/>
              <w:jc w:val="both"/>
              <w:rPr>
                <w:sz w:val="21"/>
              </w:rPr>
            </w:pPr>
            <w:r>
              <w:rPr>
                <w:spacing w:val="-4"/>
                <w:sz w:val="21"/>
              </w:rPr>
              <w:t>第五十五条 受托机构、托管机构、投资管理机构管理运营养老基金资产，其他自然人、法人或者组织为养老基金投资运营提供服务，应当严格遵守相关职业准则和行业规范，履行诚实信用、谨慎勤勉的义务。</w:t>
            </w:r>
          </w:p>
          <w:p>
            <w:pPr>
              <w:pStyle w:val="8"/>
              <w:spacing w:line="265" w:lineRule="exact"/>
              <w:ind w:left="528"/>
              <w:jc w:val="both"/>
              <w:rPr>
                <w:sz w:val="21"/>
              </w:rPr>
            </w:pPr>
            <w:r>
              <w:rPr>
                <w:sz w:val="21"/>
              </w:rPr>
              <w:t>第六十九条 对违反本办法规定进行养老基金投资运营的相关单位和责任人，记入信用记录并纳入全国统</w:t>
            </w:r>
          </w:p>
          <w:p>
            <w:pPr>
              <w:pStyle w:val="8"/>
              <w:spacing w:before="5" w:line="250" w:lineRule="exact"/>
              <w:ind w:left="108"/>
              <w:rPr>
                <w:sz w:val="21"/>
              </w:rPr>
            </w:pPr>
            <w:r>
              <w:rPr>
                <w:sz w:val="21"/>
              </w:rPr>
              <w:t>一信用信息共享交换平台。</w:t>
            </w:r>
          </w:p>
        </w:tc>
        <w:tc>
          <w:tcPr>
            <w:tcW w:w="2081"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0"/>
              <w:rPr>
                <w:rFonts w:ascii="Times New Roman"/>
                <w:sz w:val="16"/>
              </w:rPr>
            </w:pPr>
          </w:p>
          <w:p>
            <w:pPr>
              <w:pStyle w:val="8"/>
              <w:spacing w:line="242" w:lineRule="auto"/>
              <w:ind w:left="107" w:right="96"/>
              <w:rPr>
                <w:sz w:val="21"/>
              </w:rPr>
            </w:pPr>
            <w:r>
              <w:rPr>
                <w:sz w:val="21"/>
              </w:rPr>
              <w:t>人力资源社会保障部、</w:t>
            </w:r>
          </w:p>
          <w:p>
            <w:pPr>
              <w:pStyle w:val="8"/>
              <w:spacing w:line="244" w:lineRule="auto"/>
              <w:ind w:left="107" w:right="912"/>
              <w:rPr>
                <w:sz w:val="21"/>
              </w:rPr>
            </w:pPr>
            <w:r>
              <w:rPr>
                <w:sz w:val="21"/>
              </w:rPr>
              <w:t>税务总局、医疗保障局</w:t>
            </w:r>
          </w:p>
        </w:tc>
      </w:tr>
    </w:tbl>
    <w:p>
      <w:pPr>
        <w:spacing w:after="0" w:line="244" w:lineRule="auto"/>
        <w:rPr>
          <w:sz w:val="21"/>
        </w:rPr>
        <w:sectPr>
          <w:footerReference r:id="rId5" w:type="default"/>
          <w:pgSz w:w="16840" w:h="11910" w:orient="landscape"/>
          <w:pgMar w:top="1100" w:right="1280" w:bottom="1380" w:left="1400" w:header="0" w:footer="1200" w:gutter="0"/>
          <w:pgNumType w:start="1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0" w:hRule="atLeast"/>
        </w:trPr>
        <w:tc>
          <w:tcPr>
            <w:tcW w:w="1626" w:type="dxa"/>
          </w:tcPr>
          <w:p>
            <w:pPr>
              <w:pStyle w:val="8"/>
              <w:rPr>
                <w:rFonts w:ascii="Times New Roman"/>
                <w:sz w:val="20"/>
              </w:rPr>
            </w:pPr>
          </w:p>
        </w:tc>
        <w:tc>
          <w:tcPr>
            <w:tcW w:w="10220" w:type="dxa"/>
          </w:tcPr>
          <w:p>
            <w:pPr>
              <w:pStyle w:val="8"/>
              <w:numPr>
                <w:ilvl w:val="0"/>
                <w:numId w:val="2"/>
              </w:numPr>
              <w:tabs>
                <w:tab w:val="left" w:pos="737"/>
              </w:tabs>
              <w:spacing w:before="1" w:after="0" w:line="240" w:lineRule="auto"/>
              <w:ind w:left="736" w:right="0" w:hanging="219"/>
              <w:jc w:val="left"/>
              <w:rPr>
                <w:b/>
                <w:sz w:val="21"/>
              </w:rPr>
            </w:pPr>
            <w:r>
              <w:rPr>
                <w:b/>
                <w:spacing w:val="4"/>
                <w:w w:val="95"/>
                <w:sz w:val="21"/>
              </w:rPr>
              <w:t>《国务院关于建立完善守信联合激励和失信联合惩戒制度加快推进社会诚信建设的指导意见》</w:t>
            </w:r>
            <w:r>
              <w:rPr>
                <w:b/>
                <w:spacing w:val="7"/>
                <w:w w:val="95"/>
                <w:sz w:val="21"/>
              </w:rPr>
              <w:t>（</w:t>
            </w:r>
            <w:r>
              <w:rPr>
                <w:b/>
                <w:spacing w:val="3"/>
                <w:w w:val="95"/>
                <w:sz w:val="21"/>
              </w:rPr>
              <w:t>国发</w:t>
            </w:r>
          </w:p>
          <w:p>
            <w:pPr>
              <w:pStyle w:val="8"/>
              <w:spacing w:before="3"/>
              <w:ind w:left="108"/>
              <w:rPr>
                <w:b/>
                <w:sz w:val="21"/>
              </w:rPr>
            </w:pPr>
            <w:r>
              <w:rPr>
                <w:b/>
                <w:sz w:val="21"/>
              </w:rPr>
              <w:t>〔2016〕33 号）</w:t>
            </w:r>
          </w:p>
          <w:p>
            <w:pPr>
              <w:pStyle w:val="8"/>
              <w:spacing w:before="2" w:line="242" w:lineRule="auto"/>
              <w:ind w:left="108" w:right="19" w:firstLine="420"/>
              <w:rPr>
                <w:sz w:val="21"/>
              </w:rPr>
            </w:pPr>
            <w:r>
              <w:rPr>
                <w:sz w:val="21"/>
              </w:rPr>
              <w:t>（十七</w:t>
            </w:r>
            <w:r>
              <w:rPr>
                <w:spacing w:val="-25"/>
                <w:sz w:val="21"/>
              </w:rPr>
              <w:t>）</w:t>
            </w:r>
            <w:r>
              <w:rPr>
                <w:spacing w:val="-3"/>
                <w:sz w:val="21"/>
              </w:rPr>
              <w:t>建立健全信用信息公示机制。推动政务信用信息公开，全面落实行政许可和行政处罚信息上网公</w:t>
            </w:r>
            <w:r>
              <w:rPr>
                <w:spacing w:val="-3"/>
                <w:w w:val="95"/>
                <w:sz w:val="21"/>
              </w:rPr>
              <w:t>开制度。除法律法规另有规定外，县级以上人民政府及其部门要将各类自然人、法人和其他组织的行政许可、</w:t>
            </w:r>
            <w:r>
              <w:rPr>
                <w:spacing w:val="-10"/>
                <w:sz w:val="21"/>
              </w:rPr>
              <w:t xml:space="preserve">行政处罚等信息在 </w:t>
            </w:r>
            <w:r>
              <w:rPr>
                <w:sz w:val="21"/>
              </w:rPr>
              <w:t>7</w:t>
            </w:r>
            <w:r>
              <w:rPr>
                <w:spacing w:val="-8"/>
                <w:sz w:val="21"/>
              </w:rPr>
              <w:t xml:space="preserve"> 个工作日内通过政府网站公开，并及时归集至“信用中国”网站，为社会提供“一站式” </w:t>
            </w:r>
            <w:r>
              <w:rPr>
                <w:spacing w:val="-10"/>
                <w:sz w:val="21"/>
              </w:rPr>
              <w:t>查询服务。涉及企业的相关信息按照企业信息公示暂行条例规定在企业信用信息公示系统公示。推动司法机关在“信用中国”网站公示司法判决、失信被执行人名单等信用信息。</w:t>
            </w:r>
          </w:p>
          <w:p>
            <w:pPr>
              <w:pStyle w:val="8"/>
              <w:numPr>
                <w:ilvl w:val="0"/>
                <w:numId w:val="2"/>
              </w:numPr>
              <w:tabs>
                <w:tab w:val="left" w:pos="730"/>
              </w:tabs>
              <w:spacing w:before="4" w:after="0" w:line="240" w:lineRule="auto"/>
              <w:ind w:left="729" w:right="0" w:hanging="212"/>
              <w:jc w:val="left"/>
              <w:rPr>
                <w:b/>
                <w:sz w:val="21"/>
              </w:rPr>
            </w:pPr>
            <w:r>
              <w:rPr>
                <w:b/>
                <w:sz w:val="21"/>
              </w:rPr>
              <w:t>《国务院关于印发社会信用体系建设规划纲要（2014—2020</w:t>
            </w:r>
            <w:r>
              <w:rPr>
                <w:b/>
                <w:spacing w:val="-28"/>
                <w:sz w:val="21"/>
              </w:rPr>
              <w:t xml:space="preserve"> 年</w:t>
            </w:r>
            <w:r>
              <w:rPr>
                <w:b/>
                <w:sz w:val="21"/>
              </w:rPr>
              <w:t>）的通知》（国发〔2014〕21</w:t>
            </w:r>
            <w:r>
              <w:rPr>
                <w:b/>
                <w:spacing w:val="-28"/>
                <w:sz w:val="21"/>
              </w:rPr>
              <w:t xml:space="preserve"> 号</w:t>
            </w:r>
            <w:r>
              <w:rPr>
                <w:b/>
                <w:sz w:val="21"/>
              </w:rPr>
              <w:t>）</w:t>
            </w:r>
          </w:p>
          <w:p>
            <w:pPr>
              <w:pStyle w:val="8"/>
              <w:spacing w:before="2" w:line="242" w:lineRule="auto"/>
              <w:ind w:left="108" w:right="-15" w:firstLine="420"/>
              <w:jc w:val="both"/>
              <w:rPr>
                <w:sz w:val="21"/>
              </w:rPr>
            </w:pPr>
            <w:r>
              <w:rPr>
                <w:spacing w:val="-8"/>
                <w:sz w:val="21"/>
              </w:rPr>
              <w:t>社会保障领域信用建设。在救灾、救助、养老、社会保险、慈善、彩票等方面，建立全面的诚信制度，打</w:t>
            </w:r>
            <w:r>
              <w:rPr>
                <w:spacing w:val="-12"/>
                <w:sz w:val="21"/>
              </w:rPr>
              <w:t>击各类诈捐骗捐等失信行为。建立健全社会救助、保障性住房等民生政策实施中的申请、审核、退出等各环节的诚信制度，加强对申请相关民生政策的条件审核，强化对社会救助动态管理及保障房使用的监管，将失信和</w:t>
            </w:r>
            <w:r>
              <w:rPr>
                <w:spacing w:val="-15"/>
                <w:sz w:val="21"/>
              </w:rPr>
              <w:t>违规的个人纳入信用黑名单。构建居民家庭经济状况核对信息系统，建立和完善低收入家庭认定机制，确保社</w:t>
            </w:r>
            <w:r>
              <w:rPr>
                <w:spacing w:val="-11"/>
                <w:sz w:val="21"/>
              </w:rPr>
              <w:t>会救助、保障性住房等民生政策公平、公正和健康运行。建立健全社会保险诚信管理制度，加强社会保险经办</w:t>
            </w:r>
            <w:r>
              <w:rPr>
                <w:spacing w:val="-10"/>
                <w:sz w:val="21"/>
              </w:rPr>
              <w:t>管理，加强社会保险领域的劳动保障监督执法，规范参保缴费行为，加大对医保定点医院、定点药店、工伤保</w:t>
            </w:r>
            <w:r>
              <w:rPr>
                <w:spacing w:val="-17"/>
                <w:w w:val="95"/>
                <w:sz w:val="21"/>
              </w:rPr>
              <w:t>险协议医疗机构等社会保险协议服务机构及其工作人员、各类参保人员的违规、欺诈、骗保等行为的惩戒力度，</w:t>
            </w:r>
          </w:p>
          <w:p>
            <w:pPr>
              <w:pStyle w:val="8"/>
              <w:spacing w:before="5" w:line="270" w:lineRule="atLeast"/>
              <w:ind w:left="108" w:right="-15"/>
              <w:rPr>
                <w:sz w:val="21"/>
              </w:rPr>
            </w:pPr>
            <w:r>
              <w:rPr>
                <w:spacing w:val="-9"/>
                <w:w w:val="95"/>
                <w:sz w:val="21"/>
              </w:rPr>
              <w:t>防止和打击各种骗保行为。进一步完善社会保险基金管理制度，提高基金征收、管理、支付等各环节的透明度，</w:t>
            </w:r>
            <w:r>
              <w:rPr>
                <w:spacing w:val="-9"/>
                <w:sz w:val="21"/>
              </w:rPr>
              <w:t>推动社会保险诚信制度建设，规范参保缴费行为，确保社会保险基金的安全运行。</w:t>
            </w:r>
          </w:p>
        </w:tc>
        <w:tc>
          <w:tcPr>
            <w:tcW w:w="208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6" w:hRule="atLeast"/>
        </w:trPr>
        <w:tc>
          <w:tcPr>
            <w:tcW w:w="1626" w:type="dxa"/>
          </w:tcPr>
          <w:p>
            <w:pPr>
              <w:pStyle w:val="8"/>
              <w:rPr>
                <w:rFonts w:ascii="Times New Roman"/>
                <w:sz w:val="20"/>
              </w:rPr>
            </w:pPr>
          </w:p>
          <w:p>
            <w:pPr>
              <w:pStyle w:val="8"/>
              <w:spacing w:before="2"/>
              <w:rPr>
                <w:rFonts w:ascii="Times New Roman"/>
                <w:sz w:val="27"/>
              </w:rPr>
            </w:pPr>
          </w:p>
          <w:p>
            <w:pPr>
              <w:pStyle w:val="8"/>
              <w:numPr>
                <w:ilvl w:val="0"/>
                <w:numId w:val="3"/>
              </w:numPr>
              <w:tabs>
                <w:tab w:val="left" w:pos="347"/>
              </w:tabs>
              <w:spacing w:before="1" w:after="0" w:line="242" w:lineRule="auto"/>
              <w:ind w:left="106" w:right="98" w:firstLine="0"/>
              <w:jc w:val="both"/>
              <w:rPr>
                <w:sz w:val="21"/>
              </w:rPr>
            </w:pPr>
            <w:r>
              <w:rPr>
                <w:spacing w:val="21"/>
                <w:sz w:val="21"/>
              </w:rPr>
              <w:t>限制失信企</w:t>
            </w:r>
            <w:r>
              <w:rPr>
                <w:spacing w:val="23"/>
                <w:sz w:val="21"/>
              </w:rPr>
              <w:t>业参与社会保险业务合作项</w:t>
            </w:r>
            <w:r>
              <w:rPr>
                <w:sz w:val="21"/>
              </w:rPr>
              <w:t>目。</w:t>
            </w:r>
          </w:p>
          <w:p>
            <w:pPr>
              <w:pStyle w:val="8"/>
              <w:numPr>
                <w:ilvl w:val="0"/>
                <w:numId w:val="3"/>
              </w:numPr>
              <w:tabs>
                <w:tab w:val="left" w:pos="347"/>
              </w:tabs>
              <w:spacing w:before="2" w:after="0" w:line="242" w:lineRule="auto"/>
              <w:ind w:left="106" w:right="98" w:firstLine="0"/>
              <w:jc w:val="both"/>
              <w:rPr>
                <w:sz w:val="21"/>
              </w:rPr>
            </w:pPr>
            <w:r>
              <w:rPr>
                <w:spacing w:val="21"/>
                <w:sz w:val="21"/>
              </w:rPr>
              <w:t>限制失信主</w:t>
            </w:r>
            <w:r>
              <w:rPr>
                <w:spacing w:val="23"/>
                <w:sz w:val="21"/>
              </w:rPr>
              <w:t>体办理社会保险业务的便捷</w:t>
            </w:r>
            <w:r>
              <w:rPr>
                <w:sz w:val="21"/>
              </w:rPr>
              <w:t>性。</w:t>
            </w:r>
          </w:p>
        </w:tc>
        <w:tc>
          <w:tcPr>
            <w:tcW w:w="10220" w:type="dxa"/>
          </w:tcPr>
          <w:p>
            <w:pPr>
              <w:pStyle w:val="8"/>
              <w:numPr>
                <w:ilvl w:val="0"/>
                <w:numId w:val="4"/>
              </w:numPr>
              <w:tabs>
                <w:tab w:val="left" w:pos="730"/>
              </w:tabs>
              <w:spacing w:before="1" w:after="0" w:line="240" w:lineRule="auto"/>
              <w:ind w:left="729" w:right="0" w:hanging="212"/>
              <w:jc w:val="left"/>
              <w:rPr>
                <w:b/>
                <w:sz w:val="21"/>
              </w:rPr>
            </w:pPr>
            <w:r>
              <w:rPr>
                <w:b/>
                <w:sz w:val="21"/>
              </w:rPr>
              <w:t>《社会保险个人权益记录管理办法》</w:t>
            </w:r>
          </w:p>
          <w:p>
            <w:pPr>
              <w:pStyle w:val="8"/>
              <w:spacing w:before="2" w:line="242" w:lineRule="auto"/>
              <w:ind w:left="108" w:right="94" w:firstLine="420"/>
              <w:jc w:val="both"/>
              <w:rPr>
                <w:sz w:val="21"/>
              </w:rPr>
            </w:pPr>
            <w:r>
              <w:rPr>
                <w:sz w:val="21"/>
              </w:rPr>
              <w:t>第二十九条 社会保险服务机构、信息技术服务商以及按照本办法第十九条规定获取个人权益记录的单位</w:t>
            </w:r>
            <w:r>
              <w:rPr>
                <w:spacing w:val="-7"/>
                <w:w w:val="95"/>
                <w:sz w:val="21"/>
              </w:rPr>
              <w:t>及其工作人员，将社会保险个人权益记录用于与社会保险经办机构约定以外用途，或者造成社会保险个人权益</w:t>
            </w:r>
            <w:r>
              <w:rPr>
                <w:spacing w:val="-10"/>
                <w:w w:val="95"/>
                <w:sz w:val="21"/>
              </w:rPr>
              <w:t>信息泄露的，依法对直接负责的主管人员和其他直接责任人员给予处分；给社会保险基金、用人单位或者个人</w:t>
            </w:r>
            <w:r>
              <w:rPr>
                <w:spacing w:val="-12"/>
                <w:w w:val="95"/>
                <w:sz w:val="21"/>
              </w:rPr>
              <w:t>造成损失的，依法承担赔偿责任；构成违反治安管理行为的，由公安机关依法予以处罚；构成犯罪的，依法追</w:t>
            </w:r>
            <w:r>
              <w:rPr>
                <w:spacing w:val="-12"/>
                <w:sz w:val="21"/>
              </w:rPr>
              <w:t>究刑事责任。</w:t>
            </w:r>
          </w:p>
          <w:p>
            <w:pPr>
              <w:pStyle w:val="8"/>
              <w:spacing w:before="2" w:line="242" w:lineRule="auto"/>
              <w:ind w:left="108" w:right="22" w:firstLine="420"/>
              <w:rPr>
                <w:sz w:val="21"/>
              </w:rPr>
            </w:pPr>
            <w:r>
              <w:rPr>
                <w:sz w:val="21"/>
              </w:rPr>
              <w:t>第三十条 任何组织和个人非法提供、复制、公布、出售或者变相交易社会保险个人权益记录，有违法所</w:t>
            </w:r>
            <w:r>
              <w:rPr>
                <w:spacing w:val="-8"/>
                <w:sz w:val="21"/>
              </w:rPr>
              <w:t>得的，由人力资源社会保障行政部门没收违法所得；属于社会保险服务机构、信息技术服务商的，可由社会保</w:t>
            </w:r>
            <w:r>
              <w:rPr>
                <w:spacing w:val="-8"/>
                <w:w w:val="95"/>
                <w:sz w:val="21"/>
              </w:rPr>
              <w:t>险经办机构与其解除服务协议；依法对直接负责的主管人员和其他直接责任人员给予处分；给社会保险基金、</w:t>
            </w:r>
            <w:r>
              <w:rPr>
                <w:spacing w:val="-12"/>
                <w:sz w:val="21"/>
              </w:rPr>
              <w:t>用人单位或者个人造成损失的，依法承担赔偿责任；构成违反治安管理行为的，由公安机关依法予以处罚；构成犯罪的，依法追究刑事责任。</w:t>
            </w:r>
          </w:p>
          <w:p>
            <w:pPr>
              <w:pStyle w:val="8"/>
              <w:numPr>
                <w:ilvl w:val="0"/>
                <w:numId w:val="4"/>
              </w:numPr>
              <w:tabs>
                <w:tab w:val="left" w:pos="730"/>
              </w:tabs>
              <w:spacing w:before="4" w:after="0" w:line="250" w:lineRule="exact"/>
              <w:ind w:left="729" w:right="0" w:hanging="212"/>
              <w:jc w:val="left"/>
              <w:rPr>
                <w:b/>
                <w:sz w:val="21"/>
              </w:rPr>
            </w:pPr>
            <w:r>
              <w:rPr>
                <w:b/>
                <w:sz w:val="21"/>
              </w:rPr>
              <w:t>《基本养老保险基金投资管理办法》</w:t>
            </w:r>
          </w:p>
        </w:tc>
        <w:tc>
          <w:tcPr>
            <w:tcW w:w="2081"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4"/>
              <w:rPr>
                <w:rFonts w:ascii="Times New Roman"/>
                <w:sz w:val="18"/>
              </w:rPr>
            </w:pPr>
          </w:p>
          <w:p>
            <w:pPr>
              <w:pStyle w:val="8"/>
              <w:spacing w:before="1" w:line="242" w:lineRule="auto"/>
              <w:ind w:left="107" w:right="96"/>
              <w:rPr>
                <w:sz w:val="21"/>
              </w:rPr>
            </w:pPr>
            <w:r>
              <w:rPr>
                <w:sz w:val="21"/>
              </w:rPr>
              <w:t>人力资源社会保障部等相关部门</w:t>
            </w:r>
          </w:p>
        </w:tc>
      </w:tr>
    </w:tbl>
    <w:p>
      <w:pPr>
        <w:spacing w:after="0" w:line="242" w:lineRule="auto"/>
        <w:rPr>
          <w:sz w:val="21"/>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0" w:hRule="atLeast"/>
        </w:trPr>
        <w:tc>
          <w:tcPr>
            <w:tcW w:w="1626" w:type="dxa"/>
          </w:tcPr>
          <w:p>
            <w:pPr>
              <w:pStyle w:val="8"/>
              <w:rPr>
                <w:rFonts w:ascii="Times New Roman"/>
                <w:sz w:val="20"/>
              </w:rPr>
            </w:pPr>
          </w:p>
        </w:tc>
        <w:tc>
          <w:tcPr>
            <w:tcW w:w="10220" w:type="dxa"/>
          </w:tcPr>
          <w:p>
            <w:pPr>
              <w:pStyle w:val="8"/>
              <w:spacing w:before="1" w:line="242" w:lineRule="auto"/>
              <w:ind w:left="108" w:right="96" w:firstLine="420"/>
              <w:jc w:val="both"/>
              <w:rPr>
                <w:sz w:val="21"/>
              </w:rPr>
            </w:pPr>
            <w:r>
              <w:rPr>
                <w:sz w:val="21"/>
              </w:rPr>
              <w:t>第十二条 国家对养老基金投资实行严格监管。养老基金投资应当严格遵守相关法律法规，严禁从事内幕</w:t>
            </w:r>
            <w:r>
              <w:rPr>
                <w:spacing w:val="-9"/>
                <w:w w:val="95"/>
                <w:sz w:val="21"/>
              </w:rPr>
              <w:t>交易、利用未公开信息交易、操纵市场等违法行为，严禁通过关联交易等损害养老基金及他人利益、获取不正</w:t>
            </w:r>
            <w:r>
              <w:rPr>
                <w:spacing w:val="-9"/>
                <w:sz w:val="21"/>
              </w:rPr>
              <w:t>当利益。任何组织和个人不得贪污、侵占、挪用投资运营的养老基金。</w:t>
            </w:r>
          </w:p>
          <w:p>
            <w:pPr>
              <w:pStyle w:val="8"/>
              <w:spacing w:before="1" w:line="242" w:lineRule="auto"/>
              <w:ind w:left="108" w:right="99" w:firstLine="420"/>
              <w:jc w:val="both"/>
              <w:rPr>
                <w:sz w:val="21"/>
              </w:rPr>
            </w:pPr>
            <w:r>
              <w:rPr>
                <w:sz w:val="21"/>
              </w:rPr>
              <w:t>第五十五条 受托机构、托管机构、投资管理机构管理运营养老基金资产，其他自然人、法人或者组织为养老基金投资运营提供服务，应当严格遵守相关职业准则和行业规范，履行诚实信用、谨慎勤勉的义务。</w:t>
            </w:r>
          </w:p>
          <w:p>
            <w:pPr>
              <w:pStyle w:val="8"/>
              <w:spacing w:before="2" w:line="244" w:lineRule="auto"/>
              <w:ind w:left="108" w:right="99" w:firstLine="420"/>
              <w:jc w:val="both"/>
              <w:rPr>
                <w:sz w:val="21"/>
              </w:rPr>
            </w:pPr>
            <w:r>
              <w:rPr>
                <w:sz w:val="21"/>
              </w:rPr>
              <w:t>第六十九条 对违反本办法规定进行养老基金投资运营的相关单位和责任人，记入信用记录并纳入全国统一信用信息共享交换平台。</w:t>
            </w:r>
          </w:p>
          <w:p>
            <w:pPr>
              <w:pStyle w:val="8"/>
              <w:spacing w:line="242" w:lineRule="auto"/>
              <w:ind w:left="528" w:right="470"/>
              <w:rPr>
                <w:sz w:val="21"/>
              </w:rPr>
            </w:pPr>
            <w:r>
              <w:rPr>
                <w:b/>
                <w:sz w:val="21"/>
              </w:rPr>
              <w:t>3.《中央文明委关于印发关于集中治理诚信缺失突出问题 提升全社会诚信水平的工作方案的通知》</w:t>
            </w:r>
            <w:r>
              <w:rPr>
                <w:sz w:val="21"/>
              </w:rPr>
              <w:t>四、构建信用联合奖惩联动机制</w:t>
            </w:r>
          </w:p>
          <w:p>
            <w:pPr>
              <w:pStyle w:val="8"/>
              <w:ind w:left="528"/>
              <w:rPr>
                <w:sz w:val="21"/>
              </w:rPr>
            </w:pPr>
            <w:r>
              <w:rPr>
                <w:sz w:val="21"/>
              </w:rPr>
              <w:t>2.发挥守信联合激励和失信联合惩戒的引导力和威慑力。</w:t>
            </w:r>
          </w:p>
          <w:p>
            <w:pPr>
              <w:pStyle w:val="8"/>
              <w:ind w:left="528"/>
              <w:rPr>
                <w:sz w:val="21"/>
              </w:rPr>
            </w:pPr>
            <w:r>
              <w:rPr>
                <w:sz w:val="21"/>
              </w:rPr>
              <w:t>在行政管理、公共服务事项中，政府部门带头查询相关主体信用状况，对诚实守信者实施“绿色通道”、</w:t>
            </w:r>
          </w:p>
          <w:p>
            <w:pPr>
              <w:pStyle w:val="8"/>
              <w:spacing w:before="2" w:line="270" w:lineRule="atLeast"/>
              <w:ind w:left="108" w:right="98"/>
              <w:rPr>
                <w:sz w:val="21"/>
              </w:rPr>
            </w:pPr>
            <w:r>
              <w:rPr>
                <w:spacing w:val="-6"/>
                <w:w w:val="95"/>
                <w:sz w:val="21"/>
              </w:rPr>
              <w:t>“容缺受理”、减少日常监管频次等激励措施；对违法失信者限制参与招标投标、限制申请政府性资金、从严</w:t>
            </w:r>
            <w:r>
              <w:rPr>
                <w:spacing w:val="-6"/>
                <w:sz w:val="21"/>
              </w:rPr>
              <w:t>审核许可事项等，提高守信收益和失信代价。</w:t>
            </w:r>
          </w:p>
        </w:tc>
        <w:tc>
          <w:tcPr>
            <w:tcW w:w="208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trPr>
        <w:tc>
          <w:tcPr>
            <w:tcW w:w="1626" w:type="dxa"/>
          </w:tcPr>
          <w:p>
            <w:pPr>
              <w:pStyle w:val="8"/>
              <w:spacing w:before="39" w:line="242" w:lineRule="auto"/>
              <w:ind w:left="106" w:right="98"/>
              <w:jc w:val="both"/>
              <w:rPr>
                <w:sz w:val="21"/>
              </w:rPr>
            </w:pPr>
            <w:r>
              <w:rPr>
                <w:sz w:val="21"/>
              </w:rPr>
              <w:t>5. 依法限制失信企业申请财政补助补贴性资金和社会保障资金支持。</w:t>
            </w:r>
          </w:p>
        </w:tc>
        <w:tc>
          <w:tcPr>
            <w:tcW w:w="10220" w:type="dxa"/>
          </w:tcPr>
          <w:p>
            <w:pPr>
              <w:pStyle w:val="8"/>
              <w:spacing w:before="20" w:line="278" w:lineRule="auto"/>
              <w:ind w:left="528" w:right="725" w:hanging="10"/>
              <w:rPr>
                <w:sz w:val="21"/>
              </w:rPr>
            </w:pPr>
            <w:r>
              <w:rPr>
                <w:b/>
                <w:sz w:val="21"/>
              </w:rPr>
              <w:t>《国务院关于印发社会信用体系建设规划纲要（2014—2020</w:t>
            </w:r>
            <w:r>
              <w:rPr>
                <w:b/>
                <w:spacing w:val="-30"/>
                <w:sz w:val="21"/>
              </w:rPr>
              <w:t xml:space="preserve"> 年</w:t>
            </w:r>
            <w:r>
              <w:rPr>
                <w:b/>
                <w:sz w:val="21"/>
              </w:rPr>
              <w:t>）的通知》（国发〔2014〕21</w:t>
            </w:r>
            <w:r>
              <w:rPr>
                <w:b/>
                <w:spacing w:val="-31"/>
                <w:sz w:val="21"/>
              </w:rPr>
              <w:t xml:space="preserve"> 号</w:t>
            </w:r>
            <w:r>
              <w:rPr>
                <w:b/>
                <w:sz w:val="21"/>
              </w:rPr>
              <w:t xml:space="preserve">） </w:t>
            </w:r>
            <w:r>
              <w:rPr>
                <w:sz w:val="21"/>
              </w:rPr>
              <w:t>第二部分第（一）条</w:t>
            </w:r>
          </w:p>
          <w:p>
            <w:pPr>
              <w:pStyle w:val="8"/>
              <w:spacing w:line="250" w:lineRule="exact"/>
              <w:ind w:left="528"/>
              <w:jc w:val="both"/>
              <w:rPr>
                <w:sz w:val="21"/>
              </w:rPr>
            </w:pPr>
            <w:r>
              <w:rPr>
                <w:w w:val="95"/>
                <w:sz w:val="21"/>
              </w:rPr>
              <w:t>发挥</w:t>
            </w:r>
            <w:r>
              <w:fldChar w:fldCharType="begin"/>
            </w:r>
            <w:r>
              <w:instrText xml:space="preserve"> HYPERLINK "http://baike.baidu.com/subview/2996902/2996902.htm" \h </w:instrText>
            </w:r>
            <w:r>
              <w:fldChar w:fldCharType="separate"/>
            </w:r>
            <w:r>
              <w:rPr>
                <w:w w:val="95"/>
                <w:sz w:val="21"/>
              </w:rPr>
              <w:t>政府诚信</w:t>
            </w:r>
            <w:r>
              <w:rPr>
                <w:w w:val="95"/>
                <w:sz w:val="21"/>
              </w:rPr>
              <w:fldChar w:fldCharType="end"/>
            </w:r>
            <w:r>
              <w:rPr>
                <w:spacing w:val="-6"/>
                <w:w w:val="95"/>
                <w:sz w:val="21"/>
              </w:rPr>
              <w:t>建设示范作用。各级人民政府首先要加强自身诚信建设，以政府的诚信施政，带动全社会诚</w:t>
            </w:r>
          </w:p>
          <w:p>
            <w:pPr>
              <w:pStyle w:val="8"/>
              <w:spacing w:before="2"/>
              <w:ind w:left="108"/>
              <w:jc w:val="both"/>
              <w:rPr>
                <w:sz w:val="21"/>
              </w:rPr>
            </w:pPr>
            <w:r>
              <w:rPr>
                <w:spacing w:val="-7"/>
                <w:w w:val="95"/>
                <w:sz w:val="21"/>
              </w:rPr>
              <w:t>信意识的树立和诚信水平的提高。在行政许可、政府采购、招标投标、劳动就业、社会保障、科研管理、干部</w:t>
            </w:r>
          </w:p>
          <w:p>
            <w:pPr>
              <w:pStyle w:val="8"/>
              <w:spacing w:before="5" w:line="252" w:lineRule="exact"/>
              <w:ind w:left="108"/>
              <w:jc w:val="both"/>
              <w:rPr>
                <w:sz w:val="21"/>
              </w:rPr>
            </w:pPr>
            <w:r>
              <w:rPr>
                <w:sz w:val="21"/>
              </w:rPr>
              <w:t>选拔任用和管理监督、申请政府资金支持等领域，率先使用信用信息和信用产品，培育信用服务市场发展。</w:t>
            </w:r>
          </w:p>
        </w:tc>
        <w:tc>
          <w:tcPr>
            <w:tcW w:w="2081" w:type="dxa"/>
          </w:tcPr>
          <w:p>
            <w:pPr>
              <w:pStyle w:val="8"/>
              <w:spacing w:before="150" w:line="266" w:lineRule="auto"/>
              <w:ind w:left="107" w:right="283"/>
              <w:rPr>
                <w:sz w:val="21"/>
              </w:rPr>
            </w:pPr>
            <w:r>
              <w:rPr>
                <w:sz w:val="21"/>
              </w:rPr>
              <w:t>国家发展改革委、财政部、</w:t>
            </w:r>
          </w:p>
          <w:p>
            <w:pPr>
              <w:pStyle w:val="8"/>
              <w:spacing w:before="3" w:line="266" w:lineRule="auto"/>
              <w:ind w:left="107" w:right="283"/>
              <w:rPr>
                <w:sz w:val="21"/>
              </w:rPr>
            </w:pPr>
            <w:r>
              <w:rPr>
                <w:sz w:val="21"/>
              </w:rPr>
              <w:t>人力资源社会保障部及相关部门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3" w:hRule="atLeast"/>
        </w:trPr>
        <w:tc>
          <w:tcPr>
            <w:tcW w:w="1626"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8"/>
              <w:rPr>
                <w:rFonts w:ascii="Times New Roman"/>
                <w:sz w:val="22"/>
              </w:rPr>
            </w:pPr>
          </w:p>
          <w:p>
            <w:pPr>
              <w:pStyle w:val="8"/>
              <w:spacing w:before="1" w:line="242" w:lineRule="auto"/>
              <w:ind w:left="106" w:right="98"/>
              <w:jc w:val="both"/>
              <w:rPr>
                <w:sz w:val="21"/>
              </w:rPr>
            </w:pPr>
            <w:r>
              <w:rPr>
                <w:sz w:val="21"/>
              </w:rPr>
              <w:t>6. 依法限制失信企业作为供应商参加政府采购活动。</w:t>
            </w:r>
          </w:p>
        </w:tc>
        <w:tc>
          <w:tcPr>
            <w:tcW w:w="10220" w:type="dxa"/>
          </w:tcPr>
          <w:p>
            <w:pPr>
              <w:pStyle w:val="8"/>
              <w:spacing w:line="268" w:lineRule="exact"/>
              <w:ind w:left="528"/>
              <w:rPr>
                <w:b/>
                <w:sz w:val="21"/>
              </w:rPr>
            </w:pPr>
            <w:r>
              <w:rPr>
                <w:b/>
                <w:sz w:val="21"/>
              </w:rPr>
              <w:t>1.《中华人民共和国政府采购法》</w:t>
            </w:r>
          </w:p>
          <w:p>
            <w:pPr>
              <w:pStyle w:val="8"/>
              <w:spacing w:before="4"/>
              <w:ind w:left="528"/>
              <w:rPr>
                <w:sz w:val="21"/>
              </w:rPr>
            </w:pPr>
            <w:r>
              <w:rPr>
                <w:sz w:val="21"/>
              </w:rPr>
              <w:t>第二十二条 供应商参加政府采购活动应当具备下列条件：</w:t>
            </w:r>
          </w:p>
          <w:p>
            <w:pPr>
              <w:pStyle w:val="8"/>
              <w:numPr>
                <w:ilvl w:val="0"/>
                <w:numId w:val="5"/>
              </w:numPr>
              <w:tabs>
                <w:tab w:val="left" w:pos="1053"/>
              </w:tabs>
              <w:spacing w:before="2" w:after="0" w:line="240" w:lineRule="auto"/>
              <w:ind w:left="1052" w:right="0" w:hanging="525"/>
              <w:jc w:val="left"/>
              <w:rPr>
                <w:sz w:val="21"/>
              </w:rPr>
            </w:pPr>
            <w:r>
              <w:rPr>
                <w:sz w:val="21"/>
              </w:rPr>
              <w:t>具有独立承担民事责任的能力；</w:t>
            </w:r>
          </w:p>
          <w:p>
            <w:pPr>
              <w:pStyle w:val="8"/>
              <w:numPr>
                <w:ilvl w:val="0"/>
                <w:numId w:val="5"/>
              </w:numPr>
              <w:tabs>
                <w:tab w:val="left" w:pos="1053"/>
              </w:tabs>
              <w:spacing w:before="5" w:after="0" w:line="240" w:lineRule="auto"/>
              <w:ind w:left="1052" w:right="0" w:hanging="525"/>
              <w:jc w:val="left"/>
              <w:rPr>
                <w:sz w:val="21"/>
              </w:rPr>
            </w:pPr>
            <w:r>
              <w:rPr>
                <w:w w:val="95"/>
                <w:sz w:val="21"/>
              </w:rPr>
              <w:t>具有良好的商业信誉和健全的</w:t>
            </w:r>
            <w:r>
              <w:fldChar w:fldCharType="begin"/>
            </w:r>
            <w:r>
              <w:instrText xml:space="preserve"> HYPERLINK "http://baike.baidu.com/view/4427954.htm" \h </w:instrText>
            </w:r>
            <w:r>
              <w:fldChar w:fldCharType="separate"/>
            </w:r>
            <w:r>
              <w:rPr>
                <w:w w:val="95"/>
                <w:sz w:val="21"/>
              </w:rPr>
              <w:t>财务会计制度</w:t>
            </w:r>
            <w:r>
              <w:rPr>
                <w:w w:val="95"/>
                <w:sz w:val="21"/>
              </w:rPr>
              <w:fldChar w:fldCharType="end"/>
            </w:r>
            <w:r>
              <w:rPr>
                <w:w w:val="95"/>
                <w:sz w:val="21"/>
              </w:rPr>
              <w:t>；</w:t>
            </w:r>
          </w:p>
          <w:p>
            <w:pPr>
              <w:pStyle w:val="8"/>
              <w:numPr>
                <w:ilvl w:val="0"/>
                <w:numId w:val="5"/>
              </w:numPr>
              <w:tabs>
                <w:tab w:val="left" w:pos="1053"/>
              </w:tabs>
              <w:spacing w:before="2" w:after="0" w:line="240" w:lineRule="auto"/>
              <w:ind w:left="1052" w:right="0" w:hanging="525"/>
              <w:jc w:val="left"/>
              <w:rPr>
                <w:sz w:val="21"/>
              </w:rPr>
            </w:pPr>
            <w:r>
              <w:rPr>
                <w:w w:val="95"/>
                <w:sz w:val="21"/>
              </w:rPr>
              <w:t>具有履行合同所必需的设备和专业技术能力；</w:t>
            </w:r>
          </w:p>
          <w:p>
            <w:pPr>
              <w:pStyle w:val="8"/>
              <w:numPr>
                <w:ilvl w:val="0"/>
                <w:numId w:val="5"/>
              </w:numPr>
              <w:tabs>
                <w:tab w:val="left" w:pos="1053"/>
              </w:tabs>
              <w:spacing w:before="5" w:after="0" w:line="240" w:lineRule="auto"/>
              <w:ind w:left="1052" w:right="0" w:hanging="525"/>
              <w:jc w:val="left"/>
              <w:rPr>
                <w:sz w:val="21"/>
              </w:rPr>
            </w:pPr>
            <w:r>
              <w:rPr>
                <w:w w:val="95"/>
                <w:sz w:val="21"/>
              </w:rPr>
              <w:t>有依法缴纳税收和社会保障资金的良好记录；</w:t>
            </w:r>
          </w:p>
          <w:p>
            <w:pPr>
              <w:pStyle w:val="8"/>
              <w:numPr>
                <w:ilvl w:val="0"/>
                <w:numId w:val="5"/>
              </w:numPr>
              <w:tabs>
                <w:tab w:val="left" w:pos="1053"/>
              </w:tabs>
              <w:spacing w:before="2" w:after="0" w:line="240" w:lineRule="auto"/>
              <w:ind w:left="1052" w:right="0" w:hanging="525"/>
              <w:jc w:val="left"/>
              <w:rPr>
                <w:sz w:val="21"/>
              </w:rPr>
            </w:pPr>
            <w:r>
              <w:rPr>
                <w:sz w:val="21"/>
              </w:rPr>
              <w:t>参加政府采购活动前三年内，在经营活动中没有重大违法记录；</w:t>
            </w:r>
          </w:p>
          <w:p>
            <w:pPr>
              <w:pStyle w:val="8"/>
              <w:numPr>
                <w:ilvl w:val="0"/>
                <w:numId w:val="5"/>
              </w:numPr>
              <w:tabs>
                <w:tab w:val="left" w:pos="1053"/>
              </w:tabs>
              <w:spacing w:before="4" w:after="0" w:line="240" w:lineRule="auto"/>
              <w:ind w:left="1052" w:right="0" w:hanging="525"/>
              <w:jc w:val="left"/>
              <w:rPr>
                <w:sz w:val="21"/>
              </w:rPr>
            </w:pPr>
            <w:r>
              <w:rPr>
                <w:sz w:val="21"/>
              </w:rPr>
              <w:t>法律、行政法规规定的其他条件。</w:t>
            </w:r>
          </w:p>
          <w:p>
            <w:pPr>
              <w:pStyle w:val="8"/>
              <w:spacing w:before="2" w:line="244" w:lineRule="auto"/>
              <w:ind w:left="528" w:right="504"/>
              <w:rPr>
                <w:sz w:val="21"/>
              </w:rPr>
            </w:pPr>
            <w:r>
              <w:rPr>
                <w:b/>
                <w:sz w:val="21"/>
              </w:rPr>
              <w:t>2.《国务院关于印发社会信用体系建设规划纲要（2014—2020</w:t>
            </w:r>
            <w:r>
              <w:rPr>
                <w:b/>
                <w:spacing w:val="-30"/>
                <w:sz w:val="21"/>
              </w:rPr>
              <w:t xml:space="preserve"> 年</w:t>
            </w:r>
            <w:r>
              <w:rPr>
                <w:b/>
                <w:sz w:val="21"/>
              </w:rPr>
              <w:t>）的通知》（国发〔2014〕21</w:t>
            </w:r>
            <w:r>
              <w:rPr>
                <w:b/>
                <w:spacing w:val="-30"/>
                <w:sz w:val="21"/>
              </w:rPr>
              <w:t xml:space="preserve"> 号</w:t>
            </w:r>
            <w:r>
              <w:rPr>
                <w:b/>
                <w:sz w:val="21"/>
              </w:rPr>
              <w:t xml:space="preserve">） </w:t>
            </w:r>
            <w:r>
              <w:rPr>
                <w:spacing w:val="-1"/>
                <w:w w:val="99"/>
                <w:sz w:val="21"/>
              </w:rPr>
              <w:t>第二部分第</w:t>
            </w:r>
            <w:r>
              <w:rPr>
                <w:spacing w:val="2"/>
                <w:w w:val="99"/>
                <w:sz w:val="21"/>
              </w:rPr>
              <w:t>（</w:t>
            </w:r>
            <w:r>
              <w:rPr>
                <w:spacing w:val="-1"/>
                <w:w w:val="99"/>
                <w:sz w:val="21"/>
              </w:rPr>
              <w:t>一</w:t>
            </w:r>
            <w:r>
              <w:rPr>
                <w:spacing w:val="-104"/>
                <w:w w:val="99"/>
                <w:sz w:val="21"/>
              </w:rPr>
              <w:t>）</w:t>
            </w:r>
            <w:r>
              <w:rPr>
                <w:spacing w:val="-1"/>
                <w:w w:val="99"/>
                <w:sz w:val="21"/>
              </w:rPr>
              <w:t>（</w:t>
            </w:r>
            <w:r>
              <w:rPr>
                <w:spacing w:val="2"/>
                <w:w w:val="99"/>
                <w:sz w:val="21"/>
              </w:rPr>
              <w:t>二</w:t>
            </w:r>
            <w:r>
              <w:rPr>
                <w:spacing w:val="-1"/>
                <w:w w:val="99"/>
                <w:sz w:val="21"/>
              </w:rPr>
              <w:t>）</w:t>
            </w:r>
            <w:r>
              <w:rPr>
                <w:w w:val="99"/>
                <w:sz w:val="21"/>
              </w:rPr>
              <w:t>条</w:t>
            </w:r>
          </w:p>
          <w:p>
            <w:pPr>
              <w:pStyle w:val="8"/>
              <w:spacing w:line="246" w:lineRule="exact"/>
              <w:ind w:left="528"/>
              <w:rPr>
                <w:sz w:val="21"/>
              </w:rPr>
            </w:pPr>
            <w:r>
              <w:rPr>
                <w:sz w:val="21"/>
              </w:rPr>
              <w:t>（一）加快推进政务诚信建设</w:t>
            </w:r>
          </w:p>
        </w:tc>
        <w:tc>
          <w:tcPr>
            <w:tcW w:w="2081"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18"/>
              </w:rPr>
            </w:pPr>
          </w:p>
          <w:p>
            <w:pPr>
              <w:pStyle w:val="8"/>
              <w:ind w:left="107"/>
              <w:rPr>
                <w:sz w:val="21"/>
              </w:rPr>
            </w:pPr>
            <w:r>
              <w:rPr>
                <w:sz w:val="21"/>
              </w:rPr>
              <w:t>财政部</w:t>
            </w:r>
          </w:p>
        </w:tc>
      </w:tr>
    </w:tbl>
    <w:p>
      <w:pPr>
        <w:spacing w:after="0"/>
        <w:rPr>
          <w:sz w:val="21"/>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6" w:hRule="atLeast"/>
        </w:trPr>
        <w:tc>
          <w:tcPr>
            <w:tcW w:w="1626" w:type="dxa"/>
          </w:tcPr>
          <w:p>
            <w:pPr>
              <w:pStyle w:val="8"/>
              <w:rPr>
                <w:rFonts w:ascii="Times New Roman"/>
                <w:sz w:val="20"/>
              </w:rPr>
            </w:pPr>
          </w:p>
        </w:tc>
        <w:tc>
          <w:tcPr>
            <w:tcW w:w="10220" w:type="dxa"/>
          </w:tcPr>
          <w:p>
            <w:pPr>
              <w:pStyle w:val="8"/>
              <w:spacing w:before="1" w:line="242" w:lineRule="auto"/>
              <w:ind w:left="108" w:right="94" w:firstLine="420"/>
              <w:jc w:val="both"/>
              <w:rPr>
                <w:sz w:val="21"/>
              </w:rPr>
            </w:pPr>
            <w:r>
              <w:rPr>
                <w:w w:val="95"/>
                <w:sz w:val="21"/>
              </w:rPr>
              <w:t>发挥</w:t>
            </w:r>
            <w:r>
              <w:fldChar w:fldCharType="begin"/>
            </w:r>
            <w:r>
              <w:instrText xml:space="preserve"> HYPERLINK "http://baike.baidu.com/subview/2996902/2996902.htm" \h </w:instrText>
            </w:r>
            <w:r>
              <w:fldChar w:fldCharType="separate"/>
            </w:r>
            <w:r>
              <w:rPr>
                <w:w w:val="95"/>
                <w:sz w:val="21"/>
              </w:rPr>
              <w:t>政府诚信</w:t>
            </w:r>
            <w:r>
              <w:rPr>
                <w:w w:val="95"/>
                <w:sz w:val="21"/>
              </w:rPr>
              <w:fldChar w:fldCharType="end"/>
            </w:r>
            <w:r>
              <w:rPr>
                <w:spacing w:val="-6"/>
                <w:w w:val="95"/>
                <w:sz w:val="21"/>
              </w:rPr>
              <w:t>建设示范作用。各级人民政府首先要加强自身诚信建设，以政府的诚信施政，带动全社会诚</w:t>
            </w:r>
            <w:r>
              <w:rPr>
                <w:spacing w:val="-10"/>
                <w:w w:val="95"/>
                <w:sz w:val="21"/>
              </w:rPr>
              <w:t>信意识的树立和诚信水平的提高。在行政许可、政府采购、招标投标、劳动就业、社会保障、科研管理、干部</w:t>
            </w:r>
            <w:r>
              <w:rPr>
                <w:spacing w:val="-10"/>
                <w:sz w:val="21"/>
              </w:rPr>
              <w:t>选拔任用和管理监督、申请政府资金支持等领域，率先使用信用信息和信用产品，培育信用服务市场发展。</w:t>
            </w:r>
          </w:p>
          <w:p>
            <w:pPr>
              <w:pStyle w:val="8"/>
              <w:spacing w:before="1"/>
              <w:ind w:left="528"/>
              <w:rPr>
                <w:sz w:val="21"/>
              </w:rPr>
            </w:pPr>
            <w:r>
              <w:rPr>
                <w:sz w:val="21"/>
              </w:rPr>
              <w:t>（二）深入推进商务诚信建设</w:t>
            </w:r>
          </w:p>
          <w:p>
            <w:pPr>
              <w:pStyle w:val="8"/>
              <w:spacing w:before="2" w:line="242" w:lineRule="auto"/>
              <w:ind w:left="108" w:right="98" w:firstLine="420"/>
              <w:jc w:val="both"/>
              <w:rPr>
                <w:sz w:val="21"/>
              </w:rPr>
            </w:pPr>
            <w:r>
              <w:rPr>
                <w:spacing w:val="-2"/>
                <w:w w:val="95"/>
                <w:sz w:val="21"/>
              </w:rPr>
              <w:t>政府采购领域信用建设。加强政府采购</w:t>
            </w:r>
            <w:r>
              <w:fldChar w:fldCharType="begin"/>
            </w:r>
            <w:r>
              <w:instrText xml:space="preserve"> HYPERLINK "http://baike.baidu.com/subview/267946/267946.htm" \h </w:instrText>
            </w:r>
            <w:r>
              <w:fldChar w:fldCharType="separate"/>
            </w:r>
            <w:r>
              <w:rPr>
                <w:w w:val="95"/>
                <w:sz w:val="21"/>
              </w:rPr>
              <w:t>信用管理</w:t>
            </w:r>
            <w:r>
              <w:rPr>
                <w:w w:val="95"/>
                <w:sz w:val="21"/>
              </w:rPr>
              <w:fldChar w:fldCharType="end"/>
            </w:r>
            <w:r>
              <w:rPr>
                <w:spacing w:val="-6"/>
                <w:w w:val="95"/>
                <w:sz w:val="21"/>
              </w:rPr>
              <w:t>，强化联动惩戒，保护</w:t>
            </w:r>
            <w:r>
              <w:fldChar w:fldCharType="begin"/>
            </w:r>
            <w:r>
              <w:instrText xml:space="preserve"> HYPERLINK "http://baike.baidu.com/subview/1307756/1307756.htm" \h </w:instrText>
            </w:r>
            <w:r>
              <w:fldChar w:fldCharType="separate"/>
            </w:r>
            <w:r>
              <w:rPr>
                <w:w w:val="95"/>
                <w:sz w:val="21"/>
              </w:rPr>
              <w:t>政府采购当事人</w:t>
            </w:r>
            <w:r>
              <w:rPr>
                <w:w w:val="95"/>
                <w:sz w:val="21"/>
              </w:rPr>
              <w:fldChar w:fldCharType="end"/>
            </w:r>
            <w:r>
              <w:rPr>
                <w:spacing w:val="-4"/>
                <w:w w:val="95"/>
                <w:sz w:val="21"/>
              </w:rPr>
              <w:t>的合法权益。制定</w:t>
            </w:r>
            <w:r>
              <w:rPr>
                <w:spacing w:val="-9"/>
                <w:w w:val="95"/>
                <w:sz w:val="21"/>
              </w:rPr>
              <w:t>供应商、评审专家、</w:t>
            </w:r>
            <w:r>
              <w:fldChar w:fldCharType="begin"/>
            </w:r>
            <w:r>
              <w:instrText xml:space="preserve"> HYPERLINK "http://baike.baidu.com/subview/4349765/4349765.htm" \h </w:instrText>
            </w:r>
            <w:r>
              <w:fldChar w:fldCharType="separate"/>
            </w:r>
            <w:r>
              <w:rPr>
                <w:w w:val="95"/>
                <w:sz w:val="21"/>
              </w:rPr>
              <w:t>政府采购代理机构</w:t>
            </w:r>
            <w:r>
              <w:rPr>
                <w:w w:val="95"/>
                <w:sz w:val="21"/>
              </w:rPr>
              <w:fldChar w:fldCharType="end"/>
            </w:r>
            <w:r>
              <w:rPr>
                <w:spacing w:val="-2"/>
                <w:w w:val="95"/>
                <w:sz w:val="21"/>
              </w:rPr>
              <w:t>以及相关从业人员的信用记录标准。依法建立</w:t>
            </w:r>
            <w:r>
              <w:fldChar w:fldCharType="begin"/>
            </w:r>
            <w:r>
              <w:instrText xml:space="preserve"> HYPERLINK "http://baike.baidu.com/subview/11796507/12165889.htm" \h </w:instrText>
            </w:r>
            <w:r>
              <w:fldChar w:fldCharType="separate"/>
            </w:r>
            <w:r>
              <w:rPr>
                <w:w w:val="95"/>
                <w:sz w:val="21"/>
              </w:rPr>
              <w:t>政府采购供应商</w:t>
            </w:r>
            <w:r>
              <w:rPr>
                <w:w w:val="95"/>
                <w:sz w:val="21"/>
              </w:rPr>
              <w:fldChar w:fldCharType="end"/>
            </w:r>
            <w:r>
              <w:fldChar w:fldCharType="begin"/>
            </w:r>
            <w:r>
              <w:instrText xml:space="preserve"> HYPERLINK "http://baike.baidu.com/subview/2183629/2183629.htm" \h </w:instrText>
            </w:r>
            <w:r>
              <w:fldChar w:fldCharType="separate"/>
            </w:r>
            <w:r>
              <w:rPr>
                <w:w w:val="95"/>
                <w:sz w:val="21"/>
              </w:rPr>
              <w:t>不良行为</w:t>
            </w:r>
            <w:r>
              <w:rPr>
                <w:w w:val="95"/>
                <w:sz w:val="21"/>
              </w:rPr>
              <w:fldChar w:fldCharType="end"/>
            </w:r>
            <w:r>
              <w:rPr>
                <w:spacing w:val="-7"/>
                <w:w w:val="95"/>
                <w:sz w:val="21"/>
              </w:rPr>
              <w:t>记录名单，对列入不良行为记录名单的供应商，在一定期限内禁止参加政府采购活动。完善政府采购市场的准</w:t>
            </w:r>
            <w:r>
              <w:rPr>
                <w:spacing w:val="-12"/>
                <w:w w:val="95"/>
                <w:sz w:val="21"/>
              </w:rPr>
              <w:t>入和退出机制，充分利用工商、税务、金融、检察等其他部门提供的信用信息，加强对政府采购当事人和相关</w:t>
            </w:r>
            <w:r>
              <w:rPr>
                <w:spacing w:val="-13"/>
                <w:w w:val="95"/>
                <w:sz w:val="21"/>
              </w:rPr>
              <w:t>人员的信用管理。加快建设全国统一的政府采购管理交易系统，提高政府采购活动透明度，实现信用信息的统</w:t>
            </w:r>
            <w:r>
              <w:rPr>
                <w:spacing w:val="-13"/>
                <w:sz w:val="21"/>
              </w:rPr>
              <w:t>一发布和共享。</w:t>
            </w:r>
          </w:p>
          <w:p>
            <w:pPr>
              <w:pStyle w:val="8"/>
              <w:spacing w:before="4" w:line="242" w:lineRule="auto"/>
              <w:ind w:left="108" w:right="22" w:firstLine="420"/>
              <w:rPr>
                <w:sz w:val="21"/>
              </w:rPr>
            </w:pPr>
            <w:r>
              <w:rPr>
                <w:spacing w:val="-6"/>
                <w:sz w:val="21"/>
              </w:rPr>
              <w:t>招标投标领域信用建设。扩大招标投标信用信息公开和共享范围，建立涵盖招标投标情况的信用评价指标</w:t>
            </w:r>
            <w:r>
              <w:rPr>
                <w:spacing w:val="-6"/>
                <w:w w:val="95"/>
                <w:sz w:val="21"/>
              </w:rPr>
              <w:t>和评价标准体系，健全招标投标信用信息公开和共享制度。进一步贯彻落实招标投标违法行为记录公告制度，</w:t>
            </w:r>
            <w:r>
              <w:rPr>
                <w:spacing w:val="-10"/>
                <w:sz w:val="21"/>
              </w:rPr>
              <w:t>推动完善奖惩联动机制。依托电子招标投标系统及其公共服务平台，实现招标投标和</w:t>
            </w:r>
            <w:r>
              <w:fldChar w:fldCharType="begin"/>
            </w:r>
            <w:r>
              <w:instrText xml:space="preserve"> HYPERLINK "http://baike.baidu.com/subview/322936/322936.htm" \h </w:instrText>
            </w:r>
            <w:r>
              <w:fldChar w:fldCharType="separate"/>
            </w:r>
            <w:r>
              <w:rPr>
                <w:sz w:val="21"/>
              </w:rPr>
              <w:t>合同履行</w:t>
            </w:r>
            <w:r>
              <w:rPr>
                <w:sz w:val="21"/>
              </w:rPr>
              <w:fldChar w:fldCharType="end"/>
            </w:r>
            <w:r>
              <w:rPr>
                <w:sz w:val="21"/>
              </w:rPr>
              <w:t>等信用信息的互</w:t>
            </w:r>
            <w:r>
              <w:rPr>
                <w:spacing w:val="-8"/>
                <w:sz w:val="21"/>
              </w:rPr>
              <w:t>联互通、实时交换和整合共享。鼓励市场主体运用基本信用信息和第三方信用评价结果，并将其作为投标人资格审查、评标、定标和合同签订的重要依据。</w:t>
            </w:r>
          </w:p>
          <w:p>
            <w:pPr>
              <w:pStyle w:val="8"/>
              <w:spacing w:before="5" w:line="242" w:lineRule="auto"/>
              <w:ind w:left="528" w:right="2724"/>
              <w:rPr>
                <w:sz w:val="21"/>
              </w:rPr>
            </w:pPr>
            <w:r>
              <w:rPr>
                <w:b/>
                <w:w w:val="95"/>
                <w:sz w:val="21"/>
              </w:rPr>
              <w:t xml:space="preserve">3.《关于在政府采购活动中查询及使用信用记录有关问题的通知》第二部分  </w:t>
            </w:r>
            <w:r>
              <w:rPr>
                <w:sz w:val="21"/>
              </w:rPr>
              <w:t>二、认真做好信用记录查询及使用工作</w:t>
            </w:r>
          </w:p>
          <w:p>
            <w:pPr>
              <w:pStyle w:val="8"/>
              <w:spacing w:line="268" w:lineRule="exact"/>
              <w:ind w:left="528"/>
              <w:rPr>
                <w:sz w:val="21"/>
              </w:rPr>
            </w:pPr>
            <w:r>
              <w:rPr>
                <w:sz w:val="21"/>
              </w:rPr>
              <w:t>（一）总体要求。</w:t>
            </w:r>
          </w:p>
          <w:p>
            <w:pPr>
              <w:pStyle w:val="8"/>
              <w:spacing w:before="4" w:line="244" w:lineRule="auto"/>
              <w:ind w:left="108" w:right="98" w:firstLine="420"/>
              <w:rPr>
                <w:sz w:val="21"/>
              </w:rPr>
            </w:pPr>
            <w:r>
              <w:rPr>
                <w:spacing w:val="-3"/>
                <w:w w:val="95"/>
                <w:sz w:val="21"/>
              </w:rPr>
              <w:t>各地区各部门应当按照社会信用体系建设有关要求，根据社会信用体系建设情况，创造条件将相关主体的</w:t>
            </w:r>
            <w:r>
              <w:rPr>
                <w:spacing w:val="-3"/>
                <w:sz w:val="21"/>
              </w:rPr>
              <w:t>信用记录作为供应商资格审查、采购代理机构委托、评审专家管理的重要依据。</w:t>
            </w:r>
          </w:p>
          <w:p>
            <w:pPr>
              <w:pStyle w:val="8"/>
              <w:spacing w:line="265" w:lineRule="exact"/>
              <w:ind w:left="528"/>
              <w:rPr>
                <w:sz w:val="21"/>
              </w:rPr>
            </w:pPr>
            <w:r>
              <w:rPr>
                <w:sz w:val="21"/>
              </w:rPr>
              <w:t>（二）信用记录查询渠道。</w:t>
            </w:r>
          </w:p>
          <w:p>
            <w:pPr>
              <w:pStyle w:val="8"/>
              <w:spacing w:before="5" w:line="242" w:lineRule="auto"/>
              <w:ind w:left="108" w:right="96" w:firstLine="420"/>
              <w:jc w:val="both"/>
              <w:rPr>
                <w:sz w:val="21"/>
              </w:rPr>
            </w:pPr>
            <w:r>
              <w:rPr>
                <w:spacing w:val="-1"/>
                <w:w w:val="99"/>
                <w:sz w:val="21"/>
              </w:rPr>
              <w:t>各级财政部门、采购人、采购代理机构应当通过“信用中国”网站</w:t>
            </w:r>
            <w:r>
              <w:rPr>
                <w:spacing w:val="2"/>
                <w:w w:val="99"/>
                <w:sz w:val="21"/>
              </w:rPr>
              <w:t>（</w:t>
            </w:r>
            <w:r>
              <w:fldChar w:fldCharType="begin"/>
            </w:r>
            <w:r>
              <w:instrText xml:space="preserve"> HYPERLINK "http://www.creditchina.gov.cn/" \h </w:instrText>
            </w:r>
            <w:r>
              <w:fldChar w:fldCharType="separate"/>
            </w:r>
            <w:r>
              <w:rPr>
                <w:spacing w:val="1"/>
                <w:w w:val="99"/>
                <w:sz w:val="21"/>
              </w:rPr>
              <w:t>www</w:t>
            </w:r>
            <w:r>
              <w:rPr>
                <w:spacing w:val="-2"/>
                <w:w w:val="99"/>
                <w:sz w:val="21"/>
              </w:rPr>
              <w:t>.</w:t>
            </w:r>
            <w:r>
              <w:rPr>
                <w:spacing w:val="1"/>
                <w:w w:val="99"/>
                <w:sz w:val="21"/>
              </w:rPr>
              <w:t>cre</w:t>
            </w:r>
            <w:r>
              <w:rPr>
                <w:spacing w:val="-2"/>
                <w:w w:val="99"/>
                <w:sz w:val="21"/>
              </w:rPr>
              <w:t>d</w:t>
            </w:r>
            <w:r>
              <w:rPr>
                <w:spacing w:val="1"/>
                <w:w w:val="99"/>
                <w:sz w:val="21"/>
              </w:rPr>
              <w:t>itc</w:t>
            </w:r>
            <w:r>
              <w:rPr>
                <w:spacing w:val="-2"/>
                <w:w w:val="99"/>
                <w:sz w:val="21"/>
              </w:rPr>
              <w:t>h</w:t>
            </w:r>
            <w:r>
              <w:rPr>
                <w:spacing w:val="1"/>
                <w:w w:val="99"/>
                <w:sz w:val="21"/>
              </w:rPr>
              <w:t>ina</w:t>
            </w:r>
            <w:r>
              <w:rPr>
                <w:spacing w:val="-2"/>
                <w:w w:val="99"/>
                <w:sz w:val="21"/>
              </w:rPr>
              <w:t>.</w:t>
            </w:r>
            <w:r>
              <w:rPr>
                <w:spacing w:val="1"/>
                <w:w w:val="99"/>
                <w:sz w:val="21"/>
              </w:rPr>
              <w:t>gov</w:t>
            </w:r>
            <w:r>
              <w:rPr>
                <w:spacing w:val="-2"/>
                <w:w w:val="99"/>
                <w:sz w:val="21"/>
              </w:rPr>
              <w:t>.</w:t>
            </w:r>
            <w:r>
              <w:rPr>
                <w:spacing w:val="1"/>
                <w:w w:val="99"/>
                <w:sz w:val="21"/>
              </w:rPr>
              <w:t>cn</w:t>
            </w:r>
            <w:r>
              <w:rPr>
                <w:spacing w:val="1"/>
                <w:w w:val="99"/>
                <w:sz w:val="21"/>
              </w:rPr>
              <w:fldChar w:fldCharType="end"/>
            </w:r>
            <w:r>
              <w:rPr>
                <w:spacing w:val="-104"/>
                <w:w w:val="99"/>
                <w:sz w:val="21"/>
              </w:rPr>
              <w:t>）</w:t>
            </w:r>
            <w:r>
              <w:rPr>
                <w:spacing w:val="1"/>
                <w:w w:val="99"/>
                <w:sz w:val="21"/>
              </w:rPr>
              <w:t>、中国政</w:t>
            </w:r>
            <w:r>
              <w:rPr>
                <w:spacing w:val="1"/>
                <w:sz w:val="21"/>
              </w:rPr>
              <w:t>府采购网（</w:t>
            </w:r>
            <w:r>
              <w:fldChar w:fldCharType="begin"/>
            </w:r>
            <w:r>
              <w:instrText xml:space="preserve"> HYPERLINK "http://www.ccgp.gov.cn/" \h </w:instrText>
            </w:r>
            <w:r>
              <w:fldChar w:fldCharType="separate"/>
            </w:r>
            <w:r>
              <w:rPr>
                <w:spacing w:val="1"/>
                <w:sz w:val="21"/>
              </w:rPr>
              <w:t>www.ccgp.gov.cn</w:t>
            </w:r>
            <w:r>
              <w:rPr>
                <w:spacing w:val="1"/>
                <w:sz w:val="21"/>
              </w:rPr>
              <w:fldChar w:fldCharType="end"/>
            </w:r>
            <w:r>
              <w:rPr>
                <w:spacing w:val="1"/>
                <w:sz w:val="21"/>
              </w:rPr>
              <w:t>）等渠道查询相关主体信用记录，并采取必要方式做好信用信息查询记录和证据留存，信用信息查询记录及相关证据应当与其他采购文件一并保存。</w:t>
            </w:r>
          </w:p>
          <w:p>
            <w:pPr>
              <w:pStyle w:val="8"/>
              <w:spacing w:before="1"/>
              <w:ind w:left="528"/>
              <w:rPr>
                <w:sz w:val="21"/>
              </w:rPr>
            </w:pPr>
            <w:r>
              <w:rPr>
                <w:sz w:val="21"/>
              </w:rPr>
              <w:t>（三）信用记录的使用。</w:t>
            </w:r>
          </w:p>
          <w:p>
            <w:pPr>
              <w:pStyle w:val="8"/>
              <w:spacing w:before="2" w:line="242" w:lineRule="auto"/>
              <w:ind w:left="108" w:right="96" w:firstLine="420"/>
              <w:jc w:val="both"/>
              <w:rPr>
                <w:sz w:val="21"/>
              </w:rPr>
            </w:pPr>
            <w:r>
              <w:rPr>
                <w:w w:val="95"/>
                <w:sz w:val="21"/>
              </w:rPr>
              <w:t>1</w:t>
            </w:r>
            <w:r>
              <w:rPr>
                <w:spacing w:val="-2"/>
                <w:w w:val="95"/>
                <w:sz w:val="21"/>
              </w:rPr>
              <w:t>.采购人或者采购代理机构应当在采购文件中明确信用信息查询的查询渠道及截止时点、信用信息查询记</w:t>
            </w:r>
            <w:r>
              <w:rPr>
                <w:spacing w:val="-7"/>
                <w:w w:val="95"/>
                <w:sz w:val="21"/>
              </w:rPr>
              <w:t>录和证据留存的具体方式、信用信息的使用规则等内容。采购人或者采购代理机构应当对供应商信用记录进行</w:t>
            </w:r>
            <w:r>
              <w:rPr>
                <w:spacing w:val="-10"/>
                <w:w w:val="95"/>
                <w:sz w:val="21"/>
              </w:rPr>
              <w:t>甄别，对列入失信被执行人、重大税收违法案件当事人名单、政府采购严重违法失信行为记录名单及其他不符</w:t>
            </w:r>
            <w:r>
              <w:rPr>
                <w:sz w:val="21"/>
              </w:rPr>
              <w:t>合《中华人民共和国政府采购法》第二十二条规定条件的供应商，应当拒绝其参与政府采购活动。</w:t>
            </w:r>
          </w:p>
        </w:tc>
        <w:tc>
          <w:tcPr>
            <w:tcW w:w="2081" w:type="dxa"/>
          </w:tcPr>
          <w:p>
            <w:pPr>
              <w:pStyle w:val="8"/>
              <w:rPr>
                <w:rFonts w:ascii="Times New Roman"/>
                <w:sz w:val="20"/>
              </w:rPr>
            </w:pPr>
          </w:p>
        </w:tc>
      </w:tr>
    </w:tbl>
    <w:p>
      <w:pPr>
        <w:spacing w:after="0"/>
        <w:rPr>
          <w:rFonts w:ascii="Times New Roman"/>
          <w:sz w:val="20"/>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0" w:hRule="atLeast"/>
        </w:trPr>
        <w:tc>
          <w:tcPr>
            <w:tcW w:w="1626" w:type="dxa"/>
          </w:tcPr>
          <w:p>
            <w:pPr>
              <w:pStyle w:val="8"/>
              <w:rPr>
                <w:rFonts w:ascii="Times New Roman"/>
                <w:sz w:val="20"/>
              </w:rPr>
            </w:pPr>
          </w:p>
        </w:tc>
        <w:tc>
          <w:tcPr>
            <w:tcW w:w="10220" w:type="dxa"/>
          </w:tcPr>
          <w:p>
            <w:pPr>
              <w:pStyle w:val="8"/>
              <w:spacing w:before="1" w:line="242" w:lineRule="auto"/>
              <w:ind w:left="108" w:right="22" w:firstLine="420"/>
              <w:rPr>
                <w:sz w:val="21"/>
              </w:rPr>
            </w:pPr>
            <w:r>
              <w:rPr>
                <w:w w:val="95"/>
                <w:sz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8"/>
              <w:numPr>
                <w:ilvl w:val="0"/>
                <w:numId w:val="6"/>
              </w:numPr>
              <w:tabs>
                <w:tab w:val="left" w:pos="740"/>
              </w:tabs>
              <w:spacing w:before="0" w:after="0" w:line="244" w:lineRule="auto"/>
              <w:ind w:left="108" w:right="94" w:firstLine="420"/>
              <w:jc w:val="left"/>
              <w:rPr>
                <w:sz w:val="21"/>
              </w:rPr>
            </w:pPr>
            <w:r>
              <w:rPr>
                <w:spacing w:val="-3"/>
                <w:w w:val="95"/>
                <w:sz w:val="21"/>
              </w:rPr>
              <w:t>各级财政部门应当在评审专家选聘及日常管理中查询有关信用记录，对具有行贿、受贿、欺诈等不良信</w:t>
            </w:r>
            <w:r>
              <w:rPr>
                <w:spacing w:val="-3"/>
                <w:sz w:val="21"/>
              </w:rPr>
              <w:t>用记录的人员不得聘用为评审专家，已聘用的应当及时解聘。</w:t>
            </w:r>
          </w:p>
          <w:p>
            <w:pPr>
              <w:pStyle w:val="8"/>
              <w:spacing w:line="244" w:lineRule="auto"/>
              <w:ind w:left="108" w:right="22" w:firstLine="420"/>
              <w:rPr>
                <w:sz w:val="21"/>
              </w:rPr>
            </w:pPr>
            <w:r>
              <w:rPr>
                <w:w w:val="95"/>
                <w:sz w:val="21"/>
              </w:rPr>
              <w:t>依法自行选定评审专家的，采购人或者采购代理机构应当查询有关信用记录，不得选定具有行贿、受贿、</w:t>
            </w:r>
            <w:r>
              <w:rPr>
                <w:sz w:val="21"/>
              </w:rPr>
              <w:t>欺诈等不良信用记录的人员。</w:t>
            </w:r>
          </w:p>
          <w:p>
            <w:pPr>
              <w:pStyle w:val="8"/>
              <w:numPr>
                <w:ilvl w:val="0"/>
                <w:numId w:val="6"/>
              </w:numPr>
              <w:tabs>
                <w:tab w:val="left" w:pos="740"/>
              </w:tabs>
              <w:spacing w:before="0" w:after="0" w:line="242" w:lineRule="auto"/>
              <w:ind w:left="108" w:right="98" w:firstLine="420"/>
              <w:jc w:val="left"/>
              <w:rPr>
                <w:sz w:val="21"/>
              </w:rPr>
            </w:pPr>
            <w:r>
              <w:rPr>
                <w:spacing w:val="-4"/>
                <w:w w:val="95"/>
                <w:sz w:val="21"/>
              </w:rPr>
              <w:t>采购人委托采购代理机构办理政府采购事宜的，应当查询其信用记录，优先选择无不良信用记录的采购</w:t>
            </w:r>
            <w:r>
              <w:rPr>
                <w:spacing w:val="-4"/>
                <w:sz w:val="21"/>
              </w:rPr>
              <w:t>代理机构。</w:t>
            </w:r>
          </w:p>
          <w:p>
            <w:pPr>
              <w:pStyle w:val="8"/>
              <w:numPr>
                <w:ilvl w:val="0"/>
                <w:numId w:val="6"/>
              </w:numPr>
              <w:tabs>
                <w:tab w:val="left" w:pos="740"/>
              </w:tabs>
              <w:spacing w:before="0" w:after="0" w:line="251" w:lineRule="exact"/>
              <w:ind w:left="739" w:right="0" w:hanging="212"/>
              <w:jc w:val="left"/>
              <w:rPr>
                <w:sz w:val="21"/>
              </w:rPr>
            </w:pPr>
            <w:r>
              <w:rPr>
                <w:sz w:val="21"/>
              </w:rPr>
              <w:t>采购人及采购代理机构应当妥善保管相关主体信用信息，不得用于政府采购以外事项。</w:t>
            </w:r>
          </w:p>
        </w:tc>
        <w:tc>
          <w:tcPr>
            <w:tcW w:w="208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5" w:hRule="atLeast"/>
        </w:trPr>
        <w:tc>
          <w:tcPr>
            <w:tcW w:w="1626"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68" w:line="242" w:lineRule="auto"/>
              <w:ind w:left="106" w:right="38"/>
              <w:jc w:val="both"/>
              <w:rPr>
                <w:sz w:val="21"/>
              </w:rPr>
            </w:pPr>
            <w:r>
              <w:rPr>
                <w:sz w:val="21"/>
              </w:rPr>
              <w:t>7. 依法将失信信息作为选择基础设施和公用事业特许经营等政府和社会资本合作项目合作伙伴的重要参考因素，限制失信主体成为项目合作伙伴。</w:t>
            </w:r>
          </w:p>
        </w:tc>
        <w:tc>
          <w:tcPr>
            <w:tcW w:w="10220" w:type="dxa"/>
          </w:tcPr>
          <w:p>
            <w:pPr>
              <w:pStyle w:val="8"/>
              <w:numPr>
                <w:ilvl w:val="0"/>
                <w:numId w:val="7"/>
              </w:numPr>
              <w:tabs>
                <w:tab w:val="left" w:pos="845"/>
              </w:tabs>
              <w:spacing w:before="0" w:after="0" w:line="240" w:lineRule="auto"/>
              <w:ind w:left="844" w:right="0" w:hanging="317"/>
              <w:jc w:val="left"/>
              <w:rPr>
                <w:b/>
                <w:sz w:val="21"/>
              </w:rPr>
            </w:pPr>
            <w:r>
              <w:rPr>
                <w:b/>
                <w:spacing w:val="-5"/>
                <w:sz w:val="21"/>
              </w:rPr>
              <w:t>《中共中央国务院关于深化投融资体制改革的意见》</w:t>
            </w:r>
            <w:r>
              <w:rPr>
                <w:b/>
                <w:sz w:val="21"/>
              </w:rPr>
              <w:t>（中发〔2016〕18</w:t>
            </w:r>
            <w:r>
              <w:rPr>
                <w:b/>
                <w:spacing w:val="-27"/>
                <w:sz w:val="21"/>
              </w:rPr>
              <w:t xml:space="preserve"> 号</w:t>
            </w:r>
            <w:r>
              <w:rPr>
                <w:b/>
                <w:sz w:val="21"/>
              </w:rPr>
              <w:t>）</w:t>
            </w:r>
          </w:p>
          <w:p>
            <w:pPr>
              <w:pStyle w:val="8"/>
              <w:spacing w:before="3" w:line="242" w:lineRule="auto"/>
              <w:ind w:left="108" w:right="-15" w:firstLine="420"/>
              <w:rPr>
                <w:sz w:val="21"/>
              </w:rPr>
            </w:pPr>
            <w:r>
              <w:rPr>
                <w:sz w:val="21"/>
              </w:rPr>
              <w:t>（九</w:t>
            </w:r>
            <w:r>
              <w:rPr>
                <w:spacing w:val="-20"/>
                <w:sz w:val="21"/>
              </w:rPr>
              <w:t>）</w:t>
            </w:r>
            <w:r>
              <w:rPr>
                <w:spacing w:val="-4"/>
                <w:sz w:val="21"/>
              </w:rPr>
              <w:t>鼓励政府和社会资本合作。各地区各部门可以根据需要和财力状况，通过特许经营、政府购买服务</w:t>
            </w:r>
            <w:r>
              <w:rPr>
                <w:spacing w:val="-10"/>
                <w:sz w:val="21"/>
              </w:rPr>
              <w:t>等方式，在交通、环保、医疗、养老等领域采取单个项目、组合项目、连片开发等多种形式，扩大公共产品和</w:t>
            </w:r>
            <w:r>
              <w:rPr>
                <w:spacing w:val="-16"/>
                <w:w w:val="95"/>
                <w:sz w:val="21"/>
              </w:rPr>
              <w:t>服务供给。要合理把握价格、土地、金融等方面的政策支持力度，稳定项目预期收益。要发挥工程咨询、金融、</w:t>
            </w:r>
            <w:r>
              <w:rPr>
                <w:spacing w:val="-16"/>
                <w:sz w:val="21"/>
              </w:rPr>
              <w:t>财务、法律等方面专业机构作用，提高项目决策的科学性、项目管理的专业性和项目实施的有效性。</w:t>
            </w:r>
          </w:p>
          <w:p>
            <w:pPr>
              <w:pStyle w:val="8"/>
              <w:spacing w:before="2" w:line="242" w:lineRule="auto"/>
              <w:ind w:left="108" w:right="-15" w:firstLine="420"/>
              <w:rPr>
                <w:sz w:val="21"/>
              </w:rPr>
            </w:pPr>
            <w:r>
              <w:rPr>
                <w:sz w:val="21"/>
              </w:rPr>
              <w:t>（十六</w:t>
            </w:r>
            <w:r>
              <w:rPr>
                <w:spacing w:val="-13"/>
                <w:sz w:val="21"/>
              </w:rPr>
              <w:t>）</w:t>
            </w:r>
            <w:r>
              <w:rPr>
                <w:spacing w:val="-5"/>
                <w:sz w:val="21"/>
              </w:rPr>
              <w:t>健全监管约束机制。按照谁审批谁监管、谁主管谁监管的原则，明确监管责任，注重发挥投资主管部门综合监管职能、地方政府就近就便监管作用和行业管理部门专业优势，整合监管力量，共享监管信息，</w:t>
            </w:r>
            <w:r>
              <w:rPr>
                <w:spacing w:val="-10"/>
                <w:sz w:val="21"/>
              </w:rPr>
              <w:t>实现协同监管。依托投资项目在线审批监管平台，加强项目建设全过程监管，确保项目合法开工、建设过程合</w:t>
            </w:r>
            <w:r>
              <w:rPr>
                <w:spacing w:val="-11"/>
                <w:sz w:val="21"/>
              </w:rPr>
              <w:t>规有序。各有关部门要完善规章制度，制定监管工作指南和操作规程，促进监管工作标准具体化、公开化。要严格执法，依法纠正和查处违法违规投资建设行为。实施投融资领域相关主体信用承诺制度，建立异常信用记</w:t>
            </w:r>
            <w:r>
              <w:rPr>
                <w:spacing w:val="-18"/>
                <w:w w:val="95"/>
                <w:sz w:val="21"/>
              </w:rPr>
              <w:t>录和严重违法失信“黑名单”，纳入全国信用信息共享平台，强化并提升政府和投资者的契约意识和诚信意识，</w:t>
            </w:r>
            <w:r>
              <w:rPr>
                <w:spacing w:val="-15"/>
                <w:sz w:val="21"/>
              </w:rPr>
              <w:t>形成守信激励、失信惩戒的约束机制，促使相关主体切实强化责任，履行法定义务，确保投资建设市场安全高效运行。</w:t>
            </w:r>
          </w:p>
          <w:p>
            <w:pPr>
              <w:pStyle w:val="8"/>
              <w:numPr>
                <w:ilvl w:val="0"/>
                <w:numId w:val="7"/>
              </w:numPr>
              <w:tabs>
                <w:tab w:val="left" w:pos="740"/>
              </w:tabs>
              <w:spacing w:before="5" w:after="0" w:line="240" w:lineRule="auto"/>
              <w:ind w:left="739" w:right="0" w:hanging="212"/>
              <w:jc w:val="left"/>
              <w:rPr>
                <w:b/>
                <w:sz w:val="21"/>
              </w:rPr>
            </w:pPr>
            <w:r>
              <w:rPr>
                <w:b/>
                <w:spacing w:val="-4"/>
                <w:sz w:val="21"/>
              </w:rPr>
              <w:t>《关于在公共服务领域推广政府和社会资本合作模式的指导意见》</w:t>
            </w:r>
            <w:r>
              <w:rPr>
                <w:b/>
                <w:sz w:val="21"/>
              </w:rPr>
              <w:t>（</w:t>
            </w:r>
            <w:r>
              <w:rPr>
                <w:b/>
                <w:spacing w:val="1"/>
                <w:sz w:val="21"/>
              </w:rPr>
              <w:t>国办发〔</w:t>
            </w:r>
            <w:r>
              <w:rPr>
                <w:b/>
                <w:sz w:val="21"/>
              </w:rPr>
              <w:t>2015〕42</w:t>
            </w:r>
            <w:r>
              <w:rPr>
                <w:b/>
                <w:spacing w:val="-27"/>
                <w:sz w:val="21"/>
              </w:rPr>
              <w:t xml:space="preserve"> 号</w:t>
            </w:r>
            <w:r>
              <w:rPr>
                <w:b/>
                <w:sz w:val="21"/>
              </w:rPr>
              <w:t>）</w:t>
            </w:r>
          </w:p>
          <w:p>
            <w:pPr>
              <w:pStyle w:val="8"/>
              <w:spacing w:before="3" w:line="242" w:lineRule="auto"/>
              <w:ind w:left="108" w:right="94" w:firstLine="420"/>
              <w:jc w:val="both"/>
              <w:rPr>
                <w:sz w:val="21"/>
              </w:rPr>
            </w:pPr>
            <w:r>
              <w:rPr>
                <w:w w:val="95"/>
                <w:sz w:val="21"/>
              </w:rPr>
              <w:t>（十五</w:t>
            </w:r>
            <w:r>
              <w:rPr>
                <w:spacing w:val="-25"/>
                <w:w w:val="95"/>
                <w:sz w:val="21"/>
              </w:rPr>
              <w:t>）</w:t>
            </w:r>
            <w:r>
              <w:rPr>
                <w:spacing w:val="-4"/>
                <w:w w:val="95"/>
                <w:sz w:val="21"/>
              </w:rPr>
              <w:t>择优选择项目合作伙伴。对使用财政性资金作为社会资本提供公共服务对价的项目，地方政府应</w:t>
            </w:r>
            <w:r>
              <w:rPr>
                <w:spacing w:val="-11"/>
                <w:w w:val="95"/>
                <w:sz w:val="21"/>
              </w:rPr>
              <w:t>当根据预算法、合同法、政府采购法及其实施条例等法律法规规定，选择项目合作伙伴。依托政府采购信息平台，及时、充分向社会公布项目采购信息。综合评估项目合作伙伴的专业资质、技术能力、管理经验、财务实</w:t>
            </w:r>
            <w:r>
              <w:rPr>
                <w:spacing w:val="-13"/>
                <w:w w:val="95"/>
                <w:sz w:val="21"/>
              </w:rPr>
              <w:t>力和信用状况等因素，依法择优选择诚实守信的合作伙伴。加强项目政府采购环节的监督管理，保证采购过程</w:t>
            </w:r>
            <w:r>
              <w:rPr>
                <w:spacing w:val="-13"/>
                <w:sz w:val="21"/>
              </w:rPr>
              <w:t>公平、公正、公开。</w:t>
            </w:r>
          </w:p>
          <w:p>
            <w:pPr>
              <w:pStyle w:val="8"/>
              <w:spacing w:before="4" w:line="250" w:lineRule="exact"/>
              <w:ind w:left="528"/>
              <w:rPr>
                <w:sz w:val="21"/>
              </w:rPr>
            </w:pPr>
            <w:r>
              <w:rPr>
                <w:sz w:val="21"/>
              </w:rPr>
              <w:t>（二十五）搭建信息平台。地方各级人民政府要切实履行规划指导、识别评估、咨询服务、宣传培训、绩</w:t>
            </w:r>
          </w:p>
        </w:tc>
        <w:tc>
          <w:tcPr>
            <w:tcW w:w="2081"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2"/>
              <w:rPr>
                <w:rFonts w:ascii="Times New Roman"/>
                <w:sz w:val="22"/>
              </w:rPr>
            </w:pPr>
          </w:p>
          <w:p>
            <w:pPr>
              <w:pStyle w:val="8"/>
              <w:spacing w:line="242" w:lineRule="auto"/>
              <w:ind w:left="107" w:right="96"/>
              <w:jc w:val="both"/>
              <w:rPr>
                <w:sz w:val="21"/>
              </w:rPr>
            </w:pPr>
            <w:r>
              <w:rPr>
                <w:spacing w:val="21"/>
                <w:sz w:val="21"/>
              </w:rPr>
              <w:t>公共服务领域的政府和社会资本合作</w:t>
            </w:r>
            <w:r>
              <w:rPr>
                <w:spacing w:val="-6"/>
                <w:sz w:val="21"/>
              </w:rPr>
              <w:t>项目，由财政部牵头负责；传统的基础设</w:t>
            </w:r>
            <w:r>
              <w:rPr>
                <w:spacing w:val="21"/>
                <w:sz w:val="21"/>
              </w:rPr>
              <w:t>施领域的政府和社</w:t>
            </w:r>
            <w:r>
              <w:rPr>
                <w:spacing w:val="-5"/>
                <w:sz w:val="21"/>
              </w:rPr>
              <w:t>会资本合作项目，由</w:t>
            </w:r>
            <w:r>
              <w:rPr>
                <w:spacing w:val="21"/>
                <w:sz w:val="21"/>
              </w:rPr>
              <w:t>发展改革委牵头负</w:t>
            </w:r>
            <w:r>
              <w:rPr>
                <w:sz w:val="21"/>
              </w:rPr>
              <w:t>责</w:t>
            </w:r>
          </w:p>
        </w:tc>
      </w:tr>
    </w:tbl>
    <w:p>
      <w:pPr>
        <w:spacing w:after="0" w:line="242" w:lineRule="auto"/>
        <w:jc w:val="both"/>
        <w:rPr>
          <w:sz w:val="21"/>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7" w:hRule="atLeast"/>
        </w:trPr>
        <w:tc>
          <w:tcPr>
            <w:tcW w:w="1626" w:type="dxa"/>
          </w:tcPr>
          <w:p>
            <w:pPr>
              <w:pStyle w:val="8"/>
              <w:rPr>
                <w:rFonts w:ascii="Times New Roman"/>
                <w:sz w:val="20"/>
              </w:rPr>
            </w:pPr>
          </w:p>
        </w:tc>
        <w:tc>
          <w:tcPr>
            <w:tcW w:w="10220" w:type="dxa"/>
          </w:tcPr>
          <w:p>
            <w:pPr>
              <w:pStyle w:val="8"/>
              <w:spacing w:before="1" w:line="242" w:lineRule="auto"/>
              <w:ind w:left="108" w:right="96"/>
              <w:rPr>
                <w:sz w:val="21"/>
              </w:rPr>
            </w:pPr>
            <w:r>
              <w:rPr>
                <w:spacing w:val="-8"/>
                <w:w w:val="95"/>
                <w:sz w:val="21"/>
              </w:rPr>
              <w:t>效评价、信息统计、专家库和项目库建设等职责，建立统一信息发布平台，及时向社会公开项目实施情况等相</w:t>
            </w:r>
            <w:r>
              <w:rPr>
                <w:spacing w:val="-8"/>
                <w:sz w:val="21"/>
              </w:rPr>
              <w:t>关信息，确保项目实施公开透明、有序推进。</w:t>
            </w:r>
          </w:p>
          <w:p>
            <w:pPr>
              <w:pStyle w:val="8"/>
              <w:spacing w:line="268" w:lineRule="exact"/>
              <w:ind w:left="528"/>
              <w:rPr>
                <w:b/>
                <w:sz w:val="21"/>
              </w:rPr>
            </w:pPr>
            <w:r>
              <w:rPr>
                <w:b/>
                <w:sz w:val="21"/>
              </w:rPr>
              <w:t>3.《基础设施和公用事业特许经营管理办法》</w:t>
            </w:r>
          </w:p>
          <w:p>
            <w:pPr>
              <w:pStyle w:val="8"/>
              <w:spacing w:before="5" w:line="242" w:lineRule="auto"/>
              <w:ind w:left="108" w:right="96" w:firstLine="420"/>
              <w:rPr>
                <w:sz w:val="21"/>
              </w:rPr>
            </w:pPr>
            <w:r>
              <w:rPr>
                <w:sz w:val="21"/>
              </w:rPr>
              <w:t>第十七条 实施机构应当公平择优选择具有相应管理经验、专业能力、融资实力以及信用状况良好的法人或者其他组织作为特许经营者。鼓励金融机构与参与竞争的法人或其他组织共同制定投融资方案。</w:t>
            </w:r>
          </w:p>
          <w:p>
            <w:pPr>
              <w:bidi w:val="0"/>
              <w:ind w:firstLine="398" w:firstLineChars="200"/>
              <w:rPr>
                <w:sz w:val="21"/>
              </w:rPr>
            </w:pPr>
            <w:r>
              <w:rPr>
                <w:w w:val="95"/>
                <w:sz w:val="21"/>
              </w:rPr>
              <w:t xml:space="preserve">特许经营者选择应当符合内外资准入等有关法律、行政法规规定。 </w:t>
            </w:r>
            <w:r>
              <w:rPr>
                <w:sz w:val="21"/>
              </w:rPr>
              <w:t>依法选定的特许经营者，应当向社会公示。</w:t>
            </w:r>
          </w:p>
          <w:p>
            <w:pPr>
              <w:pStyle w:val="8"/>
              <w:spacing w:line="242" w:lineRule="auto"/>
              <w:ind w:left="108" w:right="-15" w:firstLine="420"/>
              <w:rPr>
                <w:sz w:val="21"/>
              </w:rPr>
            </w:pPr>
            <w:r>
              <w:rPr>
                <w:spacing w:val="-8"/>
                <w:sz w:val="21"/>
              </w:rPr>
              <w:t>第五十三条 特许经营者违反法律、行政法规和国家强制性标准，严重危害公共利益，或者造成重大质量、</w:t>
            </w:r>
            <w:r>
              <w:rPr>
                <w:spacing w:val="-12"/>
                <w:sz w:val="21"/>
              </w:rPr>
              <w:t>安全事故或者突发环境事件的，有关部门应当责令限期改正并依法予以行政处罚；拒不改正、情节严重的，可以终止特许经营协议；构成犯罪的，依法追究刑事责任。</w:t>
            </w:r>
          </w:p>
          <w:p>
            <w:pPr>
              <w:pStyle w:val="8"/>
              <w:ind w:left="528"/>
              <w:rPr>
                <w:sz w:val="21"/>
              </w:rPr>
            </w:pPr>
            <w:r>
              <w:rPr>
                <w:sz w:val="21"/>
              </w:rPr>
              <w:t>第五十六条 县级以上人民政府有关部门应当对特许经营者及其从业人员的不良行为建立信用记录，纳入</w:t>
            </w:r>
          </w:p>
          <w:p>
            <w:pPr>
              <w:pStyle w:val="8"/>
              <w:spacing w:before="2" w:line="251" w:lineRule="exact"/>
              <w:ind w:left="108"/>
              <w:rPr>
                <w:sz w:val="21"/>
              </w:rPr>
            </w:pPr>
            <w:r>
              <w:rPr>
                <w:sz w:val="21"/>
              </w:rPr>
              <w:t>全国统一的信用信息共享交换平台。对严重违法失信行为依法予以曝光，并会同有关部门实施联合惩戒。</w:t>
            </w:r>
          </w:p>
        </w:tc>
        <w:tc>
          <w:tcPr>
            <w:tcW w:w="208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8" w:hRule="atLeast"/>
        </w:trPr>
        <w:tc>
          <w:tcPr>
            <w:tcW w:w="1626" w:type="dxa"/>
          </w:tcPr>
          <w:p>
            <w:pPr>
              <w:pStyle w:val="8"/>
              <w:spacing w:before="2" w:line="242" w:lineRule="auto"/>
              <w:ind w:left="106" w:right="38"/>
              <w:jc w:val="both"/>
              <w:rPr>
                <w:sz w:val="21"/>
              </w:rPr>
            </w:pPr>
            <w:r>
              <w:rPr>
                <w:sz w:val="21"/>
              </w:rPr>
              <w:t>8</w:t>
            </w:r>
            <w:r>
              <w:rPr>
                <w:spacing w:val="5"/>
                <w:sz w:val="21"/>
              </w:rPr>
              <w:t>. 将失信信息</w:t>
            </w:r>
            <w:r>
              <w:rPr>
                <w:spacing w:val="2"/>
                <w:sz w:val="21"/>
              </w:rPr>
              <w:t>作为证券公司、</w:t>
            </w:r>
            <w:r>
              <w:rPr>
                <w:spacing w:val="25"/>
                <w:sz w:val="21"/>
              </w:rPr>
              <w:t>基金管理公司及期货公司的设立及股权或实际控制人变</w:t>
            </w:r>
            <w:r>
              <w:rPr>
                <w:spacing w:val="19"/>
                <w:sz w:val="21"/>
              </w:rPr>
              <w:t xml:space="preserve">更审批或备案， </w:t>
            </w:r>
            <w:r>
              <w:rPr>
                <w:spacing w:val="25"/>
                <w:sz w:val="21"/>
              </w:rPr>
              <w:t>私募投资基金</w:t>
            </w:r>
            <w:r>
              <w:rPr>
                <w:spacing w:val="8"/>
                <w:sz w:val="21"/>
              </w:rPr>
              <w:t>管理人登记、重</w:t>
            </w:r>
            <w:r>
              <w:rPr>
                <w:spacing w:val="25"/>
                <w:sz w:val="21"/>
              </w:rPr>
              <w:t>大事项变更以及基金备案的</w:t>
            </w:r>
            <w:r>
              <w:rPr>
                <w:spacing w:val="-3"/>
                <w:sz w:val="21"/>
              </w:rPr>
              <w:t>参考；将失信信</w:t>
            </w:r>
            <w:r>
              <w:rPr>
                <w:spacing w:val="25"/>
                <w:sz w:val="21"/>
              </w:rPr>
              <w:t>息作为公司债券审核或备案</w:t>
            </w:r>
            <w:r>
              <w:rPr>
                <w:sz w:val="21"/>
              </w:rPr>
              <w:t>的参考；对存在</w:t>
            </w:r>
            <w:r>
              <w:rPr>
                <w:spacing w:val="25"/>
                <w:sz w:val="21"/>
              </w:rPr>
              <w:t>失信记录的相</w:t>
            </w:r>
          </w:p>
          <w:p>
            <w:pPr>
              <w:pStyle w:val="8"/>
              <w:spacing w:before="8" w:line="250" w:lineRule="exact"/>
              <w:ind w:left="106"/>
              <w:jc w:val="both"/>
              <w:rPr>
                <w:sz w:val="21"/>
              </w:rPr>
            </w:pPr>
            <w:r>
              <w:rPr>
                <w:spacing w:val="25"/>
                <w:w w:val="95"/>
                <w:sz w:val="21"/>
              </w:rPr>
              <w:t>关主体在上市</w:t>
            </w:r>
          </w:p>
        </w:tc>
        <w:tc>
          <w:tcPr>
            <w:tcW w:w="10220" w:type="dxa"/>
          </w:tcPr>
          <w:p>
            <w:pPr>
              <w:pStyle w:val="8"/>
              <w:numPr>
                <w:ilvl w:val="0"/>
                <w:numId w:val="8"/>
              </w:numPr>
              <w:tabs>
                <w:tab w:val="left" w:pos="745"/>
              </w:tabs>
              <w:spacing w:before="2" w:after="0" w:line="240" w:lineRule="auto"/>
              <w:ind w:left="744" w:right="0" w:hanging="217"/>
              <w:jc w:val="left"/>
              <w:rPr>
                <w:b/>
                <w:sz w:val="21"/>
              </w:rPr>
            </w:pPr>
            <w:r>
              <w:rPr>
                <w:b/>
                <w:spacing w:val="4"/>
                <w:w w:val="95"/>
                <w:sz w:val="21"/>
              </w:rPr>
              <w:t>《国务院关于建立完善守信联合激励和失信联合惩戒制度加快推进社会诚信建设的指导意见》</w:t>
            </w:r>
            <w:r>
              <w:rPr>
                <w:b/>
                <w:spacing w:val="7"/>
                <w:w w:val="95"/>
                <w:sz w:val="21"/>
              </w:rPr>
              <w:t>（</w:t>
            </w:r>
            <w:r>
              <w:rPr>
                <w:b/>
                <w:spacing w:val="3"/>
                <w:w w:val="95"/>
                <w:sz w:val="21"/>
              </w:rPr>
              <w:t>国发</w:t>
            </w:r>
          </w:p>
          <w:p>
            <w:pPr>
              <w:pStyle w:val="8"/>
              <w:spacing w:before="2"/>
              <w:ind w:left="108"/>
              <w:rPr>
                <w:b/>
                <w:sz w:val="21"/>
              </w:rPr>
            </w:pPr>
            <w:r>
              <w:rPr>
                <w:b/>
                <w:sz w:val="21"/>
              </w:rPr>
              <w:t>〔2016〕33 号）</w:t>
            </w:r>
          </w:p>
          <w:p>
            <w:pPr>
              <w:pStyle w:val="8"/>
              <w:spacing w:before="2" w:line="242" w:lineRule="auto"/>
              <w:ind w:left="108" w:right="-15" w:firstLine="420"/>
              <w:rPr>
                <w:sz w:val="21"/>
              </w:rPr>
            </w:pPr>
            <w:r>
              <w:rPr>
                <w:sz w:val="21"/>
              </w:rPr>
              <w:t>（十</w:t>
            </w:r>
            <w:r>
              <w:rPr>
                <w:spacing w:val="-20"/>
                <w:sz w:val="21"/>
              </w:rPr>
              <w:t>）</w:t>
            </w:r>
            <w:r>
              <w:rPr>
                <w:spacing w:val="-3"/>
                <w:sz w:val="21"/>
              </w:rPr>
              <w:t>依法依规加强对失信行为的行政性约束和惩戒。对严重失信主体，各地区、各有关部门应将其列为</w:t>
            </w:r>
            <w:r>
              <w:rPr>
                <w:spacing w:val="-14"/>
                <w:w w:val="95"/>
                <w:sz w:val="21"/>
              </w:rPr>
              <w:t>重点监管对象，依法依规采取行政性约束和惩戒措施。从严审核行政许可审批项目，从严控制生产许可证发放，</w:t>
            </w:r>
            <w:r>
              <w:rPr>
                <w:spacing w:val="-15"/>
                <w:sz w:val="21"/>
              </w:rPr>
              <w:t>限制新增项目审批、核准，限制股票发行上市融资或发行债券，限制在全国股份转让系统挂牌、融资，限制发</w:t>
            </w:r>
            <w:r>
              <w:rPr>
                <w:spacing w:val="-18"/>
                <w:sz w:val="21"/>
              </w:rPr>
              <w:t>起设立或参股金融机构以及小额贷款公司、融资担保公司、创业投资公司、互联网融资平台等机构，限制从事</w:t>
            </w:r>
            <w:r>
              <w:rPr>
                <w:spacing w:val="-16"/>
                <w:sz w:val="21"/>
              </w:rPr>
              <w:t>互联网信息服务等。严格限制申请财政性资金项目，限制参与有关公共资源交易活动，限制参与基础设施和公</w:t>
            </w:r>
            <w:r>
              <w:rPr>
                <w:spacing w:val="-15"/>
                <w:sz w:val="21"/>
              </w:rPr>
              <w:t>用事业特许经营。对严重失信企业及其法定代表人、主要负责人和对失信行为负有直接责任的注册执业人员等</w:t>
            </w:r>
            <w:r>
              <w:rPr>
                <w:spacing w:val="-16"/>
                <w:sz w:val="21"/>
              </w:rPr>
              <w:t>实施市场和行业禁入措施。及时撤销严重失信企业及其法定代表人、负责人、高级管理人员和对失信行为负有直接责任的董事、股东等人员的荣誉称号，取消参加评先评优资格。</w:t>
            </w:r>
          </w:p>
          <w:p>
            <w:pPr>
              <w:pStyle w:val="8"/>
              <w:numPr>
                <w:ilvl w:val="0"/>
                <w:numId w:val="8"/>
              </w:numPr>
              <w:tabs>
                <w:tab w:val="left" w:pos="740"/>
              </w:tabs>
              <w:spacing w:before="5" w:after="0" w:line="240" w:lineRule="auto"/>
              <w:ind w:left="739" w:right="0" w:hanging="212"/>
              <w:jc w:val="left"/>
              <w:rPr>
                <w:b/>
                <w:sz w:val="21"/>
              </w:rPr>
            </w:pPr>
            <w:r>
              <w:rPr>
                <w:b/>
                <w:spacing w:val="-2"/>
                <w:sz w:val="21"/>
              </w:rPr>
              <w:t>《国家发展改革委关于推进企业债券市场发展、简化发行核准程序有关事项的通知</w:t>
            </w:r>
            <w:r>
              <w:rPr>
                <w:b/>
                <w:spacing w:val="-130"/>
                <w:sz w:val="21"/>
              </w:rPr>
              <w:t>》</w:t>
            </w:r>
            <w:r>
              <w:rPr>
                <w:b/>
                <w:sz w:val="21"/>
              </w:rPr>
              <w:t>（</w:t>
            </w:r>
            <w:r>
              <w:rPr>
                <w:b/>
                <w:spacing w:val="-5"/>
                <w:sz w:val="21"/>
              </w:rPr>
              <w:t>发改财金〔</w:t>
            </w:r>
            <w:r>
              <w:rPr>
                <w:b/>
                <w:sz w:val="21"/>
              </w:rPr>
              <w:t>2008</w:t>
            </w:r>
          </w:p>
          <w:p>
            <w:pPr>
              <w:pStyle w:val="8"/>
              <w:spacing w:before="2"/>
              <w:ind w:left="108"/>
              <w:rPr>
                <w:b/>
                <w:sz w:val="21"/>
              </w:rPr>
            </w:pPr>
            <w:r>
              <w:rPr>
                <w:b/>
                <w:sz w:val="21"/>
              </w:rPr>
              <w:t>7 号）</w:t>
            </w:r>
          </w:p>
          <w:p>
            <w:pPr>
              <w:pStyle w:val="8"/>
              <w:spacing w:before="5"/>
              <w:ind w:left="528"/>
              <w:rPr>
                <w:sz w:val="21"/>
              </w:rPr>
            </w:pPr>
            <w:r>
              <w:rPr>
                <w:sz w:val="21"/>
              </w:rPr>
              <w:t>第二条 第（七）项:企业公开发行企业债券应符合下列条件：</w:t>
            </w:r>
          </w:p>
          <w:p>
            <w:pPr>
              <w:pStyle w:val="8"/>
              <w:numPr>
                <w:ilvl w:val="0"/>
                <w:numId w:val="9"/>
              </w:numPr>
              <w:tabs>
                <w:tab w:val="left" w:pos="1053"/>
              </w:tabs>
              <w:spacing w:before="5" w:after="0" w:line="240" w:lineRule="auto"/>
              <w:ind w:left="1052" w:right="0" w:hanging="525"/>
              <w:jc w:val="left"/>
              <w:rPr>
                <w:sz w:val="21"/>
              </w:rPr>
            </w:pPr>
            <w:r>
              <w:rPr>
                <w:spacing w:val="-4"/>
                <w:sz w:val="21"/>
              </w:rPr>
              <w:t xml:space="preserve">股份有限公司的净资产不低于人民币 </w:t>
            </w:r>
            <w:r>
              <w:rPr>
                <w:sz w:val="21"/>
              </w:rPr>
              <w:t>3000</w:t>
            </w:r>
            <w:r>
              <w:rPr>
                <w:spacing w:val="-11"/>
                <w:sz w:val="21"/>
              </w:rPr>
              <w:t xml:space="preserve"> 万元，有限责任公司和其他类型企业的净资产不低于人民</w:t>
            </w:r>
          </w:p>
          <w:p>
            <w:pPr>
              <w:pStyle w:val="8"/>
              <w:spacing w:before="2"/>
              <w:ind w:left="108"/>
              <w:rPr>
                <w:sz w:val="21"/>
              </w:rPr>
            </w:pPr>
            <w:r>
              <w:rPr>
                <w:sz w:val="21"/>
              </w:rPr>
              <w:t>币 6000 万元；</w:t>
            </w:r>
          </w:p>
          <w:p>
            <w:pPr>
              <w:pStyle w:val="8"/>
              <w:numPr>
                <w:ilvl w:val="0"/>
                <w:numId w:val="9"/>
              </w:numPr>
              <w:tabs>
                <w:tab w:val="left" w:pos="1053"/>
              </w:tabs>
              <w:spacing w:before="4" w:after="0" w:line="240" w:lineRule="auto"/>
              <w:ind w:left="1052" w:right="0" w:hanging="525"/>
              <w:jc w:val="left"/>
              <w:rPr>
                <w:sz w:val="21"/>
              </w:rPr>
            </w:pPr>
            <w:r>
              <w:rPr>
                <w:sz w:val="21"/>
              </w:rPr>
              <w:t>累计债券余额不超过企业净资产（不包括少数股东权益）</w:t>
            </w:r>
            <w:r>
              <w:rPr>
                <w:spacing w:val="-27"/>
                <w:sz w:val="21"/>
              </w:rPr>
              <w:t xml:space="preserve">的 </w:t>
            </w:r>
            <w:r>
              <w:rPr>
                <w:sz w:val="21"/>
              </w:rPr>
              <w:t>40%；</w:t>
            </w:r>
          </w:p>
          <w:p>
            <w:pPr>
              <w:pStyle w:val="8"/>
              <w:numPr>
                <w:ilvl w:val="0"/>
                <w:numId w:val="9"/>
              </w:numPr>
              <w:tabs>
                <w:tab w:val="left" w:pos="1053"/>
              </w:tabs>
              <w:spacing w:before="2" w:after="0" w:line="250" w:lineRule="exact"/>
              <w:ind w:left="1052" w:right="0" w:hanging="525"/>
              <w:jc w:val="left"/>
              <w:rPr>
                <w:sz w:val="21"/>
              </w:rPr>
            </w:pPr>
            <w:r>
              <w:rPr>
                <w:sz w:val="21"/>
              </w:rPr>
              <w:t>最近三年可分配利润（净利润）足以支付企业债券一年的利息；</w:t>
            </w:r>
          </w:p>
        </w:tc>
        <w:tc>
          <w:tcPr>
            <w:tcW w:w="2081"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6"/>
              <w:rPr>
                <w:rFonts w:ascii="Times New Roman"/>
                <w:sz w:val="17"/>
              </w:rPr>
            </w:pPr>
          </w:p>
          <w:p>
            <w:pPr>
              <w:pStyle w:val="8"/>
              <w:spacing w:before="1" w:line="244" w:lineRule="auto"/>
              <w:ind w:left="107" w:right="283"/>
              <w:rPr>
                <w:sz w:val="21"/>
              </w:rPr>
            </w:pPr>
            <w:r>
              <w:rPr>
                <w:sz w:val="21"/>
              </w:rPr>
              <w:t>国家发展改革委、证监会</w:t>
            </w:r>
          </w:p>
          <w:p>
            <w:pPr>
              <w:pStyle w:val="8"/>
              <w:spacing w:before="132"/>
              <w:ind w:left="-174"/>
              <w:rPr>
                <w:b/>
                <w:sz w:val="21"/>
              </w:rPr>
            </w:pPr>
            <w:r>
              <w:rPr>
                <w:b/>
                <w:w w:val="99"/>
                <w:sz w:val="21"/>
              </w:rPr>
              <w:t>〕</w:t>
            </w:r>
          </w:p>
        </w:tc>
      </w:tr>
    </w:tbl>
    <w:p>
      <w:pPr>
        <w:spacing w:after="0"/>
        <w:rPr>
          <w:sz w:val="21"/>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6" w:hRule="atLeast"/>
        </w:trPr>
        <w:tc>
          <w:tcPr>
            <w:tcW w:w="1626" w:type="dxa"/>
          </w:tcPr>
          <w:p>
            <w:pPr>
              <w:pStyle w:val="8"/>
              <w:spacing w:before="1" w:line="242" w:lineRule="auto"/>
              <w:ind w:left="106" w:right="98"/>
              <w:jc w:val="both"/>
              <w:rPr>
                <w:sz w:val="21"/>
              </w:rPr>
            </w:pPr>
            <w:r>
              <w:rPr>
                <w:sz w:val="21"/>
              </w:rPr>
              <w:t>公司或者非上市公众公司收购的事中事后监管中予以重点关注。</w:t>
            </w:r>
          </w:p>
        </w:tc>
        <w:tc>
          <w:tcPr>
            <w:tcW w:w="10220" w:type="dxa"/>
          </w:tcPr>
          <w:p>
            <w:pPr>
              <w:numPr>
                <w:ilvl w:val="0"/>
                <w:numId w:val="9"/>
              </w:numPr>
              <w:bidi w:val="0"/>
              <w:ind w:left="1052" w:leftChars="0" w:right="0" w:rightChars="0" w:hanging="525" w:firstLineChars="0"/>
              <w:rPr>
                <w:sz w:val="21"/>
              </w:rPr>
            </w:pPr>
            <w:r>
              <w:rPr>
                <w:spacing w:val="-3"/>
                <w:w w:val="95"/>
                <w:sz w:val="21"/>
              </w:rPr>
              <w:t>筹集资金的投向符合国家产业政策和行业发展方向，所需相关手续齐全。用于固定资产投资项目的，</w:t>
            </w:r>
            <w:r>
              <w:rPr>
                <w:spacing w:val="-6"/>
                <w:sz w:val="21"/>
              </w:rPr>
              <w:t xml:space="preserve">应符合固定资产投资项目资本金制度的要求，原则上累计发行额不得超过该项目总投资的 </w:t>
            </w:r>
            <w:r>
              <w:rPr>
                <w:sz w:val="21"/>
              </w:rPr>
              <w:t>60</w:t>
            </w:r>
            <w:r>
              <w:rPr>
                <w:spacing w:val="-4"/>
                <w:sz w:val="21"/>
              </w:rPr>
              <w:t>%。用于收购产权</w:t>
            </w:r>
            <w:r>
              <w:rPr>
                <w:w w:val="95"/>
                <w:sz w:val="21"/>
              </w:rPr>
              <w:t>（股权</w:t>
            </w:r>
            <w:r>
              <w:rPr>
                <w:spacing w:val="-13"/>
                <w:w w:val="95"/>
                <w:sz w:val="21"/>
              </w:rPr>
              <w:t>）</w:t>
            </w:r>
            <w:r>
              <w:rPr>
                <w:spacing w:val="-8"/>
                <w:w w:val="95"/>
                <w:sz w:val="21"/>
              </w:rPr>
              <w:t>的，比照该比例执行。用于调整债务结构的，不受该比例限制，但企业应提供银行同意以债还贷的证</w:t>
            </w:r>
            <w:r>
              <w:rPr>
                <w:spacing w:val="-11"/>
                <w:sz w:val="21"/>
              </w:rPr>
              <w:t xml:space="preserve">明；用于补充营运资金的，不超过发债总额的 </w:t>
            </w:r>
            <w:r>
              <w:rPr>
                <w:sz w:val="21"/>
              </w:rPr>
              <w:t>20%；</w:t>
            </w:r>
          </w:p>
          <w:p>
            <w:pPr>
              <w:pStyle w:val="8"/>
              <w:numPr>
                <w:ilvl w:val="0"/>
                <w:numId w:val="9"/>
              </w:numPr>
              <w:tabs>
                <w:tab w:val="left" w:pos="1053"/>
              </w:tabs>
              <w:spacing w:before="0" w:after="0" w:line="265" w:lineRule="exact"/>
              <w:ind w:left="1052" w:leftChars="0" w:right="0" w:rightChars="0" w:hanging="525" w:firstLineChars="0"/>
              <w:jc w:val="left"/>
              <w:rPr>
                <w:sz w:val="21"/>
              </w:rPr>
            </w:pPr>
            <w:r>
              <w:rPr>
                <w:sz w:val="21"/>
              </w:rPr>
              <w:t>债券的利率由企业根据市场情况确定，但不得超过国务院限定的利率水平；</w:t>
            </w:r>
          </w:p>
          <w:p>
            <w:pPr>
              <w:pStyle w:val="8"/>
              <w:numPr>
                <w:ilvl w:val="0"/>
                <w:numId w:val="9"/>
              </w:numPr>
              <w:tabs>
                <w:tab w:val="left" w:pos="1053"/>
              </w:tabs>
              <w:spacing w:before="4" w:after="0" w:line="240" w:lineRule="auto"/>
              <w:ind w:left="1052" w:leftChars="0" w:right="0" w:rightChars="0" w:hanging="525" w:firstLineChars="0"/>
              <w:jc w:val="left"/>
              <w:rPr>
                <w:sz w:val="21"/>
              </w:rPr>
            </w:pPr>
            <w:r>
              <w:rPr>
                <w:sz w:val="21"/>
              </w:rPr>
              <w:t>已发行的企业债券或者其他债务未处于违约或者延迟支付本息的状态；</w:t>
            </w:r>
          </w:p>
          <w:p>
            <w:pPr>
              <w:pStyle w:val="8"/>
              <w:numPr>
                <w:ilvl w:val="0"/>
                <w:numId w:val="9"/>
              </w:numPr>
              <w:tabs>
                <w:tab w:val="left" w:pos="1053"/>
              </w:tabs>
              <w:spacing w:before="4" w:after="0" w:line="240" w:lineRule="auto"/>
              <w:ind w:left="1052" w:leftChars="0" w:right="0" w:rightChars="0" w:hanging="525" w:firstLineChars="0"/>
              <w:jc w:val="left"/>
              <w:rPr>
                <w:sz w:val="21"/>
              </w:rPr>
            </w:pPr>
            <w:r>
              <w:rPr>
                <w:sz w:val="21"/>
              </w:rPr>
              <w:t>最近三年没有重大违法违规行为。</w:t>
            </w:r>
          </w:p>
          <w:p>
            <w:pPr>
              <w:pStyle w:val="8"/>
              <w:numPr>
                <w:ilvl w:val="0"/>
                <w:numId w:val="10"/>
              </w:numPr>
              <w:tabs>
                <w:tab w:val="left" w:pos="740"/>
              </w:tabs>
              <w:spacing w:before="3" w:after="0" w:line="242" w:lineRule="auto"/>
              <w:ind w:left="108" w:right="60" w:firstLine="420"/>
              <w:jc w:val="left"/>
              <w:rPr>
                <w:b/>
                <w:sz w:val="21"/>
              </w:rPr>
            </w:pPr>
            <w:r>
              <w:rPr>
                <w:b/>
                <w:spacing w:val="-3"/>
                <w:w w:val="95"/>
                <w:sz w:val="21"/>
              </w:rPr>
              <w:t>《国家发展改革委人民银行中央编办关于在行政管理事项中使用信用记录和信用报告的若干意见》</w:t>
            </w:r>
            <w:r>
              <w:rPr>
                <w:b/>
                <w:w w:val="95"/>
                <w:sz w:val="21"/>
              </w:rPr>
              <w:t xml:space="preserve">（发   </w:t>
            </w:r>
            <w:r>
              <w:rPr>
                <w:b/>
                <w:sz w:val="21"/>
              </w:rPr>
              <w:t>改财金〔2013〕920</w:t>
            </w:r>
            <w:r>
              <w:rPr>
                <w:b/>
                <w:spacing w:val="-28"/>
                <w:sz w:val="21"/>
              </w:rPr>
              <w:t xml:space="preserve"> 号</w:t>
            </w:r>
            <w:r>
              <w:rPr>
                <w:b/>
                <w:sz w:val="21"/>
              </w:rPr>
              <w:t>）</w:t>
            </w:r>
          </w:p>
          <w:p>
            <w:pPr>
              <w:pStyle w:val="8"/>
              <w:spacing w:before="1"/>
              <w:ind w:left="528"/>
              <w:rPr>
                <w:sz w:val="21"/>
              </w:rPr>
            </w:pPr>
            <w:r>
              <w:rPr>
                <w:sz w:val="21"/>
              </w:rPr>
              <w:t>第二条 切实发挥在行政管理事项中使用信用记录和信用报告的作用</w:t>
            </w:r>
          </w:p>
          <w:p>
            <w:pPr>
              <w:pStyle w:val="8"/>
              <w:spacing w:before="2" w:line="242" w:lineRule="auto"/>
              <w:ind w:left="108" w:right="22" w:firstLine="420"/>
              <w:rPr>
                <w:sz w:val="21"/>
              </w:rPr>
            </w:pPr>
            <w:r>
              <w:rPr>
                <w:w w:val="95"/>
                <w:sz w:val="21"/>
              </w:rPr>
              <w:t>各级政府、各相关部门应将相关市场主体所提供的信用记录或信用报告作为其实施行政管理的重要参考。</w:t>
            </w:r>
            <w:r>
              <w:rPr>
                <w:spacing w:val="-6"/>
                <w:sz w:val="21"/>
              </w:rPr>
              <w:t>对守信者，应探索实行优先办理、简化程序、“绿色通道”和重点支持等激励政策；对失信者，应结合失信类别和程度，严格落实失信惩戒制度。</w:t>
            </w:r>
          </w:p>
          <w:p>
            <w:pPr>
              <w:pStyle w:val="8"/>
              <w:spacing w:before="3" w:line="242" w:lineRule="auto"/>
              <w:ind w:left="108" w:right="94" w:firstLine="420"/>
              <w:jc w:val="both"/>
              <w:rPr>
                <w:sz w:val="21"/>
              </w:rPr>
            </w:pPr>
            <w:r>
              <w:rPr>
                <w:spacing w:val="-8"/>
                <w:w w:val="95"/>
                <w:sz w:val="21"/>
              </w:rPr>
              <w:t>对食品药品安全、环境保护、产品质量、医疗卫生、工程建设、教育科研、电子商务、股权投资、融资担</w:t>
            </w:r>
            <w:r>
              <w:rPr>
                <w:spacing w:val="-12"/>
                <w:w w:val="95"/>
                <w:sz w:val="21"/>
              </w:rPr>
              <w:t>保等关系到人民群众切身利益、经济健康发展和社会和谐稳定的重点领域，各级政府、各相关部门应率先推进</w:t>
            </w:r>
            <w:r>
              <w:rPr>
                <w:spacing w:val="-12"/>
                <w:sz w:val="21"/>
              </w:rPr>
              <w:t>在行政管理事项中使用相关市场主体的信用记录和信用报告。</w:t>
            </w:r>
          </w:p>
          <w:p>
            <w:pPr>
              <w:pStyle w:val="8"/>
              <w:spacing w:before="1"/>
              <w:ind w:left="528"/>
              <w:jc w:val="both"/>
              <w:rPr>
                <w:sz w:val="21"/>
              </w:rPr>
            </w:pPr>
            <w:r>
              <w:rPr>
                <w:sz w:val="21"/>
              </w:rPr>
              <w:t>第三条 探索完善在行政管理事项中使用信用记录和信用报告的制度规范</w:t>
            </w:r>
          </w:p>
          <w:p>
            <w:pPr>
              <w:pStyle w:val="8"/>
              <w:spacing w:before="2" w:line="244" w:lineRule="auto"/>
              <w:ind w:left="108" w:right="94" w:firstLine="420"/>
              <w:rPr>
                <w:sz w:val="21"/>
              </w:rPr>
            </w:pPr>
            <w:r>
              <w:rPr>
                <w:spacing w:val="-8"/>
                <w:w w:val="95"/>
                <w:sz w:val="21"/>
              </w:rPr>
              <w:t>各级政府、各相关部门应结合地方和部门实际，在政府采购、招标投标、行政审批、市场准入、资质审核</w:t>
            </w:r>
            <w:r>
              <w:rPr>
                <w:spacing w:val="-8"/>
                <w:sz w:val="21"/>
              </w:rPr>
              <w:t>等行政管理事项中依法要求相关市场主体提供由第三方信用服务机构出具的信用记录或信用报告。</w:t>
            </w:r>
          </w:p>
          <w:p>
            <w:pPr>
              <w:pStyle w:val="8"/>
              <w:spacing w:line="242" w:lineRule="auto"/>
              <w:ind w:left="528" w:right="862"/>
              <w:rPr>
                <w:sz w:val="21"/>
              </w:rPr>
            </w:pPr>
            <w:r>
              <w:rPr>
                <w:w w:val="95"/>
                <w:sz w:val="21"/>
              </w:rPr>
              <w:t xml:space="preserve">各级政府、各相关部门应根据履职需要，研究明确信用记录或信用报告的主要内容和运用规范。   </w:t>
            </w:r>
            <w:r>
              <w:rPr>
                <w:spacing w:val="-1"/>
                <w:sz w:val="21"/>
              </w:rPr>
              <w:t>第五条 不断健全全社会守信激励和失信惩戒的联动机制</w:t>
            </w:r>
          </w:p>
          <w:p>
            <w:pPr>
              <w:pStyle w:val="8"/>
              <w:spacing w:line="242" w:lineRule="auto"/>
              <w:ind w:left="108" w:right="96" w:firstLine="420"/>
              <w:jc w:val="both"/>
              <w:rPr>
                <w:sz w:val="21"/>
              </w:rPr>
            </w:pPr>
            <w:r>
              <w:rPr>
                <w:spacing w:val="-8"/>
                <w:w w:val="95"/>
                <w:sz w:val="21"/>
              </w:rPr>
              <w:t>各级政府、各相关部门要树立大局意识，把在行政管理事项中使用信用记录和信用报告工作纳入重要工作</w:t>
            </w:r>
            <w:r>
              <w:rPr>
                <w:spacing w:val="-10"/>
                <w:w w:val="95"/>
                <w:sz w:val="21"/>
              </w:rPr>
              <w:t>日程。要加强协同配合，推动形成信用记录和信用报告跨部门、跨区域应用的联动机制。要通过信用记录和信</w:t>
            </w:r>
            <w:r>
              <w:rPr>
                <w:spacing w:val="-10"/>
                <w:sz w:val="21"/>
              </w:rPr>
              <w:t>用报告在行政管理事项中的联合应用，逐步建立健全全社会守信激励和失信惩戒联动机制。</w:t>
            </w:r>
          </w:p>
          <w:p>
            <w:pPr>
              <w:pStyle w:val="8"/>
              <w:numPr>
                <w:ilvl w:val="0"/>
                <w:numId w:val="10"/>
              </w:numPr>
              <w:tabs>
                <w:tab w:val="left" w:pos="740"/>
              </w:tabs>
              <w:spacing w:before="0" w:after="0" w:line="240" w:lineRule="auto"/>
              <w:ind w:left="739" w:right="0" w:hanging="212"/>
              <w:jc w:val="left"/>
              <w:rPr>
                <w:b/>
                <w:sz w:val="21"/>
              </w:rPr>
            </w:pPr>
            <w:r>
              <w:rPr>
                <w:b/>
                <w:sz w:val="21"/>
              </w:rPr>
              <w:t>《中华人民共和国证券法》</w:t>
            </w:r>
          </w:p>
          <w:p>
            <w:pPr>
              <w:pStyle w:val="8"/>
              <w:spacing w:before="3"/>
              <w:ind w:left="528"/>
              <w:rPr>
                <w:sz w:val="21"/>
              </w:rPr>
            </w:pPr>
            <w:r>
              <w:rPr>
                <w:sz w:val="21"/>
              </w:rPr>
              <w:t>第十六条 公开发行公司债券，应当符合下列条件：</w:t>
            </w:r>
          </w:p>
          <w:p>
            <w:pPr>
              <w:pStyle w:val="8"/>
              <w:spacing w:before="4"/>
              <w:ind w:left="528"/>
              <w:rPr>
                <w:sz w:val="21"/>
              </w:rPr>
            </w:pPr>
            <w:r>
              <w:rPr>
                <w:sz w:val="21"/>
              </w:rPr>
              <w:t>（一）股份有限公司的净资产不低于人民币三千万元，有限责任公司的净资产不低于人民币六千万元；</w:t>
            </w:r>
          </w:p>
          <w:p>
            <w:pPr>
              <w:pStyle w:val="8"/>
              <w:spacing w:before="2"/>
              <w:ind w:left="528"/>
              <w:rPr>
                <w:sz w:val="21"/>
              </w:rPr>
            </w:pPr>
            <w:r>
              <w:rPr>
                <w:sz w:val="21"/>
              </w:rPr>
              <w:t>（二）累计债券余额不超过公司净资产的百分之四十；</w:t>
            </w:r>
          </w:p>
          <w:p>
            <w:pPr>
              <w:pStyle w:val="8"/>
              <w:spacing w:before="5" w:line="249" w:lineRule="exact"/>
              <w:ind w:left="528"/>
              <w:rPr>
                <w:sz w:val="21"/>
              </w:rPr>
            </w:pPr>
            <w:r>
              <w:rPr>
                <w:sz w:val="21"/>
              </w:rPr>
              <w:t>（三）最近三年平均可分配利润足以支付公司债券一年的利息；</w:t>
            </w:r>
          </w:p>
        </w:tc>
        <w:tc>
          <w:tcPr>
            <w:tcW w:w="2081" w:type="dxa"/>
          </w:tcPr>
          <w:p>
            <w:pPr>
              <w:pStyle w:val="8"/>
              <w:rPr>
                <w:rFonts w:ascii="Times New Roman"/>
                <w:sz w:val="20"/>
              </w:rPr>
            </w:pPr>
          </w:p>
        </w:tc>
      </w:tr>
    </w:tbl>
    <w:p>
      <w:pPr>
        <w:spacing w:after="0"/>
        <w:rPr>
          <w:rFonts w:ascii="Times New Roman"/>
          <w:sz w:val="20"/>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6" w:hRule="atLeast"/>
        </w:trPr>
        <w:tc>
          <w:tcPr>
            <w:tcW w:w="1626" w:type="dxa"/>
          </w:tcPr>
          <w:p>
            <w:pPr>
              <w:pStyle w:val="8"/>
              <w:rPr>
                <w:rFonts w:ascii="Times New Roman"/>
                <w:sz w:val="20"/>
              </w:rPr>
            </w:pPr>
          </w:p>
        </w:tc>
        <w:tc>
          <w:tcPr>
            <w:tcW w:w="10220" w:type="dxa"/>
          </w:tcPr>
          <w:p>
            <w:pPr>
              <w:pStyle w:val="8"/>
              <w:spacing w:before="1"/>
              <w:ind w:left="528"/>
              <w:rPr>
                <w:sz w:val="21"/>
              </w:rPr>
            </w:pPr>
            <w:r>
              <w:rPr>
                <w:sz w:val="21"/>
              </w:rPr>
              <w:t>（四）筹集的资金投向符合国家产业政策；</w:t>
            </w:r>
          </w:p>
          <w:p>
            <w:pPr>
              <w:pStyle w:val="8"/>
              <w:spacing w:before="3"/>
              <w:ind w:left="528"/>
              <w:rPr>
                <w:sz w:val="21"/>
              </w:rPr>
            </w:pPr>
            <w:r>
              <w:rPr>
                <w:sz w:val="21"/>
              </w:rPr>
              <w:t>（五）债券的利率不超过国务院限定的利率水平；</w:t>
            </w:r>
          </w:p>
          <w:p>
            <w:pPr>
              <w:pStyle w:val="8"/>
              <w:spacing w:before="2"/>
              <w:ind w:left="528"/>
              <w:rPr>
                <w:sz w:val="21"/>
              </w:rPr>
            </w:pPr>
            <w:r>
              <w:rPr>
                <w:sz w:val="21"/>
              </w:rPr>
              <w:t>（六）国务院规定的其他条件。</w:t>
            </w:r>
          </w:p>
          <w:p>
            <w:pPr>
              <w:pStyle w:val="8"/>
              <w:spacing w:before="4"/>
              <w:ind w:left="528"/>
              <w:rPr>
                <w:sz w:val="21"/>
              </w:rPr>
            </w:pPr>
            <w:r>
              <w:rPr>
                <w:sz w:val="21"/>
              </w:rPr>
              <w:t>公开发行公司债券筹集的资金，必须用于核准的用途，不得用于弥补亏损和非生产性支出。</w:t>
            </w:r>
          </w:p>
          <w:p>
            <w:pPr>
              <w:pStyle w:val="8"/>
              <w:spacing w:before="2" w:line="244" w:lineRule="auto"/>
              <w:ind w:left="108" w:right="96" w:firstLine="420"/>
              <w:rPr>
                <w:sz w:val="21"/>
              </w:rPr>
            </w:pPr>
            <w:r>
              <w:rPr>
                <w:spacing w:val="-5"/>
                <w:w w:val="95"/>
                <w:sz w:val="21"/>
              </w:rPr>
              <w:t>上市公司发行可转换为股票的公司债券，除应当符合第一款规定的条件外，还应当符合本法关于公开发行</w:t>
            </w:r>
            <w:r>
              <w:rPr>
                <w:spacing w:val="-5"/>
                <w:sz w:val="21"/>
              </w:rPr>
              <w:t>股票的条件，并报国务院证券监督管理机构核准。</w:t>
            </w:r>
          </w:p>
          <w:p>
            <w:pPr>
              <w:pStyle w:val="8"/>
              <w:spacing w:line="267" w:lineRule="exact"/>
              <w:ind w:left="528"/>
              <w:rPr>
                <w:sz w:val="21"/>
              </w:rPr>
            </w:pPr>
            <w:r>
              <w:rPr>
                <w:sz w:val="21"/>
              </w:rPr>
              <w:t>第一百二十四条 设立证券公司，应当具备下列条件：</w:t>
            </w:r>
          </w:p>
          <w:p>
            <w:pPr>
              <w:pStyle w:val="8"/>
              <w:spacing w:before="3"/>
              <w:ind w:left="736"/>
              <w:rPr>
                <w:sz w:val="21"/>
              </w:rPr>
            </w:pPr>
            <w:r>
              <w:rPr>
                <w:sz w:val="21"/>
              </w:rPr>
              <w:t>（一）有符合法律、行政法规规定的公司章程；</w:t>
            </w:r>
          </w:p>
          <w:p>
            <w:pPr>
              <w:pStyle w:val="8"/>
              <w:spacing w:before="2" w:line="244" w:lineRule="auto"/>
              <w:ind w:left="316" w:right="94" w:firstLine="405"/>
              <w:rPr>
                <w:sz w:val="21"/>
              </w:rPr>
            </w:pPr>
            <w:r>
              <w:rPr>
                <w:w w:val="95"/>
                <w:sz w:val="21"/>
              </w:rPr>
              <w:t>（二</w:t>
            </w:r>
            <w:r>
              <w:rPr>
                <w:spacing w:val="-15"/>
                <w:w w:val="95"/>
                <w:sz w:val="21"/>
              </w:rPr>
              <w:t>）</w:t>
            </w:r>
            <w:r>
              <w:rPr>
                <w:spacing w:val="-4"/>
                <w:w w:val="95"/>
                <w:sz w:val="21"/>
              </w:rPr>
              <w:t>主要股东具有持续盈利能力，信誉良好，最近三年无重大违法违规记录，净资产不低于人民币二</w:t>
            </w:r>
            <w:r>
              <w:rPr>
                <w:spacing w:val="-4"/>
                <w:sz w:val="21"/>
              </w:rPr>
              <w:t>亿元；</w:t>
            </w:r>
          </w:p>
          <w:p>
            <w:pPr>
              <w:pStyle w:val="8"/>
              <w:spacing w:line="265" w:lineRule="exact"/>
              <w:ind w:left="736"/>
              <w:rPr>
                <w:sz w:val="21"/>
              </w:rPr>
            </w:pPr>
            <w:r>
              <w:rPr>
                <w:sz w:val="21"/>
              </w:rPr>
              <w:t>（三）有符合本法规定的注册资本；</w:t>
            </w:r>
          </w:p>
          <w:p>
            <w:pPr>
              <w:pStyle w:val="8"/>
              <w:spacing w:before="4"/>
              <w:ind w:left="736"/>
              <w:rPr>
                <w:sz w:val="21"/>
              </w:rPr>
            </w:pPr>
            <w:r>
              <w:rPr>
                <w:sz w:val="21"/>
              </w:rPr>
              <w:t>（四）董事、监事、高级管理人员具备任职资格，从业人员具有证券从业资格；</w:t>
            </w:r>
          </w:p>
          <w:p>
            <w:pPr>
              <w:pStyle w:val="8"/>
              <w:spacing w:before="2"/>
              <w:ind w:left="633"/>
              <w:rPr>
                <w:sz w:val="21"/>
              </w:rPr>
            </w:pPr>
            <w:r>
              <w:rPr>
                <w:sz w:val="21"/>
              </w:rPr>
              <w:t>（五）有完善的风险管理与内部控制制度；</w:t>
            </w:r>
          </w:p>
          <w:p>
            <w:pPr>
              <w:pStyle w:val="8"/>
              <w:spacing w:before="5"/>
              <w:ind w:left="736"/>
              <w:rPr>
                <w:sz w:val="21"/>
              </w:rPr>
            </w:pPr>
            <w:r>
              <w:rPr>
                <w:sz w:val="21"/>
              </w:rPr>
              <w:t>（六）有合格的经营场所和业务设施；</w:t>
            </w:r>
          </w:p>
          <w:p>
            <w:pPr>
              <w:pStyle w:val="8"/>
              <w:spacing w:before="2" w:line="244" w:lineRule="auto"/>
              <w:ind w:left="528" w:right="1073" w:firstLine="208"/>
              <w:rPr>
                <w:b/>
                <w:sz w:val="21"/>
              </w:rPr>
            </w:pPr>
            <w:r>
              <w:rPr>
                <w:w w:val="95"/>
                <w:sz w:val="21"/>
              </w:rPr>
              <w:t xml:space="preserve">（七）法律、行政法规规定的和经国务院批准的国务院证券监督管理机构规定的其他条件。   </w:t>
            </w:r>
            <w:r>
              <w:rPr>
                <w:b/>
                <w:sz w:val="21"/>
              </w:rPr>
              <w:t>5.《中华人民共和国证券投资基金法》</w:t>
            </w:r>
          </w:p>
          <w:p>
            <w:pPr>
              <w:pStyle w:val="8"/>
              <w:spacing w:line="242" w:lineRule="auto"/>
              <w:ind w:left="108" w:right="96" w:firstLine="420"/>
              <w:rPr>
                <w:sz w:val="21"/>
              </w:rPr>
            </w:pPr>
            <w:r>
              <w:rPr>
                <w:sz w:val="21"/>
              </w:rPr>
              <w:t>第四条 从事证券投资基金活动，应当遵循自愿、公平、诚实信用的原则，不得损害国家利益和社会公共利益。</w:t>
            </w:r>
          </w:p>
          <w:p>
            <w:pPr>
              <w:pStyle w:val="8"/>
              <w:ind w:left="528"/>
              <w:rPr>
                <w:sz w:val="21"/>
              </w:rPr>
            </w:pPr>
            <w:r>
              <w:rPr>
                <w:sz w:val="21"/>
              </w:rPr>
              <w:t>第十三条 设立管理公开募集基金的基金管理公司，应当具备下列条件，并经国务院证券监督管理机构批</w:t>
            </w:r>
          </w:p>
          <w:p>
            <w:pPr>
              <w:pStyle w:val="8"/>
              <w:spacing w:before="2"/>
              <w:ind w:left="108"/>
              <w:rPr>
                <w:sz w:val="21"/>
              </w:rPr>
            </w:pPr>
            <w:r>
              <w:rPr>
                <w:sz w:val="21"/>
              </w:rPr>
              <w:t>准：</w:t>
            </w:r>
          </w:p>
          <w:p>
            <w:pPr>
              <w:pStyle w:val="8"/>
              <w:spacing w:before="2"/>
              <w:ind w:left="528"/>
              <w:rPr>
                <w:sz w:val="21"/>
              </w:rPr>
            </w:pPr>
            <w:r>
              <w:rPr>
                <w:sz w:val="21"/>
              </w:rPr>
              <w:t>（一）有符合本法和《中华人民共和国公司法》规定的章程；</w:t>
            </w:r>
          </w:p>
          <w:p>
            <w:pPr>
              <w:pStyle w:val="8"/>
              <w:spacing w:before="5"/>
              <w:ind w:left="528"/>
              <w:rPr>
                <w:sz w:val="21"/>
              </w:rPr>
            </w:pPr>
            <w:r>
              <w:rPr>
                <w:sz w:val="21"/>
              </w:rPr>
              <w:t>（二）注册资本不低于一亿元人民币，且必须为实缴货币资本；</w:t>
            </w:r>
          </w:p>
          <w:p>
            <w:pPr>
              <w:pStyle w:val="8"/>
              <w:spacing w:before="2" w:line="242" w:lineRule="auto"/>
              <w:ind w:left="108" w:right="98" w:firstLine="400"/>
              <w:rPr>
                <w:sz w:val="21"/>
              </w:rPr>
            </w:pPr>
            <w:r>
              <w:rPr>
                <w:w w:val="95"/>
                <w:sz w:val="21"/>
              </w:rPr>
              <w:t>（三</w:t>
            </w:r>
            <w:r>
              <w:rPr>
                <w:spacing w:val="-20"/>
                <w:w w:val="95"/>
                <w:sz w:val="21"/>
              </w:rPr>
              <w:t>）</w:t>
            </w:r>
            <w:r>
              <w:rPr>
                <w:spacing w:val="-2"/>
                <w:w w:val="95"/>
                <w:sz w:val="21"/>
              </w:rPr>
              <w:t>主要股东应当具有经营金融业务或者管理金融机构的良好业绩、良好的财务状况和社会信誉，资产</w:t>
            </w:r>
            <w:r>
              <w:rPr>
                <w:spacing w:val="-2"/>
                <w:sz w:val="21"/>
              </w:rPr>
              <w:t>规模达到国务院规定的标准，最近三年没有违法记录；</w:t>
            </w:r>
          </w:p>
          <w:p>
            <w:pPr>
              <w:pStyle w:val="8"/>
              <w:spacing w:before="1"/>
              <w:ind w:left="528"/>
              <w:rPr>
                <w:sz w:val="21"/>
              </w:rPr>
            </w:pPr>
            <w:r>
              <w:rPr>
                <w:sz w:val="21"/>
              </w:rPr>
              <w:t>（四）取得基金从业资格的人员达到法定人数；</w:t>
            </w:r>
          </w:p>
          <w:p>
            <w:pPr>
              <w:pStyle w:val="8"/>
              <w:spacing w:before="2"/>
              <w:ind w:left="528"/>
              <w:rPr>
                <w:sz w:val="21"/>
              </w:rPr>
            </w:pPr>
            <w:r>
              <w:rPr>
                <w:sz w:val="21"/>
              </w:rPr>
              <w:t>（五）董事、监事、高级管理人员具备相应的任职条件；</w:t>
            </w:r>
          </w:p>
          <w:p>
            <w:pPr>
              <w:pStyle w:val="8"/>
              <w:spacing w:before="5"/>
              <w:ind w:left="528"/>
              <w:rPr>
                <w:sz w:val="21"/>
              </w:rPr>
            </w:pPr>
            <w:r>
              <w:rPr>
                <w:sz w:val="21"/>
              </w:rPr>
              <w:t>（六）有符合要求的营业场所、安全防范设施和与基金管理业务有关的其他设施；</w:t>
            </w:r>
          </w:p>
          <w:p>
            <w:pPr>
              <w:pStyle w:val="8"/>
              <w:spacing w:before="2"/>
              <w:ind w:left="528"/>
              <w:rPr>
                <w:sz w:val="21"/>
              </w:rPr>
            </w:pPr>
            <w:r>
              <w:rPr>
                <w:sz w:val="21"/>
              </w:rPr>
              <w:t>（七）有良好的内部治理结构、完善的内部稽核监控制度、风险控制制度；</w:t>
            </w:r>
          </w:p>
          <w:p>
            <w:pPr>
              <w:pStyle w:val="8"/>
              <w:spacing w:before="4" w:line="249" w:lineRule="exact"/>
              <w:ind w:left="528"/>
              <w:rPr>
                <w:sz w:val="21"/>
              </w:rPr>
            </w:pPr>
            <w:r>
              <w:rPr>
                <w:sz w:val="21"/>
              </w:rPr>
              <w:t>（八）法律、行政法规规定的和经国务院批准的国务院证券监督管理机构规定的其他条件。</w:t>
            </w:r>
          </w:p>
        </w:tc>
        <w:tc>
          <w:tcPr>
            <w:tcW w:w="2081" w:type="dxa"/>
          </w:tcPr>
          <w:p>
            <w:pPr>
              <w:pStyle w:val="8"/>
              <w:rPr>
                <w:rFonts w:ascii="Times New Roman"/>
                <w:sz w:val="20"/>
              </w:rPr>
            </w:pPr>
          </w:p>
        </w:tc>
      </w:tr>
    </w:tbl>
    <w:p>
      <w:pPr>
        <w:spacing w:after="0"/>
        <w:rPr>
          <w:rFonts w:ascii="Times New Roman"/>
          <w:sz w:val="20"/>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6" w:hRule="atLeast"/>
        </w:trPr>
        <w:tc>
          <w:tcPr>
            <w:tcW w:w="1626" w:type="dxa"/>
          </w:tcPr>
          <w:p>
            <w:pPr>
              <w:pStyle w:val="8"/>
              <w:rPr>
                <w:rFonts w:ascii="Times New Roman"/>
                <w:sz w:val="20"/>
              </w:rPr>
            </w:pPr>
          </w:p>
        </w:tc>
        <w:tc>
          <w:tcPr>
            <w:tcW w:w="10220" w:type="dxa"/>
          </w:tcPr>
          <w:p>
            <w:pPr>
              <w:pStyle w:val="8"/>
              <w:numPr>
                <w:ilvl w:val="0"/>
                <w:numId w:val="11"/>
              </w:numPr>
              <w:tabs>
                <w:tab w:val="left" w:pos="740"/>
              </w:tabs>
              <w:spacing w:before="1" w:after="0" w:line="240" w:lineRule="auto"/>
              <w:ind w:left="739" w:right="0" w:hanging="212"/>
              <w:jc w:val="left"/>
              <w:rPr>
                <w:b/>
                <w:sz w:val="21"/>
              </w:rPr>
            </w:pPr>
            <w:r>
              <w:rPr>
                <w:b/>
                <w:sz w:val="21"/>
              </w:rPr>
              <w:t>《期货交易管理条例》</w:t>
            </w:r>
          </w:p>
          <w:p>
            <w:pPr>
              <w:pStyle w:val="8"/>
              <w:spacing w:before="3"/>
              <w:ind w:left="528"/>
              <w:rPr>
                <w:sz w:val="21"/>
              </w:rPr>
            </w:pPr>
            <w:r>
              <w:rPr>
                <w:sz w:val="21"/>
              </w:rPr>
              <w:t>第十六条 申请设立期货公司，应当符合《中华人民共和国公司法》的规定，并具备下列条件：</w:t>
            </w:r>
          </w:p>
          <w:p>
            <w:pPr>
              <w:pStyle w:val="8"/>
              <w:spacing w:before="2"/>
              <w:ind w:left="528"/>
              <w:rPr>
                <w:sz w:val="21"/>
              </w:rPr>
            </w:pPr>
            <w:r>
              <w:rPr>
                <w:sz w:val="21"/>
              </w:rPr>
              <w:t>（一）注册资本最低限额为人民币 3000 万元；</w:t>
            </w:r>
          </w:p>
          <w:p>
            <w:pPr>
              <w:pStyle w:val="8"/>
              <w:spacing w:before="4"/>
              <w:ind w:left="528"/>
              <w:rPr>
                <w:sz w:val="21"/>
              </w:rPr>
            </w:pPr>
            <w:r>
              <w:rPr>
                <w:sz w:val="21"/>
              </w:rPr>
              <w:t>（二）董事、监事、高级管理人员具备任职资格，从业人员具有期货从业资格；</w:t>
            </w:r>
          </w:p>
          <w:p>
            <w:pPr>
              <w:pStyle w:val="8"/>
              <w:spacing w:before="2"/>
              <w:ind w:left="528"/>
              <w:rPr>
                <w:sz w:val="21"/>
              </w:rPr>
            </w:pPr>
            <w:r>
              <w:rPr>
                <w:sz w:val="21"/>
              </w:rPr>
              <w:t>（三）有符合法律、行政法规规定的公司章程；</w:t>
            </w:r>
          </w:p>
          <w:p>
            <w:pPr>
              <w:pStyle w:val="8"/>
              <w:spacing w:before="5"/>
              <w:ind w:left="528"/>
              <w:rPr>
                <w:sz w:val="21"/>
              </w:rPr>
            </w:pPr>
            <w:r>
              <w:rPr>
                <w:sz w:val="21"/>
              </w:rPr>
              <w:t>（四）主要股东以及实际控制人具有持续盈利能力，信誉良好，最近 3 年无重大违法违规记录；</w:t>
            </w:r>
          </w:p>
          <w:p>
            <w:pPr>
              <w:pStyle w:val="8"/>
              <w:spacing w:before="5"/>
              <w:ind w:left="528"/>
              <w:rPr>
                <w:sz w:val="21"/>
              </w:rPr>
            </w:pPr>
            <w:r>
              <w:rPr>
                <w:sz w:val="21"/>
              </w:rPr>
              <w:t>（五）有合格的经营场所和业务设施；</w:t>
            </w:r>
          </w:p>
          <w:p>
            <w:pPr>
              <w:pStyle w:val="8"/>
              <w:spacing w:before="2"/>
              <w:ind w:left="528"/>
              <w:rPr>
                <w:sz w:val="21"/>
              </w:rPr>
            </w:pPr>
            <w:r>
              <w:rPr>
                <w:sz w:val="21"/>
              </w:rPr>
              <w:t>（六）有健全的风险管理和内部控制制度；</w:t>
            </w:r>
          </w:p>
          <w:p>
            <w:pPr>
              <w:pStyle w:val="8"/>
              <w:spacing w:before="2"/>
              <w:ind w:left="528"/>
              <w:rPr>
                <w:sz w:val="21"/>
              </w:rPr>
            </w:pPr>
            <w:r>
              <w:rPr>
                <w:sz w:val="21"/>
              </w:rPr>
              <w:t>（七）国务院期货监督管理机构规定的其他条件。</w:t>
            </w:r>
          </w:p>
          <w:p>
            <w:pPr>
              <w:bidi w:val="0"/>
              <w:ind w:firstLine="579" w:firstLineChars="300"/>
              <w:rPr>
                <w:sz w:val="21"/>
              </w:rPr>
            </w:pPr>
            <w:r>
              <w:rPr>
                <w:spacing w:val="-3"/>
                <w:w w:val="95"/>
                <w:sz w:val="21"/>
              </w:rPr>
              <w:t>国务院期货监督管理机构根据审慎监管原则和各项业务的风险程度，可以提高注册资本最低限额。注册资</w:t>
            </w:r>
            <w:r>
              <w:rPr>
                <w:spacing w:val="-5"/>
                <w:sz w:val="21"/>
              </w:rPr>
              <w:t>本应当是实缴资本。股东应当以货币或者期货公司经营必需的非货币财产出资，货币出资比例不得低于</w:t>
            </w:r>
            <w:r>
              <w:rPr>
                <w:sz w:val="21"/>
              </w:rPr>
              <w:t>85%。</w:t>
            </w:r>
            <w:r>
              <w:rPr>
                <w:spacing w:val="-3"/>
                <w:sz w:val="21"/>
              </w:rPr>
              <w:t xml:space="preserve">国务院期货监督管理机构应当在受理期货公司设立申请之日起 </w:t>
            </w:r>
            <w:r>
              <w:rPr>
                <w:sz w:val="21"/>
              </w:rPr>
              <w:t>6</w:t>
            </w:r>
            <w:r>
              <w:rPr>
                <w:spacing w:val="-13"/>
                <w:sz w:val="21"/>
              </w:rPr>
              <w:t xml:space="preserve"> 个月内，根据审慎监管原则进行审查，作</w:t>
            </w:r>
            <w:r>
              <w:rPr>
                <w:sz w:val="21"/>
              </w:rPr>
              <w:t>出批准或者不批准的决定。</w:t>
            </w:r>
          </w:p>
          <w:p>
            <w:pPr>
              <w:pStyle w:val="8"/>
              <w:spacing w:before="5" w:line="242" w:lineRule="auto"/>
              <w:ind w:left="108" w:right="99" w:firstLine="420"/>
              <w:rPr>
                <w:sz w:val="21"/>
              </w:rPr>
            </w:pPr>
            <w:r>
              <w:rPr>
                <w:spacing w:val="-5"/>
                <w:w w:val="95"/>
                <w:sz w:val="21"/>
              </w:rPr>
              <w:t>未经国务院期货监督管理机构批准，任何单位和个人不得委托或者接受他人委托持有或者管理期货公司的</w:t>
            </w:r>
            <w:r>
              <w:rPr>
                <w:spacing w:val="-5"/>
                <w:sz w:val="21"/>
              </w:rPr>
              <w:t>股权。</w:t>
            </w:r>
          </w:p>
          <w:p>
            <w:pPr>
              <w:pStyle w:val="8"/>
              <w:numPr>
                <w:ilvl w:val="0"/>
                <w:numId w:val="11"/>
              </w:numPr>
              <w:tabs>
                <w:tab w:val="left" w:pos="740"/>
              </w:tabs>
              <w:spacing w:before="1" w:after="0" w:line="240" w:lineRule="auto"/>
              <w:ind w:left="739" w:right="0" w:hanging="212"/>
              <w:jc w:val="left"/>
              <w:rPr>
                <w:b/>
                <w:sz w:val="21"/>
              </w:rPr>
            </w:pPr>
            <w:r>
              <w:rPr>
                <w:b/>
                <w:sz w:val="21"/>
              </w:rPr>
              <w:t>《证券公司监督管理条例》</w:t>
            </w:r>
          </w:p>
          <w:p>
            <w:pPr>
              <w:pStyle w:val="8"/>
              <w:spacing w:before="2"/>
              <w:ind w:left="528"/>
              <w:rPr>
                <w:sz w:val="21"/>
              </w:rPr>
            </w:pPr>
            <w:r>
              <w:rPr>
                <w:sz w:val="21"/>
              </w:rPr>
              <w:t>第十条 有下列情形之一的单位或者个人，不得成为持有证券公司 5%以上股权的股东、实际控制人：</w:t>
            </w:r>
          </w:p>
          <w:p>
            <w:pPr>
              <w:pStyle w:val="8"/>
              <w:spacing w:before="2"/>
              <w:ind w:left="736"/>
              <w:rPr>
                <w:sz w:val="21"/>
              </w:rPr>
            </w:pPr>
            <w:r>
              <w:rPr>
                <w:sz w:val="21"/>
              </w:rPr>
              <w:t>（一）因故意犯罪被判处刑罚，刑罚执行完毕未逾 3 年；</w:t>
            </w:r>
          </w:p>
          <w:p>
            <w:pPr>
              <w:pStyle w:val="8"/>
              <w:spacing w:before="5"/>
              <w:ind w:left="736"/>
              <w:rPr>
                <w:sz w:val="21"/>
              </w:rPr>
            </w:pPr>
            <w:r>
              <w:rPr>
                <w:sz w:val="21"/>
              </w:rPr>
              <w:t>（二）净资产低于实收资本的 50%，或者或有负债达到净资产的50%；</w:t>
            </w:r>
          </w:p>
          <w:p>
            <w:pPr>
              <w:pStyle w:val="8"/>
              <w:spacing w:before="4"/>
              <w:ind w:left="736"/>
              <w:rPr>
                <w:sz w:val="21"/>
              </w:rPr>
            </w:pPr>
            <w:r>
              <w:rPr>
                <w:sz w:val="21"/>
              </w:rPr>
              <w:t>（三）不能清偿到期债务；</w:t>
            </w:r>
          </w:p>
          <w:p>
            <w:pPr>
              <w:pStyle w:val="8"/>
              <w:spacing w:before="2"/>
              <w:ind w:left="736"/>
              <w:rPr>
                <w:sz w:val="21"/>
              </w:rPr>
            </w:pPr>
            <w:r>
              <w:rPr>
                <w:sz w:val="21"/>
              </w:rPr>
              <w:t>（四）国务院证券监督管理机构认定的其他情形。</w:t>
            </w:r>
          </w:p>
          <w:p>
            <w:pPr>
              <w:pStyle w:val="8"/>
              <w:spacing w:before="5" w:line="242" w:lineRule="auto"/>
              <w:ind w:left="528" w:right="3382"/>
              <w:rPr>
                <w:b/>
                <w:sz w:val="21"/>
              </w:rPr>
            </w:pPr>
            <w:r>
              <w:rPr>
                <w:w w:val="95"/>
                <w:sz w:val="21"/>
              </w:rPr>
              <w:t xml:space="preserve">证券公司的其他股东应当符合国务院证券监督管理机构的相关要求。  </w:t>
            </w:r>
            <w:r>
              <w:rPr>
                <w:b/>
                <w:sz w:val="21"/>
              </w:rPr>
              <w:t>8.《证券投资基金管理公司管理办法》</w:t>
            </w:r>
          </w:p>
          <w:p>
            <w:pPr>
              <w:pStyle w:val="8"/>
              <w:spacing w:line="244" w:lineRule="auto"/>
              <w:ind w:left="108" w:right="-15" w:firstLine="420"/>
              <w:rPr>
                <w:sz w:val="21"/>
              </w:rPr>
            </w:pPr>
            <w:r>
              <w:rPr>
                <w:spacing w:val="-9"/>
                <w:sz w:val="21"/>
              </w:rPr>
              <w:t>第七条 申请设立基金管理公司，出资或者持有股份占基金管理公司注册资本的比例</w:t>
            </w:r>
            <w:r>
              <w:rPr>
                <w:sz w:val="21"/>
              </w:rPr>
              <w:t xml:space="preserve">（以下简称持股比例） </w:t>
            </w:r>
            <w:r>
              <w:rPr>
                <w:spacing w:val="-27"/>
                <w:sz w:val="21"/>
              </w:rPr>
              <w:t xml:space="preserve">在 </w:t>
            </w:r>
            <w:r>
              <w:rPr>
                <w:sz w:val="21"/>
              </w:rPr>
              <w:t>5%以上的股东，应当具备下列条件：</w:t>
            </w:r>
          </w:p>
          <w:p>
            <w:pPr>
              <w:pStyle w:val="8"/>
              <w:spacing w:line="265" w:lineRule="exact"/>
              <w:ind w:left="736"/>
              <w:rPr>
                <w:sz w:val="21"/>
              </w:rPr>
            </w:pPr>
            <w:r>
              <w:rPr>
                <w:sz w:val="21"/>
              </w:rPr>
              <w:t>（一）注册资本、净资产不低于 1 亿元人民币，资产质量良好；</w:t>
            </w:r>
          </w:p>
          <w:p>
            <w:pPr>
              <w:pStyle w:val="8"/>
              <w:spacing w:before="3"/>
              <w:ind w:left="736"/>
              <w:rPr>
                <w:sz w:val="21"/>
              </w:rPr>
            </w:pPr>
            <w:r>
              <w:rPr>
                <w:sz w:val="21"/>
              </w:rPr>
              <w:t>（二）持续经营 3 个以上完整的会计年度，公司治理健全，内部监控制度完善；</w:t>
            </w:r>
          </w:p>
          <w:p>
            <w:pPr>
              <w:pStyle w:val="8"/>
              <w:spacing w:before="2"/>
              <w:ind w:left="736"/>
              <w:rPr>
                <w:sz w:val="21"/>
              </w:rPr>
            </w:pPr>
            <w:r>
              <w:rPr>
                <w:sz w:val="21"/>
              </w:rPr>
              <w:t>（三）最近 3 年没有因违法违规行为受到行政处罚或者刑事处罚；</w:t>
            </w:r>
          </w:p>
          <w:p>
            <w:pPr>
              <w:pStyle w:val="8"/>
              <w:spacing w:before="5" w:line="249" w:lineRule="exact"/>
              <w:ind w:left="736"/>
              <w:rPr>
                <w:sz w:val="21"/>
              </w:rPr>
            </w:pPr>
            <w:r>
              <w:rPr>
                <w:sz w:val="21"/>
              </w:rPr>
              <w:t>（四）没有挪用客户资产等损害客户利益的行为；</w:t>
            </w:r>
          </w:p>
        </w:tc>
        <w:tc>
          <w:tcPr>
            <w:tcW w:w="2081" w:type="dxa"/>
          </w:tcPr>
          <w:p>
            <w:pPr>
              <w:pStyle w:val="8"/>
              <w:rPr>
                <w:rFonts w:ascii="Times New Roman"/>
                <w:sz w:val="20"/>
              </w:rPr>
            </w:pPr>
          </w:p>
        </w:tc>
      </w:tr>
    </w:tbl>
    <w:p>
      <w:pPr>
        <w:spacing w:after="0"/>
        <w:rPr>
          <w:rFonts w:ascii="Times New Roman"/>
          <w:sz w:val="20"/>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6" w:hRule="atLeast"/>
        </w:trPr>
        <w:tc>
          <w:tcPr>
            <w:tcW w:w="1626" w:type="dxa"/>
          </w:tcPr>
          <w:p>
            <w:pPr>
              <w:pStyle w:val="8"/>
              <w:rPr>
                <w:rFonts w:ascii="Times New Roman"/>
                <w:sz w:val="20"/>
              </w:rPr>
            </w:pPr>
          </w:p>
        </w:tc>
        <w:tc>
          <w:tcPr>
            <w:tcW w:w="10220" w:type="dxa"/>
          </w:tcPr>
          <w:p>
            <w:pPr>
              <w:pStyle w:val="8"/>
              <w:spacing w:before="1"/>
              <w:ind w:left="736"/>
              <w:rPr>
                <w:sz w:val="21"/>
              </w:rPr>
            </w:pPr>
            <w:r>
              <w:rPr>
                <w:sz w:val="21"/>
              </w:rPr>
              <w:t>（五）没有因违法违规行为正在被监管机构调查，或者正处于整改期间；</w:t>
            </w:r>
          </w:p>
          <w:p>
            <w:pPr>
              <w:pStyle w:val="8"/>
              <w:spacing w:before="3" w:line="242" w:lineRule="auto"/>
              <w:ind w:left="108" w:right="94" w:firstLine="619"/>
              <w:rPr>
                <w:sz w:val="21"/>
              </w:rPr>
            </w:pPr>
            <w:r>
              <w:rPr>
                <w:sz w:val="21"/>
              </w:rPr>
              <w:t>（六</w:t>
            </w:r>
            <w:r>
              <w:rPr>
                <w:spacing w:val="-10"/>
                <w:sz w:val="21"/>
              </w:rPr>
              <w:t>）</w:t>
            </w:r>
            <w:r>
              <w:rPr>
                <w:spacing w:val="-6"/>
                <w:sz w:val="21"/>
              </w:rPr>
              <w:t xml:space="preserve">具有良好的社会信誉，最近 </w:t>
            </w:r>
            <w:r>
              <w:rPr>
                <w:sz w:val="21"/>
              </w:rPr>
              <w:t>3</w:t>
            </w:r>
            <w:r>
              <w:rPr>
                <w:spacing w:val="-10"/>
                <w:sz w:val="21"/>
              </w:rPr>
              <w:t xml:space="preserve"> 年在金融监管、税务、工商等行政机关，以及自律管理、商业银行等机构无不良记录。</w:t>
            </w:r>
          </w:p>
          <w:p>
            <w:pPr>
              <w:pStyle w:val="8"/>
              <w:spacing w:before="1"/>
              <w:ind w:left="528"/>
              <w:rPr>
                <w:b/>
                <w:sz w:val="21"/>
              </w:rPr>
            </w:pPr>
            <w:r>
              <w:rPr>
                <w:b/>
                <w:sz w:val="21"/>
              </w:rPr>
              <w:t>9.《期货公司监督管理办法》</w:t>
            </w:r>
          </w:p>
          <w:p>
            <w:pPr>
              <w:pStyle w:val="8"/>
              <w:spacing w:before="2"/>
              <w:ind w:left="528"/>
              <w:rPr>
                <w:sz w:val="21"/>
              </w:rPr>
            </w:pPr>
            <w:r>
              <w:rPr>
                <w:sz w:val="21"/>
              </w:rPr>
              <w:t>第七条 持有 5％以上股权的股东为法人或者其他组织的，应当具备下列条件：</w:t>
            </w:r>
          </w:p>
          <w:p>
            <w:pPr>
              <w:pStyle w:val="8"/>
              <w:spacing w:before="5"/>
              <w:ind w:left="736"/>
              <w:rPr>
                <w:sz w:val="21"/>
              </w:rPr>
            </w:pPr>
            <w:r>
              <w:rPr>
                <w:sz w:val="21"/>
              </w:rPr>
              <w:t>（一）实收资本和净资产均不低于人民币 3000 万元；</w:t>
            </w:r>
          </w:p>
          <w:p>
            <w:pPr>
              <w:pStyle w:val="8"/>
              <w:spacing w:before="4" w:line="242" w:lineRule="auto"/>
              <w:ind w:left="108" w:right="18" w:firstLine="631"/>
              <w:rPr>
                <w:sz w:val="21"/>
              </w:rPr>
            </w:pPr>
            <w:r>
              <w:rPr>
                <w:sz w:val="21"/>
              </w:rPr>
              <w:t>（二）净资产不低于实收资本的 50%，或有负债低于净资产的 50%，不存在对财务状况产生重大不确定影响的其他风险；</w:t>
            </w:r>
          </w:p>
          <w:p>
            <w:pPr>
              <w:pStyle w:val="8"/>
              <w:spacing w:line="268" w:lineRule="exact"/>
              <w:ind w:left="736"/>
              <w:rPr>
                <w:sz w:val="21"/>
              </w:rPr>
            </w:pPr>
            <w:r>
              <w:rPr>
                <w:sz w:val="21"/>
              </w:rPr>
              <w:t>（三）没有较大数额的到期未清偿债务；</w:t>
            </w:r>
          </w:p>
          <w:p>
            <w:pPr>
              <w:pStyle w:val="8"/>
              <w:spacing w:before="5"/>
              <w:ind w:left="736"/>
              <w:rPr>
                <w:sz w:val="21"/>
              </w:rPr>
            </w:pPr>
            <w:r>
              <w:rPr>
                <w:sz w:val="21"/>
              </w:rPr>
              <w:t>（四）近 3 年未因重大违法违规行为受到行政处罚或者刑事处罚；</w:t>
            </w:r>
          </w:p>
          <w:p>
            <w:pPr>
              <w:pStyle w:val="8"/>
              <w:spacing w:before="2"/>
              <w:ind w:left="736"/>
              <w:rPr>
                <w:sz w:val="21"/>
              </w:rPr>
            </w:pPr>
            <w:r>
              <w:rPr>
                <w:sz w:val="21"/>
              </w:rPr>
              <w:t>（五）未因涉嫌重大违法违规正在被有权机关立案调查或者采取强制措施；</w:t>
            </w:r>
          </w:p>
          <w:p>
            <w:pPr>
              <w:pStyle w:val="8"/>
              <w:spacing w:before="4" w:line="242" w:lineRule="auto"/>
              <w:ind w:left="108" w:right="94" w:firstLine="616"/>
              <w:rPr>
                <w:sz w:val="21"/>
              </w:rPr>
            </w:pPr>
            <w:r>
              <w:rPr>
                <w:sz w:val="21"/>
              </w:rPr>
              <w:t>（六</w:t>
            </w:r>
            <w:r>
              <w:rPr>
                <w:spacing w:val="-13"/>
                <w:sz w:val="21"/>
              </w:rPr>
              <w:t>）</w:t>
            </w:r>
            <w:r>
              <w:rPr>
                <w:spacing w:val="-30"/>
                <w:sz w:val="21"/>
              </w:rPr>
              <w:t xml:space="preserve">近 </w:t>
            </w:r>
            <w:r>
              <w:rPr>
                <w:sz w:val="21"/>
              </w:rPr>
              <w:t>3</w:t>
            </w:r>
            <w:r>
              <w:rPr>
                <w:spacing w:val="-13"/>
                <w:sz w:val="21"/>
              </w:rPr>
              <w:t xml:space="preserve"> 年作为公司</w:t>
            </w:r>
            <w:r>
              <w:rPr>
                <w:sz w:val="21"/>
              </w:rPr>
              <w:t>（含金融机构</w:t>
            </w:r>
            <w:r>
              <w:rPr>
                <w:spacing w:val="-13"/>
                <w:sz w:val="21"/>
              </w:rPr>
              <w:t>）</w:t>
            </w:r>
            <w:r>
              <w:rPr>
                <w:spacing w:val="-3"/>
                <w:sz w:val="21"/>
              </w:rPr>
              <w:t>的股东或者实际控制人，未有滥用股东权利、逃避股东义务等不诚信行为；</w:t>
            </w:r>
          </w:p>
          <w:p>
            <w:pPr>
              <w:pStyle w:val="8"/>
              <w:spacing w:before="2" w:line="242" w:lineRule="auto"/>
              <w:ind w:left="528" w:right="1282" w:firstLine="208"/>
              <w:rPr>
                <w:w w:val="95"/>
                <w:sz w:val="21"/>
              </w:rPr>
            </w:pPr>
            <w:r>
              <w:rPr>
                <w:w w:val="95"/>
                <w:sz w:val="21"/>
              </w:rPr>
              <w:t xml:space="preserve">（七）不存在中国证监会根据审慎监管原则认定的其他不适合持有期货公司股权的情形。 </w:t>
            </w:r>
          </w:p>
          <w:p>
            <w:pPr>
              <w:pStyle w:val="8"/>
              <w:spacing w:before="2" w:line="242" w:lineRule="auto"/>
              <w:ind w:left="528" w:right="1282" w:firstLine="208"/>
              <w:rPr>
                <w:b/>
                <w:sz w:val="21"/>
              </w:rPr>
            </w:pPr>
            <w:r>
              <w:rPr>
                <w:b/>
                <w:sz w:val="21"/>
              </w:rPr>
              <w:t>10.《上市公司收购管理办法》</w:t>
            </w:r>
          </w:p>
          <w:p>
            <w:pPr>
              <w:pStyle w:val="8"/>
              <w:spacing w:before="1" w:line="242" w:lineRule="auto"/>
              <w:ind w:left="528" w:right="2436"/>
              <w:rPr>
                <w:sz w:val="21"/>
              </w:rPr>
            </w:pPr>
            <w:r>
              <w:rPr>
                <w:sz w:val="21"/>
              </w:rPr>
              <w:t>第六条 任何人不得利用上市公司的收购损害被收购公司及其股东的合法权益。有下列情形之一的，不得收购上市公司：</w:t>
            </w:r>
          </w:p>
          <w:p>
            <w:pPr>
              <w:pStyle w:val="8"/>
              <w:spacing w:line="268" w:lineRule="exact"/>
              <w:ind w:left="528"/>
              <w:rPr>
                <w:sz w:val="21"/>
              </w:rPr>
            </w:pPr>
            <w:r>
              <w:rPr>
                <w:w w:val="95"/>
                <w:sz w:val="21"/>
              </w:rPr>
              <w:t>（一）收购人负有数额较大债务，到期未清偿，且处于持续状态；</w:t>
            </w:r>
          </w:p>
          <w:p>
            <w:pPr>
              <w:pStyle w:val="8"/>
              <w:spacing w:before="4"/>
              <w:ind w:left="528"/>
              <w:rPr>
                <w:sz w:val="21"/>
              </w:rPr>
            </w:pPr>
            <w:r>
              <w:rPr>
                <w:sz w:val="21"/>
              </w:rPr>
              <w:t>（二）</w:t>
            </w:r>
            <w:r>
              <w:rPr>
                <w:spacing w:val="-11"/>
                <w:sz w:val="21"/>
              </w:rPr>
              <w:t xml:space="preserve">收购人最近 </w:t>
            </w:r>
            <w:r>
              <w:rPr>
                <w:sz w:val="21"/>
              </w:rPr>
              <w:t>3</w:t>
            </w:r>
            <w:r>
              <w:rPr>
                <w:spacing w:val="-8"/>
                <w:sz w:val="21"/>
              </w:rPr>
              <w:t xml:space="preserve"> 年有重大违法行为或者涉嫌有重大违法行为；</w:t>
            </w:r>
          </w:p>
          <w:p>
            <w:pPr>
              <w:pStyle w:val="8"/>
              <w:spacing w:before="5"/>
              <w:ind w:left="528"/>
              <w:rPr>
                <w:sz w:val="21"/>
              </w:rPr>
            </w:pPr>
            <w:r>
              <w:rPr>
                <w:sz w:val="21"/>
              </w:rPr>
              <w:t>（三）收购人最近 3 年有严重的证券市场失信行为；</w:t>
            </w:r>
          </w:p>
          <w:p>
            <w:pPr>
              <w:pStyle w:val="8"/>
              <w:spacing w:before="2"/>
              <w:ind w:left="528"/>
              <w:rPr>
                <w:sz w:val="21"/>
              </w:rPr>
            </w:pPr>
            <w:r>
              <w:rPr>
                <w:sz w:val="21"/>
              </w:rPr>
              <w:t>（四）收购人为自然人的，存在《公司法》第一百四十六条规定情形；</w:t>
            </w:r>
          </w:p>
          <w:p>
            <w:pPr>
              <w:pStyle w:val="8"/>
              <w:spacing w:before="5" w:line="242" w:lineRule="auto"/>
              <w:ind w:left="528" w:right="2122"/>
              <w:rPr>
                <w:b/>
                <w:sz w:val="21"/>
              </w:rPr>
            </w:pPr>
            <w:r>
              <w:rPr>
                <w:w w:val="95"/>
                <w:sz w:val="21"/>
              </w:rPr>
              <w:t xml:space="preserve">（五）法律、行政法规规定以及中国证监会认定的不得收购上市公司的其他情形。 </w:t>
            </w:r>
            <w:r>
              <w:rPr>
                <w:b/>
                <w:sz w:val="21"/>
              </w:rPr>
              <w:t>11.《私募投资基金监督管理暂行办法》</w:t>
            </w:r>
          </w:p>
          <w:p>
            <w:pPr>
              <w:pStyle w:val="8"/>
              <w:spacing w:line="244" w:lineRule="auto"/>
              <w:ind w:left="108" w:right="96" w:firstLine="420"/>
              <w:rPr>
                <w:sz w:val="21"/>
              </w:rPr>
            </w:pPr>
            <w:r>
              <w:rPr>
                <w:sz w:val="21"/>
              </w:rPr>
              <w:t>第三条 从事私募基金业务，应当遵循自愿、公平、诚实信用原则，维护投资者合法权益，不得损害国家利益和社会公共利益</w:t>
            </w:r>
          </w:p>
          <w:p>
            <w:pPr>
              <w:pStyle w:val="8"/>
              <w:spacing w:line="265" w:lineRule="exact"/>
              <w:ind w:left="528"/>
              <w:rPr>
                <w:b/>
                <w:sz w:val="21"/>
              </w:rPr>
            </w:pPr>
            <w:r>
              <w:rPr>
                <w:b/>
                <w:sz w:val="21"/>
              </w:rPr>
              <w:t>12.《非上市公众公司收购管理办法》</w:t>
            </w:r>
          </w:p>
          <w:p>
            <w:pPr>
              <w:pStyle w:val="8"/>
              <w:spacing w:before="3" w:line="242" w:lineRule="auto"/>
              <w:ind w:left="108" w:right="22" w:firstLine="420"/>
              <w:rPr>
                <w:sz w:val="21"/>
              </w:rPr>
            </w:pPr>
            <w:r>
              <w:rPr>
                <w:sz w:val="21"/>
              </w:rPr>
              <w:t>第六条 进行公众公司收购，收购人及其实际控制人应当具有良好的诚信记录，收购人及其实际控制人为</w:t>
            </w:r>
            <w:r>
              <w:rPr>
                <w:w w:val="95"/>
                <w:sz w:val="21"/>
              </w:rPr>
              <w:t>法人的，应当具有健全的公司治理机制。任何人不得利用公众公司收购损害被收购公司及其股东的合法权益。</w:t>
            </w:r>
          </w:p>
          <w:p>
            <w:pPr>
              <w:pStyle w:val="8"/>
              <w:spacing w:before="1" w:line="249" w:lineRule="exact"/>
              <w:ind w:left="736"/>
              <w:rPr>
                <w:sz w:val="21"/>
              </w:rPr>
            </w:pPr>
            <w:r>
              <w:rPr>
                <w:sz w:val="21"/>
              </w:rPr>
              <w:t>有下列情形之一的，不得收购公众公司：</w:t>
            </w:r>
          </w:p>
        </w:tc>
        <w:tc>
          <w:tcPr>
            <w:tcW w:w="2081" w:type="dxa"/>
          </w:tcPr>
          <w:p>
            <w:pPr>
              <w:pStyle w:val="8"/>
              <w:rPr>
                <w:rFonts w:ascii="Times New Roman"/>
                <w:sz w:val="20"/>
              </w:rPr>
            </w:pPr>
          </w:p>
        </w:tc>
      </w:tr>
    </w:tbl>
    <w:p>
      <w:pPr>
        <w:spacing w:after="0"/>
        <w:rPr>
          <w:rFonts w:ascii="Times New Roman"/>
          <w:sz w:val="20"/>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50" w:hRule="atLeast"/>
        </w:trPr>
        <w:tc>
          <w:tcPr>
            <w:tcW w:w="1626" w:type="dxa"/>
          </w:tcPr>
          <w:p>
            <w:pPr>
              <w:pStyle w:val="8"/>
              <w:rPr>
                <w:rFonts w:ascii="Times New Roman"/>
                <w:sz w:val="20"/>
              </w:rPr>
            </w:pPr>
          </w:p>
        </w:tc>
        <w:tc>
          <w:tcPr>
            <w:tcW w:w="10220" w:type="dxa"/>
          </w:tcPr>
          <w:p>
            <w:pPr>
              <w:pStyle w:val="8"/>
              <w:spacing w:before="1"/>
              <w:ind w:left="736"/>
              <w:rPr>
                <w:sz w:val="21"/>
              </w:rPr>
            </w:pPr>
            <w:r>
              <w:rPr>
                <w:w w:val="95"/>
                <w:sz w:val="21"/>
              </w:rPr>
              <w:t>（一）收购人负有数额较大债务，到期未清偿，且处于持续状态；</w:t>
            </w:r>
          </w:p>
          <w:p>
            <w:pPr>
              <w:pStyle w:val="8"/>
              <w:spacing w:before="3"/>
              <w:ind w:left="736"/>
              <w:rPr>
                <w:sz w:val="21"/>
              </w:rPr>
            </w:pPr>
            <w:r>
              <w:rPr>
                <w:sz w:val="21"/>
              </w:rPr>
              <w:t>（二）</w:t>
            </w:r>
            <w:r>
              <w:rPr>
                <w:spacing w:val="-10"/>
                <w:sz w:val="21"/>
              </w:rPr>
              <w:t xml:space="preserve">收购人最近 </w:t>
            </w:r>
            <w:r>
              <w:rPr>
                <w:sz w:val="21"/>
              </w:rPr>
              <w:t>2</w:t>
            </w:r>
            <w:r>
              <w:rPr>
                <w:spacing w:val="-8"/>
                <w:sz w:val="21"/>
              </w:rPr>
              <w:t xml:space="preserve"> 年有重大违法行为或者涉嫌有重大违法行为；</w:t>
            </w:r>
          </w:p>
          <w:p>
            <w:pPr>
              <w:pStyle w:val="8"/>
              <w:spacing w:before="2"/>
              <w:ind w:left="736"/>
              <w:rPr>
                <w:sz w:val="21"/>
              </w:rPr>
            </w:pPr>
            <w:r>
              <w:rPr>
                <w:sz w:val="21"/>
              </w:rPr>
              <w:t>（三）收购人最近 2 年有严重的证券市场失信行为；</w:t>
            </w:r>
          </w:p>
          <w:p>
            <w:pPr>
              <w:pStyle w:val="8"/>
              <w:spacing w:before="4"/>
              <w:ind w:left="736"/>
              <w:rPr>
                <w:sz w:val="21"/>
              </w:rPr>
            </w:pPr>
            <w:r>
              <w:rPr>
                <w:sz w:val="21"/>
              </w:rPr>
              <w:t>（四）收购人为自然人的，存在《公司法》第一百四十六条规定的情形；</w:t>
            </w:r>
          </w:p>
          <w:p>
            <w:pPr>
              <w:pStyle w:val="8"/>
              <w:spacing w:before="2" w:line="244" w:lineRule="auto"/>
              <w:ind w:left="528" w:right="1913" w:firstLine="208"/>
              <w:rPr>
                <w:b/>
                <w:sz w:val="21"/>
              </w:rPr>
            </w:pPr>
            <w:r>
              <w:rPr>
                <w:w w:val="95"/>
                <w:sz w:val="21"/>
              </w:rPr>
              <w:t xml:space="preserve">（五）法律、行政法规规定以及中国证监会认定的不得收购公众公司的其他情形。 </w:t>
            </w:r>
            <w:r>
              <w:rPr>
                <w:b/>
                <w:sz w:val="21"/>
              </w:rPr>
              <w:t>13.《公司债券发行与交易管理办法》</w:t>
            </w:r>
          </w:p>
          <w:p>
            <w:pPr>
              <w:pStyle w:val="8"/>
              <w:spacing w:line="267" w:lineRule="exact"/>
              <w:ind w:left="528"/>
              <w:rPr>
                <w:sz w:val="21"/>
              </w:rPr>
            </w:pPr>
            <w:r>
              <w:rPr>
                <w:sz w:val="21"/>
              </w:rPr>
              <w:t>第十七条 存在下列情形之一的，不得公开发行公司债券：</w:t>
            </w:r>
          </w:p>
          <w:p>
            <w:pPr>
              <w:pStyle w:val="8"/>
              <w:spacing w:before="3"/>
              <w:ind w:left="528"/>
              <w:rPr>
                <w:sz w:val="21"/>
              </w:rPr>
            </w:pPr>
            <w:r>
              <w:rPr>
                <w:sz w:val="21"/>
              </w:rPr>
              <w:t>（一）最近三十六个月内公司财务会计存在虚假记载，或公司存在其他重大违法行为；</w:t>
            </w:r>
          </w:p>
          <w:p>
            <w:pPr>
              <w:pStyle w:val="8"/>
              <w:spacing w:before="2" w:line="252" w:lineRule="exact"/>
              <w:ind w:left="528"/>
              <w:rPr>
                <w:sz w:val="21"/>
              </w:rPr>
            </w:pPr>
            <w:r>
              <w:rPr>
                <w:sz w:val="21"/>
              </w:rPr>
              <w:t>（四）严重损害投资者合法权益和社会公共利益的其他情形。</w:t>
            </w:r>
          </w:p>
        </w:tc>
        <w:tc>
          <w:tcPr>
            <w:tcW w:w="208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5" w:hRule="atLeast"/>
        </w:trPr>
        <w:tc>
          <w:tcPr>
            <w:tcW w:w="1626"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2"/>
              <w:rPr>
                <w:rFonts w:ascii="Times New Roman"/>
                <w:sz w:val="22"/>
              </w:rPr>
            </w:pPr>
          </w:p>
          <w:p>
            <w:pPr>
              <w:pStyle w:val="8"/>
              <w:spacing w:line="242" w:lineRule="auto"/>
              <w:ind w:left="106" w:right="38"/>
              <w:jc w:val="both"/>
              <w:rPr>
                <w:sz w:val="21"/>
              </w:rPr>
            </w:pPr>
            <w:r>
              <w:rPr>
                <w:sz w:val="21"/>
              </w:rPr>
              <w:t>9.在股票、可转换债券发行审核及在全国中小企业股份转让系统挂牌公开转让审核中，将失信信息作为参考。</w:t>
            </w:r>
          </w:p>
        </w:tc>
        <w:tc>
          <w:tcPr>
            <w:tcW w:w="10220" w:type="dxa"/>
          </w:tcPr>
          <w:p>
            <w:pPr>
              <w:pStyle w:val="8"/>
              <w:ind w:left="528"/>
              <w:rPr>
                <w:b/>
                <w:sz w:val="21"/>
              </w:rPr>
            </w:pPr>
            <w:r>
              <w:rPr>
                <w:b/>
                <w:spacing w:val="1"/>
                <w:w w:val="98"/>
                <w:sz w:val="21"/>
              </w:rPr>
              <w:t>1</w:t>
            </w:r>
            <w:r>
              <w:rPr>
                <w:b/>
                <w:spacing w:val="-18"/>
                <w:w w:val="99"/>
                <w:sz w:val="21"/>
              </w:rPr>
              <w:t>．《证券法》</w:t>
            </w:r>
          </w:p>
          <w:p>
            <w:pPr>
              <w:pStyle w:val="8"/>
              <w:spacing w:before="3"/>
              <w:ind w:left="528"/>
              <w:rPr>
                <w:sz w:val="21"/>
              </w:rPr>
            </w:pPr>
            <w:r>
              <w:rPr>
                <w:sz w:val="21"/>
              </w:rPr>
              <w:t>第十三条 公司公开发行新股，应当符合下列条件</w:t>
            </w:r>
          </w:p>
          <w:p>
            <w:pPr>
              <w:pStyle w:val="8"/>
              <w:spacing w:before="4" w:line="242" w:lineRule="auto"/>
              <w:ind w:left="528" w:right="3802"/>
              <w:rPr>
                <w:sz w:val="21"/>
              </w:rPr>
            </w:pPr>
            <w:r>
              <w:rPr>
                <w:w w:val="95"/>
                <w:sz w:val="21"/>
              </w:rPr>
              <w:t>(三)最近三年财务会计文件无虚假记载，无其他重大违法行为。</w:t>
            </w:r>
            <w:r>
              <w:rPr>
                <w:b/>
                <w:spacing w:val="1"/>
                <w:w w:val="98"/>
                <w:sz w:val="21"/>
              </w:rPr>
              <w:t>2</w:t>
            </w:r>
            <w:r>
              <w:rPr>
                <w:b/>
                <w:spacing w:val="-104"/>
                <w:w w:val="99"/>
                <w:sz w:val="21"/>
              </w:rPr>
              <w:t>．</w:t>
            </w:r>
            <w:r>
              <w:rPr>
                <w:b/>
                <w:spacing w:val="-1"/>
                <w:w w:val="99"/>
                <w:sz w:val="21"/>
              </w:rPr>
              <w:t>《首次公开发行股票并上市管理办法》</w:t>
            </w:r>
            <w:r>
              <w:rPr>
                <w:b/>
                <w:spacing w:val="1"/>
                <w:w w:val="98"/>
                <w:sz w:val="21"/>
              </w:rPr>
              <w:t>(</w:t>
            </w:r>
            <w:r>
              <w:rPr>
                <w:b/>
                <w:w w:val="99"/>
                <w:sz w:val="21"/>
              </w:rPr>
              <w:t>证监会令第</w:t>
            </w:r>
            <w:r>
              <w:rPr>
                <w:b/>
                <w:spacing w:val="-51"/>
                <w:sz w:val="21"/>
              </w:rPr>
              <w:t xml:space="preserve"> </w:t>
            </w:r>
            <w:r>
              <w:rPr>
                <w:rFonts w:hint="eastAsia" w:ascii="仿宋" w:eastAsia="仿宋"/>
                <w:b/>
                <w:spacing w:val="3"/>
                <w:w w:val="98"/>
                <w:sz w:val="21"/>
              </w:rPr>
              <w:t>1</w:t>
            </w:r>
            <w:r>
              <w:rPr>
                <w:rFonts w:hint="eastAsia" w:ascii="仿宋" w:eastAsia="仿宋"/>
                <w:b/>
                <w:spacing w:val="1"/>
                <w:w w:val="98"/>
                <w:sz w:val="21"/>
              </w:rPr>
              <w:t>2</w:t>
            </w:r>
            <w:r>
              <w:rPr>
                <w:rFonts w:hint="eastAsia" w:ascii="仿宋" w:eastAsia="仿宋"/>
                <w:b/>
                <w:w w:val="98"/>
                <w:sz w:val="21"/>
              </w:rPr>
              <w:t>2</w:t>
            </w:r>
            <w:r>
              <w:rPr>
                <w:rFonts w:hint="eastAsia" w:ascii="仿宋" w:eastAsia="仿宋"/>
                <w:b/>
                <w:spacing w:val="-55"/>
                <w:sz w:val="21"/>
              </w:rPr>
              <w:t xml:space="preserve"> </w:t>
            </w:r>
            <w:r>
              <w:rPr>
                <w:b/>
                <w:spacing w:val="2"/>
                <w:w w:val="99"/>
                <w:sz w:val="21"/>
              </w:rPr>
              <w:t>号</w:t>
            </w:r>
            <w:r>
              <w:rPr>
                <w:b/>
                <w:w w:val="98"/>
                <w:sz w:val="21"/>
              </w:rPr>
              <w:t>)</w:t>
            </w:r>
            <w:r>
              <w:rPr>
                <w:sz w:val="21"/>
              </w:rPr>
              <w:t>第十八条 发行人不得有下列情形：</w:t>
            </w:r>
          </w:p>
          <w:p>
            <w:pPr>
              <w:pStyle w:val="8"/>
              <w:spacing w:before="1" w:line="244" w:lineRule="auto"/>
              <w:ind w:left="108" w:right="19" w:firstLine="420"/>
              <w:rPr>
                <w:sz w:val="21"/>
              </w:rPr>
            </w:pPr>
            <w:r>
              <w:rPr>
                <w:sz w:val="21"/>
              </w:rPr>
              <w:t xml:space="preserve">(二)最近 </w:t>
            </w:r>
            <w:r>
              <w:rPr>
                <w:rFonts w:hint="eastAsia" w:ascii="仿宋" w:eastAsia="仿宋"/>
                <w:sz w:val="21"/>
              </w:rPr>
              <w:t xml:space="preserve">36 </w:t>
            </w:r>
            <w:r>
              <w:rPr>
                <w:sz w:val="21"/>
              </w:rPr>
              <w:t>个月内违反工商、税收、土地、环保、海关以及其他法律、行政法规，受到行政处罚，且情节严重；</w:t>
            </w:r>
          </w:p>
          <w:p>
            <w:pPr>
              <w:pStyle w:val="8"/>
              <w:spacing w:line="265" w:lineRule="exact"/>
              <w:ind w:left="528"/>
              <w:rPr>
                <w:sz w:val="21"/>
              </w:rPr>
            </w:pPr>
            <w:r>
              <w:rPr>
                <w:sz w:val="21"/>
              </w:rPr>
              <w:t>(六)严重损害投资者合法权益和社会公共利益的其他情形。</w:t>
            </w:r>
          </w:p>
          <w:p>
            <w:pPr>
              <w:pStyle w:val="8"/>
              <w:numPr>
                <w:ilvl w:val="0"/>
                <w:numId w:val="12"/>
              </w:numPr>
              <w:tabs>
                <w:tab w:val="left" w:pos="844"/>
              </w:tabs>
              <w:spacing w:before="4" w:after="0" w:line="240" w:lineRule="auto"/>
              <w:ind w:left="843" w:right="0" w:hanging="316"/>
              <w:jc w:val="left"/>
              <w:rPr>
                <w:rFonts w:hint="eastAsia" w:ascii="仿宋" w:eastAsia="仿宋"/>
                <w:b/>
                <w:sz w:val="21"/>
              </w:rPr>
            </w:pPr>
            <w:r>
              <w:rPr>
                <w:b/>
                <w:sz w:val="21"/>
              </w:rPr>
              <w:t>《首次公开发行股票并在创业板上市管理办法》</w:t>
            </w:r>
            <w:r>
              <w:rPr>
                <w:rFonts w:hint="eastAsia" w:ascii="仿宋" w:eastAsia="仿宋"/>
                <w:b/>
                <w:sz w:val="21"/>
              </w:rPr>
              <w:t>(</w:t>
            </w:r>
            <w:r>
              <w:rPr>
                <w:b/>
                <w:spacing w:val="-9"/>
                <w:sz w:val="21"/>
              </w:rPr>
              <w:t xml:space="preserve">证监会令第 </w:t>
            </w:r>
            <w:r>
              <w:rPr>
                <w:rFonts w:hint="eastAsia" w:ascii="仿宋" w:eastAsia="仿宋"/>
                <w:b/>
                <w:sz w:val="21"/>
              </w:rPr>
              <w:t>123</w:t>
            </w:r>
            <w:r>
              <w:rPr>
                <w:rFonts w:hint="eastAsia" w:ascii="仿宋" w:eastAsia="仿宋"/>
                <w:b/>
                <w:spacing w:val="-55"/>
                <w:sz w:val="21"/>
              </w:rPr>
              <w:t xml:space="preserve"> </w:t>
            </w:r>
            <w:r>
              <w:rPr>
                <w:b/>
                <w:sz w:val="21"/>
              </w:rPr>
              <w:t>号</w:t>
            </w:r>
            <w:r>
              <w:rPr>
                <w:rFonts w:hint="eastAsia" w:ascii="仿宋" w:eastAsia="仿宋"/>
                <w:b/>
                <w:sz w:val="21"/>
              </w:rPr>
              <w:t>)</w:t>
            </w:r>
          </w:p>
          <w:p>
            <w:pPr>
              <w:pStyle w:val="8"/>
              <w:spacing w:before="3" w:line="244" w:lineRule="auto"/>
              <w:ind w:left="108" w:right="96" w:firstLine="420"/>
              <w:rPr>
                <w:sz w:val="21"/>
              </w:rPr>
            </w:pPr>
            <w:r>
              <w:rPr>
                <w:sz w:val="21"/>
              </w:rPr>
              <w:t>第二十条 发行人及其控股股东、实际控制人最近三年内不存在损害投资者合法权益和社会公共利益的重大违法行为。</w:t>
            </w:r>
          </w:p>
          <w:p>
            <w:pPr>
              <w:pStyle w:val="8"/>
              <w:numPr>
                <w:ilvl w:val="0"/>
                <w:numId w:val="12"/>
              </w:numPr>
              <w:tabs>
                <w:tab w:val="left" w:pos="844"/>
              </w:tabs>
              <w:spacing w:before="0" w:after="0" w:line="265" w:lineRule="exact"/>
              <w:ind w:left="843" w:right="0" w:hanging="316"/>
              <w:jc w:val="left"/>
              <w:rPr>
                <w:rFonts w:hint="eastAsia" w:ascii="仿宋" w:eastAsia="仿宋"/>
                <w:b/>
                <w:sz w:val="21"/>
              </w:rPr>
            </w:pPr>
            <w:r>
              <w:rPr>
                <w:b/>
                <w:sz w:val="21"/>
              </w:rPr>
              <w:t>《上市公司证券发行管理办法》</w:t>
            </w:r>
            <w:r>
              <w:rPr>
                <w:rFonts w:hint="eastAsia" w:ascii="仿宋" w:eastAsia="仿宋"/>
                <w:b/>
                <w:sz w:val="21"/>
              </w:rPr>
              <w:t>(</w:t>
            </w:r>
            <w:r>
              <w:rPr>
                <w:b/>
                <w:spacing w:val="-9"/>
                <w:sz w:val="21"/>
              </w:rPr>
              <w:t xml:space="preserve">证监会令第 </w:t>
            </w:r>
            <w:r>
              <w:rPr>
                <w:rFonts w:hint="eastAsia" w:ascii="仿宋" w:eastAsia="仿宋"/>
                <w:b/>
                <w:sz w:val="21"/>
              </w:rPr>
              <w:t>30</w:t>
            </w:r>
            <w:r>
              <w:rPr>
                <w:rFonts w:hint="eastAsia" w:ascii="仿宋" w:eastAsia="仿宋"/>
                <w:b/>
                <w:spacing w:val="-52"/>
                <w:sz w:val="21"/>
              </w:rPr>
              <w:t xml:space="preserve"> </w:t>
            </w:r>
            <w:r>
              <w:rPr>
                <w:b/>
                <w:sz w:val="21"/>
              </w:rPr>
              <w:t>号</w:t>
            </w:r>
            <w:r>
              <w:rPr>
                <w:rFonts w:hint="eastAsia" w:ascii="仿宋" w:eastAsia="仿宋"/>
                <w:b/>
                <w:sz w:val="21"/>
              </w:rPr>
              <w:t>)</w:t>
            </w:r>
          </w:p>
          <w:p>
            <w:pPr>
              <w:pStyle w:val="8"/>
              <w:spacing w:before="4" w:line="242" w:lineRule="auto"/>
              <w:ind w:left="528" w:right="1176"/>
              <w:rPr>
                <w:sz w:val="21"/>
              </w:rPr>
            </w:pPr>
            <w:r>
              <w:rPr>
                <w:spacing w:val="-4"/>
                <w:sz w:val="21"/>
              </w:rPr>
              <w:t xml:space="preserve">第九条 上市公司最近三十六个月内财务会计文件无虚假记载，且不存在下列重大违法行为： </w:t>
            </w:r>
            <w:r>
              <w:rPr>
                <w:b/>
                <w:spacing w:val="-2"/>
                <w:sz w:val="21"/>
              </w:rPr>
              <w:t>(三)</w:t>
            </w:r>
            <w:r>
              <w:rPr>
                <w:sz w:val="21"/>
              </w:rPr>
              <w:t>违反国家其他法律、行政法规且情节严重的行为。</w:t>
            </w:r>
          </w:p>
          <w:p>
            <w:pPr>
              <w:numPr>
                <w:ilvl w:val="0"/>
                <w:numId w:val="12"/>
              </w:numPr>
              <w:bidi w:val="0"/>
              <w:rPr>
                <w:sz w:val="21"/>
              </w:rPr>
            </w:pPr>
            <w:r>
              <w:rPr>
                <w:b/>
                <w:sz w:val="21"/>
              </w:rPr>
              <w:t>《创业板上市公司证券发行管理暂行办法》</w:t>
            </w:r>
            <w:r>
              <w:rPr>
                <w:rFonts w:hint="eastAsia" w:ascii="仿宋" w:eastAsia="仿宋"/>
                <w:b/>
                <w:spacing w:val="3"/>
                <w:sz w:val="21"/>
              </w:rPr>
              <w:t>(</w:t>
            </w:r>
            <w:r>
              <w:rPr>
                <w:b/>
                <w:spacing w:val="-10"/>
                <w:sz w:val="21"/>
              </w:rPr>
              <w:t xml:space="preserve">证监会令第 </w:t>
            </w:r>
            <w:r>
              <w:rPr>
                <w:rFonts w:hint="eastAsia" w:ascii="仿宋" w:eastAsia="仿宋"/>
                <w:b/>
                <w:sz w:val="21"/>
              </w:rPr>
              <w:t>100</w:t>
            </w:r>
            <w:r>
              <w:rPr>
                <w:rFonts w:hint="eastAsia" w:ascii="仿宋" w:eastAsia="仿宋"/>
                <w:b/>
                <w:spacing w:val="-61"/>
                <w:sz w:val="21"/>
              </w:rPr>
              <w:t xml:space="preserve"> </w:t>
            </w:r>
            <w:r>
              <w:rPr>
                <w:b/>
                <w:sz w:val="21"/>
              </w:rPr>
              <w:t>号</w:t>
            </w:r>
            <w:r>
              <w:rPr>
                <w:rFonts w:hint="eastAsia" w:ascii="仿宋" w:eastAsia="仿宋"/>
                <w:b/>
                <w:sz w:val="21"/>
              </w:rPr>
              <w:t>)</w:t>
            </w:r>
            <w:r>
              <w:rPr>
                <w:spacing w:val="-1"/>
                <w:sz w:val="21"/>
              </w:rPr>
              <w:t>第十条 上市公司存在下列情形之</w:t>
            </w:r>
            <w:r>
              <w:rPr>
                <w:rFonts w:hint="eastAsia"/>
                <w:spacing w:val="-1"/>
                <w:sz w:val="21"/>
                <w:lang w:eastAsia="zh-CN"/>
              </w:rPr>
              <w:t>一</w:t>
            </w:r>
            <w:r>
              <w:rPr>
                <w:spacing w:val="-1"/>
                <w:sz w:val="21"/>
              </w:rPr>
              <w:t>的，不得发行证券：</w:t>
            </w:r>
          </w:p>
          <w:p>
            <w:pPr>
              <w:pStyle w:val="8"/>
              <w:spacing w:line="242" w:lineRule="auto"/>
              <w:ind w:left="108" w:right="22" w:firstLine="420"/>
              <w:rPr>
                <w:sz w:val="21"/>
              </w:rPr>
            </w:pPr>
            <w:r>
              <w:rPr>
                <w:b/>
                <w:sz w:val="21"/>
              </w:rPr>
              <w:t>(三)</w:t>
            </w:r>
            <w:r>
              <w:rPr>
                <w:spacing w:val="-5"/>
                <w:sz w:val="21"/>
              </w:rPr>
              <w:t>最近三十六个月内因违反法律、行政法规、规章受到行政处罚且情节严重、或者受到刑事处罚，或者</w:t>
            </w:r>
            <w:r>
              <w:rPr>
                <w:spacing w:val="-5"/>
                <w:w w:val="95"/>
                <w:sz w:val="21"/>
              </w:rPr>
              <w:t>因违反证券法律、行政法规、规章受到中国证监会的行政处罚；最近十二个月内受到证券交易所的公开谴责；</w:t>
            </w:r>
            <w:r>
              <w:rPr>
                <w:spacing w:val="-5"/>
                <w:sz w:val="21"/>
              </w:rPr>
              <w:t>因涉嫌犯罪被司法机关立案侦查或者涉嫌违法违规被中国证监会立案调查；</w:t>
            </w:r>
          </w:p>
          <w:p>
            <w:pPr>
              <w:pStyle w:val="8"/>
              <w:spacing w:line="250" w:lineRule="exact"/>
              <w:ind w:left="528"/>
              <w:rPr>
                <w:sz w:val="21"/>
              </w:rPr>
            </w:pPr>
            <w:r>
              <w:rPr>
                <w:sz w:val="21"/>
              </w:rPr>
              <w:t>(六)严重损害投资者的合法权益和社会公共利益的其他情形。</w:t>
            </w:r>
          </w:p>
        </w:tc>
        <w:tc>
          <w:tcPr>
            <w:tcW w:w="2081"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5"/>
              </w:rPr>
            </w:pPr>
          </w:p>
          <w:p>
            <w:pPr>
              <w:pStyle w:val="8"/>
              <w:ind w:left="107"/>
              <w:rPr>
                <w:sz w:val="21"/>
              </w:rPr>
            </w:pPr>
            <w:r>
              <w:rPr>
                <w:sz w:val="21"/>
              </w:rPr>
              <w:t>证监会</w:t>
            </w:r>
          </w:p>
        </w:tc>
      </w:tr>
    </w:tbl>
    <w:p>
      <w:pPr>
        <w:spacing w:after="0"/>
        <w:rPr>
          <w:sz w:val="21"/>
        </w:rPr>
        <w:sectPr>
          <w:footerReference r:id="rId6" w:type="default"/>
          <w:pgSz w:w="16840" w:h="11910" w:orient="landscape"/>
          <w:pgMar w:top="1100" w:right="1280" w:bottom="1380" w:left="1400" w:header="0" w:footer="1200" w:gutter="0"/>
          <w:pgNumType w:start="2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626" w:type="dxa"/>
          </w:tcPr>
          <w:p>
            <w:pPr>
              <w:pStyle w:val="8"/>
              <w:rPr>
                <w:rFonts w:ascii="Times New Roman"/>
                <w:sz w:val="20"/>
              </w:rPr>
            </w:pPr>
          </w:p>
        </w:tc>
        <w:tc>
          <w:tcPr>
            <w:tcW w:w="10220" w:type="dxa"/>
          </w:tcPr>
          <w:p>
            <w:pPr>
              <w:pStyle w:val="8"/>
              <w:spacing w:before="1"/>
              <w:ind w:left="528"/>
              <w:rPr>
                <w:rFonts w:hint="eastAsia" w:ascii="仿宋" w:eastAsia="仿宋"/>
                <w:b/>
                <w:sz w:val="21"/>
              </w:rPr>
            </w:pPr>
            <w:r>
              <w:rPr>
                <w:b/>
                <w:sz w:val="21"/>
              </w:rPr>
              <w:t>6</w:t>
            </w:r>
            <w:r>
              <w:rPr>
                <w:b/>
                <w:spacing w:val="-7"/>
                <w:sz w:val="21"/>
              </w:rPr>
              <w:t>.《非上市公众公司监督管理办法》</w:t>
            </w:r>
            <w:r>
              <w:rPr>
                <w:b/>
                <w:sz w:val="21"/>
              </w:rPr>
              <w:t>（</w:t>
            </w:r>
            <w:r>
              <w:rPr>
                <w:b/>
                <w:spacing w:val="-9"/>
                <w:sz w:val="21"/>
              </w:rPr>
              <w:t xml:space="preserve">证监会令第 </w:t>
            </w:r>
            <w:r>
              <w:rPr>
                <w:rFonts w:hint="eastAsia" w:ascii="仿宋" w:eastAsia="仿宋"/>
                <w:b/>
                <w:sz w:val="21"/>
              </w:rPr>
              <w:t>96</w:t>
            </w:r>
            <w:r>
              <w:rPr>
                <w:rFonts w:hint="eastAsia" w:ascii="仿宋" w:eastAsia="仿宋"/>
                <w:b/>
                <w:spacing w:val="-52"/>
                <w:sz w:val="21"/>
              </w:rPr>
              <w:t xml:space="preserve"> </w:t>
            </w:r>
            <w:r>
              <w:rPr>
                <w:b/>
                <w:sz w:val="21"/>
              </w:rPr>
              <w:t>号</w:t>
            </w:r>
            <w:r>
              <w:rPr>
                <w:rFonts w:hint="eastAsia" w:ascii="仿宋" w:eastAsia="仿宋"/>
                <w:b/>
                <w:sz w:val="21"/>
              </w:rPr>
              <w:t>)</w:t>
            </w:r>
          </w:p>
          <w:p>
            <w:pPr>
              <w:pStyle w:val="8"/>
              <w:spacing w:before="2" w:line="270" w:lineRule="atLeast"/>
              <w:ind w:left="108" w:right="96" w:firstLine="420"/>
              <w:rPr>
                <w:sz w:val="21"/>
              </w:rPr>
            </w:pPr>
            <w:r>
              <w:rPr>
                <w:sz w:val="21"/>
              </w:rPr>
              <w:t>第三条 公众公司应当按照法律、行政法规、本办法和公司章程的规定，做到股权明晰，合法规范经营， 公司治理机制健全，履行信息披露义务。</w:t>
            </w:r>
          </w:p>
        </w:tc>
        <w:tc>
          <w:tcPr>
            <w:tcW w:w="208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5" w:hRule="atLeast"/>
        </w:trPr>
        <w:tc>
          <w:tcPr>
            <w:tcW w:w="1626" w:type="dxa"/>
          </w:tcPr>
          <w:p>
            <w:pPr>
              <w:pStyle w:val="8"/>
              <w:spacing w:before="137" w:line="242" w:lineRule="auto"/>
              <w:ind w:left="106" w:right="38"/>
              <w:jc w:val="both"/>
              <w:rPr>
                <w:sz w:val="21"/>
              </w:rPr>
            </w:pPr>
            <w:r>
              <w:rPr>
                <w:sz w:val="21"/>
              </w:rPr>
              <w:t>10.对存在失信记录的相关主体在证券、基金、期货从业资格申请中予以从严审核，对已成为证券、基金、期货从业人员的相关主体予以重点关注。</w:t>
            </w:r>
          </w:p>
        </w:tc>
        <w:tc>
          <w:tcPr>
            <w:tcW w:w="10220" w:type="dxa"/>
          </w:tcPr>
          <w:p>
            <w:pPr>
              <w:pStyle w:val="8"/>
              <w:numPr>
                <w:ilvl w:val="0"/>
                <w:numId w:val="13"/>
              </w:numPr>
              <w:tabs>
                <w:tab w:val="left" w:pos="740"/>
              </w:tabs>
              <w:spacing w:before="0" w:after="0" w:line="240" w:lineRule="auto"/>
              <w:ind w:left="739" w:right="0" w:hanging="212"/>
              <w:jc w:val="left"/>
              <w:rPr>
                <w:rFonts w:hint="eastAsia" w:ascii="仿宋" w:eastAsia="仿宋"/>
                <w:b/>
                <w:sz w:val="21"/>
              </w:rPr>
            </w:pPr>
            <w:r>
              <w:rPr>
                <w:b/>
                <w:sz w:val="21"/>
              </w:rPr>
              <w:t>《证券业从业人员资格管理办法》</w:t>
            </w:r>
            <w:r>
              <w:rPr>
                <w:rFonts w:hint="eastAsia" w:ascii="仿宋" w:eastAsia="仿宋"/>
                <w:b/>
                <w:sz w:val="21"/>
              </w:rPr>
              <w:t>(</w:t>
            </w:r>
            <w:r>
              <w:rPr>
                <w:b/>
                <w:spacing w:val="-9"/>
                <w:sz w:val="21"/>
              </w:rPr>
              <w:t xml:space="preserve">证监会令第 </w:t>
            </w:r>
            <w:r>
              <w:rPr>
                <w:rFonts w:hint="eastAsia" w:ascii="仿宋" w:eastAsia="仿宋"/>
                <w:b/>
                <w:sz w:val="21"/>
              </w:rPr>
              <w:t>14</w:t>
            </w:r>
            <w:r>
              <w:rPr>
                <w:rFonts w:hint="eastAsia" w:ascii="仿宋" w:eastAsia="仿宋"/>
                <w:b/>
                <w:spacing w:val="-52"/>
                <w:sz w:val="21"/>
              </w:rPr>
              <w:t xml:space="preserve"> </w:t>
            </w:r>
            <w:r>
              <w:rPr>
                <w:b/>
                <w:sz w:val="21"/>
              </w:rPr>
              <w:t>号</w:t>
            </w:r>
            <w:r>
              <w:rPr>
                <w:rFonts w:hint="eastAsia" w:ascii="仿宋" w:eastAsia="仿宋"/>
                <w:b/>
                <w:sz w:val="21"/>
              </w:rPr>
              <w:t>)</w:t>
            </w:r>
          </w:p>
          <w:p>
            <w:pPr>
              <w:pStyle w:val="8"/>
              <w:spacing w:before="5"/>
              <w:ind w:left="528"/>
              <w:rPr>
                <w:sz w:val="21"/>
              </w:rPr>
            </w:pPr>
            <w:r>
              <w:rPr>
                <w:sz w:val="21"/>
              </w:rPr>
              <w:t>第十条 取得从业资格的人员，符合下列条件的，可以通过机构申请执业证书：</w:t>
            </w:r>
          </w:p>
          <w:p>
            <w:pPr>
              <w:pStyle w:val="8"/>
              <w:spacing w:before="2"/>
              <w:ind w:left="528"/>
              <w:rPr>
                <w:sz w:val="21"/>
              </w:rPr>
            </w:pPr>
            <w:r>
              <w:rPr>
                <w:rFonts w:hint="eastAsia" w:ascii="仿宋" w:eastAsia="仿宋"/>
                <w:sz w:val="21"/>
              </w:rPr>
              <w:t>(</w:t>
            </w:r>
            <w:r>
              <w:rPr>
                <w:sz w:val="21"/>
              </w:rPr>
              <w:t>五</w:t>
            </w:r>
            <w:r>
              <w:rPr>
                <w:rFonts w:hint="eastAsia" w:ascii="仿宋" w:eastAsia="仿宋"/>
                <w:sz w:val="21"/>
              </w:rPr>
              <w:t>)</w:t>
            </w:r>
            <w:r>
              <w:rPr>
                <w:sz w:val="21"/>
              </w:rPr>
              <w:t>品行端正，具有良好的职业道德。</w:t>
            </w:r>
          </w:p>
          <w:p>
            <w:pPr>
              <w:pStyle w:val="8"/>
              <w:numPr>
                <w:ilvl w:val="0"/>
                <w:numId w:val="13"/>
              </w:numPr>
              <w:tabs>
                <w:tab w:val="left" w:pos="740"/>
              </w:tabs>
              <w:spacing w:before="4" w:after="0" w:line="240" w:lineRule="auto"/>
              <w:ind w:left="739" w:right="0" w:hanging="212"/>
              <w:jc w:val="left"/>
              <w:rPr>
                <w:rFonts w:hint="eastAsia" w:ascii="仿宋" w:eastAsia="仿宋"/>
                <w:b/>
                <w:sz w:val="21"/>
              </w:rPr>
            </w:pPr>
            <w:r>
              <w:rPr>
                <w:b/>
                <w:sz w:val="21"/>
              </w:rPr>
              <w:t>《期货从业人员管理办法》</w:t>
            </w:r>
            <w:r>
              <w:rPr>
                <w:rFonts w:hint="eastAsia" w:ascii="仿宋" w:eastAsia="仿宋"/>
                <w:b/>
                <w:sz w:val="21"/>
              </w:rPr>
              <w:t>(</w:t>
            </w:r>
            <w:r>
              <w:rPr>
                <w:b/>
                <w:spacing w:val="-9"/>
                <w:sz w:val="21"/>
              </w:rPr>
              <w:t xml:space="preserve">证监会令第 </w:t>
            </w:r>
            <w:r>
              <w:rPr>
                <w:rFonts w:hint="eastAsia" w:ascii="仿宋" w:eastAsia="仿宋"/>
                <w:b/>
                <w:sz w:val="21"/>
              </w:rPr>
              <w:t>48</w:t>
            </w:r>
            <w:r>
              <w:rPr>
                <w:rFonts w:hint="eastAsia" w:ascii="仿宋" w:eastAsia="仿宋"/>
                <w:b/>
                <w:spacing w:val="-55"/>
                <w:sz w:val="21"/>
              </w:rPr>
              <w:t xml:space="preserve"> </w:t>
            </w:r>
            <w:r>
              <w:rPr>
                <w:b/>
                <w:sz w:val="21"/>
              </w:rPr>
              <w:t>号</w:t>
            </w:r>
            <w:r>
              <w:rPr>
                <w:rFonts w:hint="eastAsia" w:ascii="仿宋" w:eastAsia="仿宋"/>
                <w:b/>
                <w:sz w:val="21"/>
              </w:rPr>
              <w:t>)</w:t>
            </w:r>
          </w:p>
          <w:p>
            <w:pPr>
              <w:pStyle w:val="8"/>
              <w:spacing w:before="2" w:line="242" w:lineRule="auto"/>
              <w:ind w:left="108" w:right="96" w:firstLine="420"/>
              <w:rPr>
                <w:sz w:val="21"/>
              </w:rPr>
            </w:pPr>
            <w:r>
              <w:rPr>
                <w:sz w:val="21"/>
              </w:rPr>
              <w:t>第十条 机构任用具有从业资格考试合格证明且符合下列条件的人员从事期货业务的，应当为其办理从业资格申请。</w:t>
            </w:r>
          </w:p>
          <w:p>
            <w:pPr>
              <w:pStyle w:val="8"/>
              <w:spacing w:before="2"/>
              <w:ind w:left="528"/>
              <w:rPr>
                <w:sz w:val="21"/>
              </w:rPr>
            </w:pPr>
            <w:r>
              <w:rPr>
                <w:rFonts w:hint="eastAsia" w:ascii="仿宋" w:eastAsia="仿宋"/>
                <w:sz w:val="21"/>
              </w:rPr>
              <w:t>(</w:t>
            </w:r>
            <w:r>
              <w:rPr>
                <w:sz w:val="21"/>
              </w:rPr>
              <w:t>一</w:t>
            </w:r>
            <w:r>
              <w:rPr>
                <w:rFonts w:hint="eastAsia" w:ascii="仿宋" w:eastAsia="仿宋"/>
                <w:sz w:val="21"/>
              </w:rPr>
              <w:t>)</w:t>
            </w:r>
            <w:r>
              <w:rPr>
                <w:sz w:val="21"/>
              </w:rPr>
              <w:t>品行端正，具有良好的职业道德。</w:t>
            </w:r>
          </w:p>
          <w:p>
            <w:pPr>
              <w:pStyle w:val="8"/>
              <w:numPr>
                <w:ilvl w:val="0"/>
                <w:numId w:val="13"/>
              </w:numPr>
              <w:tabs>
                <w:tab w:val="left" w:pos="740"/>
              </w:tabs>
              <w:spacing w:before="2" w:after="0" w:line="240" w:lineRule="auto"/>
              <w:ind w:left="739" w:right="0" w:hanging="212"/>
              <w:jc w:val="left"/>
              <w:rPr>
                <w:rFonts w:hint="eastAsia" w:ascii="仿宋" w:eastAsia="仿宋"/>
                <w:b/>
                <w:sz w:val="21"/>
              </w:rPr>
            </w:pPr>
            <w:r>
              <w:rPr>
                <w:b/>
                <w:sz w:val="21"/>
              </w:rPr>
              <w:t>《私募投资基金监督管理暂行办法》</w:t>
            </w:r>
            <w:r>
              <w:rPr>
                <w:rFonts w:hint="eastAsia" w:ascii="仿宋" w:eastAsia="仿宋"/>
                <w:b/>
                <w:sz w:val="21"/>
              </w:rPr>
              <w:t>(</w:t>
            </w:r>
            <w:r>
              <w:rPr>
                <w:b/>
                <w:spacing w:val="-9"/>
                <w:sz w:val="21"/>
              </w:rPr>
              <w:t xml:space="preserve">证监会令第 </w:t>
            </w:r>
            <w:r>
              <w:rPr>
                <w:rFonts w:hint="eastAsia" w:ascii="仿宋" w:eastAsia="仿宋"/>
                <w:b/>
                <w:sz w:val="21"/>
              </w:rPr>
              <w:t>105</w:t>
            </w:r>
            <w:r>
              <w:rPr>
                <w:rFonts w:hint="eastAsia" w:ascii="仿宋" w:eastAsia="仿宋"/>
                <w:b/>
                <w:spacing w:val="-52"/>
                <w:sz w:val="21"/>
              </w:rPr>
              <w:t xml:space="preserve"> </w:t>
            </w:r>
            <w:r>
              <w:rPr>
                <w:b/>
                <w:sz w:val="21"/>
              </w:rPr>
              <w:t>号</w:t>
            </w:r>
            <w:r>
              <w:rPr>
                <w:rFonts w:hint="eastAsia" w:ascii="仿宋" w:eastAsia="仿宋"/>
                <w:b/>
                <w:sz w:val="21"/>
              </w:rPr>
              <w:t>)</w:t>
            </w:r>
          </w:p>
          <w:p>
            <w:pPr>
              <w:pStyle w:val="8"/>
              <w:spacing w:before="4"/>
              <w:ind w:left="108" w:firstLine="420"/>
              <w:rPr>
                <w:sz w:val="21"/>
              </w:rPr>
            </w:pPr>
            <w:r>
              <w:rPr>
                <w:sz w:val="21"/>
              </w:rPr>
              <w:t>第四条 私募基金管理人和从事私募基金托管业务的机构管理、运用私募基金财产，从事私募基金销售业</w:t>
            </w:r>
          </w:p>
          <w:p>
            <w:pPr>
              <w:pStyle w:val="8"/>
              <w:spacing w:before="4" w:line="270" w:lineRule="atLeast"/>
              <w:ind w:left="108" w:right="98"/>
              <w:rPr>
                <w:sz w:val="21"/>
              </w:rPr>
            </w:pPr>
            <w:r>
              <w:rPr>
                <w:spacing w:val="-4"/>
                <w:w w:val="95"/>
                <w:sz w:val="21"/>
              </w:rPr>
              <w:t>务的机构及其他私募服务机构从事私募基金服务活动，应当恪尽职守，履行诚实信用、谨慎勤勉的义务。私募</w:t>
            </w:r>
            <w:r>
              <w:rPr>
                <w:spacing w:val="-4"/>
                <w:sz w:val="21"/>
              </w:rPr>
              <w:t>基金从业人员应当遵守法律、行政法规，恪守职业道德和行为规范。</w:t>
            </w:r>
          </w:p>
        </w:tc>
        <w:tc>
          <w:tcPr>
            <w:tcW w:w="2081"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4"/>
              <w:rPr>
                <w:rFonts w:ascii="Times New Roman"/>
                <w:sz w:val="18"/>
              </w:rPr>
            </w:pPr>
          </w:p>
          <w:p>
            <w:pPr>
              <w:pStyle w:val="8"/>
              <w:ind w:left="107"/>
              <w:rPr>
                <w:sz w:val="21"/>
              </w:rPr>
            </w:pPr>
            <w:r>
              <w:rPr>
                <w:sz w:val="21"/>
              </w:rPr>
              <w:t>证监会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1626" w:type="dxa"/>
          </w:tcPr>
          <w:p>
            <w:pPr>
              <w:pStyle w:val="8"/>
              <w:spacing w:before="136" w:line="242" w:lineRule="auto"/>
              <w:ind w:left="106" w:right="98"/>
              <w:jc w:val="both"/>
              <w:rPr>
                <w:sz w:val="21"/>
              </w:rPr>
            </w:pPr>
            <w:r>
              <w:rPr>
                <w:sz w:val="21"/>
              </w:rPr>
              <w:t>11.将失信信息作为非上市公众公司重大资产重组审核的参考。</w:t>
            </w:r>
          </w:p>
        </w:tc>
        <w:tc>
          <w:tcPr>
            <w:tcW w:w="10220" w:type="dxa"/>
          </w:tcPr>
          <w:p>
            <w:pPr>
              <w:pStyle w:val="8"/>
              <w:spacing w:line="268" w:lineRule="exact"/>
              <w:ind w:left="528"/>
              <w:rPr>
                <w:rFonts w:hint="eastAsia" w:ascii="仿宋" w:eastAsia="仿宋"/>
                <w:b/>
                <w:sz w:val="21"/>
              </w:rPr>
            </w:pPr>
            <w:r>
              <w:rPr>
                <w:b/>
                <w:sz w:val="21"/>
              </w:rPr>
              <w:t>《非上市公众公司重大资产重组管理办法》</w:t>
            </w:r>
            <w:r>
              <w:rPr>
                <w:rFonts w:hint="eastAsia" w:ascii="仿宋" w:eastAsia="仿宋"/>
                <w:b/>
                <w:sz w:val="21"/>
              </w:rPr>
              <w:t>(</w:t>
            </w:r>
            <w:r>
              <w:rPr>
                <w:b/>
                <w:spacing w:val="-9"/>
                <w:sz w:val="21"/>
              </w:rPr>
              <w:t xml:space="preserve">证监会令第 </w:t>
            </w:r>
            <w:r>
              <w:rPr>
                <w:rFonts w:hint="eastAsia" w:ascii="仿宋" w:eastAsia="仿宋"/>
                <w:b/>
                <w:sz w:val="21"/>
              </w:rPr>
              <w:t>103</w:t>
            </w:r>
            <w:r>
              <w:rPr>
                <w:rFonts w:hint="eastAsia" w:ascii="仿宋" w:eastAsia="仿宋"/>
                <w:b/>
                <w:spacing w:val="-55"/>
                <w:sz w:val="21"/>
              </w:rPr>
              <w:t xml:space="preserve"> </w:t>
            </w:r>
            <w:r>
              <w:rPr>
                <w:b/>
                <w:sz w:val="21"/>
              </w:rPr>
              <w:t>号</w:t>
            </w:r>
            <w:r>
              <w:rPr>
                <w:rFonts w:hint="eastAsia" w:ascii="仿宋" w:eastAsia="仿宋"/>
                <w:b/>
                <w:sz w:val="21"/>
              </w:rPr>
              <w:t>)</w:t>
            </w:r>
          </w:p>
          <w:p>
            <w:pPr>
              <w:pStyle w:val="8"/>
              <w:spacing w:before="4" w:line="242" w:lineRule="auto"/>
              <w:ind w:left="108" w:right="96" w:firstLine="420"/>
              <w:rPr>
                <w:sz w:val="21"/>
              </w:rPr>
            </w:pPr>
            <w:r>
              <w:rPr>
                <w:sz w:val="21"/>
              </w:rPr>
              <w:t>第五条 公众公司的董事、监事和高级管理人员在重大资产重组中，应当诚实守信、勤勉尽责，维护公众公司资产的安全，保护公众公司和全体股东的合法权益。</w:t>
            </w:r>
          </w:p>
          <w:p>
            <w:pPr>
              <w:pStyle w:val="8"/>
              <w:spacing w:before="2" w:line="242" w:lineRule="auto"/>
              <w:ind w:left="108" w:right="96" w:firstLine="420"/>
              <w:rPr>
                <w:sz w:val="21"/>
              </w:rPr>
            </w:pPr>
            <w:r>
              <w:rPr>
                <w:sz w:val="21"/>
              </w:rPr>
              <w:t>第二十七条 金国股份转让系统应当督促为公众公司提供服务的独立财务顾问诚实守信、勤勉尽责，发现</w:t>
            </w:r>
            <w:r>
              <w:rPr>
                <w:w w:val="95"/>
                <w:sz w:val="21"/>
              </w:rPr>
              <w:t>独立财务顾问有违反法律、行政法规和中国证监会规定行为的，应当向中国证监会报告，并采取相应的自律监</w:t>
            </w:r>
          </w:p>
          <w:p>
            <w:pPr>
              <w:pStyle w:val="8"/>
              <w:spacing w:line="253" w:lineRule="exact"/>
              <w:ind w:left="108"/>
              <w:rPr>
                <w:sz w:val="21"/>
              </w:rPr>
            </w:pPr>
            <w:r>
              <w:rPr>
                <w:sz w:val="21"/>
              </w:rPr>
              <w:t>管措施。</w:t>
            </w:r>
          </w:p>
        </w:tc>
        <w:tc>
          <w:tcPr>
            <w:tcW w:w="2081" w:type="dxa"/>
          </w:tcPr>
          <w:p>
            <w:pPr>
              <w:pStyle w:val="8"/>
              <w:rPr>
                <w:rFonts w:ascii="Times New Roman"/>
                <w:sz w:val="20"/>
              </w:rPr>
            </w:pPr>
          </w:p>
          <w:p>
            <w:pPr>
              <w:pStyle w:val="8"/>
              <w:rPr>
                <w:rFonts w:ascii="Times New Roman"/>
                <w:sz w:val="20"/>
              </w:rPr>
            </w:pPr>
          </w:p>
          <w:p>
            <w:pPr>
              <w:pStyle w:val="8"/>
              <w:spacing w:before="2"/>
              <w:rPr>
                <w:rFonts w:ascii="Times New Roman"/>
                <w:sz w:val="19"/>
              </w:rPr>
            </w:pPr>
          </w:p>
          <w:p>
            <w:pPr>
              <w:pStyle w:val="8"/>
              <w:ind w:left="107"/>
              <w:rPr>
                <w:sz w:val="21"/>
              </w:rPr>
            </w:pPr>
            <w:r>
              <w:rPr>
                <w:sz w:val="21"/>
              </w:rPr>
              <w:t>证监会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9" w:hRule="atLeast"/>
        </w:trPr>
        <w:tc>
          <w:tcPr>
            <w:tcW w:w="1626" w:type="dxa"/>
          </w:tcPr>
          <w:p>
            <w:pPr>
              <w:pStyle w:val="8"/>
              <w:rPr>
                <w:rFonts w:ascii="Times New Roman"/>
                <w:sz w:val="20"/>
              </w:rPr>
            </w:pPr>
          </w:p>
          <w:p>
            <w:pPr>
              <w:pStyle w:val="8"/>
              <w:rPr>
                <w:rFonts w:ascii="Times New Roman"/>
                <w:sz w:val="20"/>
              </w:rPr>
            </w:pPr>
          </w:p>
          <w:p>
            <w:pPr>
              <w:pStyle w:val="8"/>
              <w:spacing w:before="2"/>
              <w:rPr>
                <w:rFonts w:ascii="Times New Roman"/>
                <w:sz w:val="19"/>
              </w:rPr>
            </w:pPr>
          </w:p>
          <w:p>
            <w:pPr>
              <w:pStyle w:val="8"/>
              <w:spacing w:line="242" w:lineRule="auto"/>
              <w:ind w:left="106" w:right="98"/>
              <w:jc w:val="both"/>
              <w:rPr>
                <w:sz w:val="21"/>
              </w:rPr>
            </w:pPr>
            <w:r>
              <w:rPr>
                <w:sz w:val="21"/>
              </w:rPr>
              <w:t>12.将失信信息作为基金销售资格审批的参考。</w:t>
            </w:r>
          </w:p>
        </w:tc>
        <w:tc>
          <w:tcPr>
            <w:tcW w:w="10220" w:type="dxa"/>
          </w:tcPr>
          <w:p>
            <w:pPr>
              <w:pStyle w:val="8"/>
              <w:spacing w:line="268" w:lineRule="exact"/>
              <w:ind w:left="528"/>
              <w:rPr>
                <w:b/>
                <w:sz w:val="21"/>
              </w:rPr>
            </w:pPr>
            <w:r>
              <w:rPr>
                <w:b/>
                <w:sz w:val="21"/>
              </w:rPr>
              <w:t>《证券投资基金销售管理办法》(证监会令第 91 号)</w:t>
            </w:r>
          </w:p>
          <w:p>
            <w:pPr>
              <w:pStyle w:val="8"/>
              <w:spacing w:before="4" w:line="242" w:lineRule="auto"/>
              <w:ind w:left="528" w:right="336"/>
              <w:rPr>
                <w:sz w:val="21"/>
              </w:rPr>
            </w:pPr>
            <w:r>
              <w:rPr>
                <w:spacing w:val="-4"/>
                <w:sz w:val="21"/>
              </w:rPr>
              <w:t xml:space="preserve">第十条 商业银行申请基金销售业务资格，除具备本办法第九条规定的条件外，还应当具备下列条件： </w:t>
            </w:r>
            <w:r>
              <w:rPr>
                <w:spacing w:val="-13"/>
                <w:sz w:val="21"/>
              </w:rPr>
              <w:t xml:space="preserve">(三)最近 </w:t>
            </w:r>
            <w:r>
              <w:rPr>
                <w:sz w:val="21"/>
              </w:rPr>
              <w:t>3</w:t>
            </w:r>
            <w:r>
              <w:rPr>
                <w:spacing w:val="-8"/>
                <w:sz w:val="21"/>
              </w:rPr>
              <w:t xml:space="preserve"> 年内没有受到重大行政处罚或者刑事处罚。</w:t>
            </w:r>
          </w:p>
          <w:p>
            <w:pPr>
              <w:pStyle w:val="8"/>
              <w:spacing w:before="2" w:line="242" w:lineRule="auto"/>
              <w:ind w:left="528" w:right="96"/>
              <w:rPr>
                <w:sz w:val="21"/>
              </w:rPr>
            </w:pPr>
            <w:r>
              <w:rPr>
                <w:sz w:val="21"/>
              </w:rPr>
              <w:t xml:space="preserve">第十一条 证券公司申请基金销售业务资格，除具备本办法第九条规定的条件外，还应当具备下列条件: </w:t>
            </w:r>
            <w:r>
              <w:rPr>
                <w:spacing w:val="-5"/>
                <w:sz w:val="21"/>
              </w:rPr>
              <w:t xml:space="preserve">(四)没有因违法违规行为正在被监管机构调查或者正处于整改期问，最近 </w:t>
            </w:r>
            <w:r>
              <w:rPr>
                <w:sz w:val="21"/>
              </w:rPr>
              <w:t>3</w:t>
            </w:r>
            <w:r>
              <w:rPr>
                <w:spacing w:val="-8"/>
                <w:sz w:val="21"/>
              </w:rPr>
              <w:t xml:space="preserve"> 年内没有受到重大行政处罚或</w:t>
            </w:r>
          </w:p>
          <w:p>
            <w:pPr>
              <w:pStyle w:val="8"/>
              <w:spacing w:line="268" w:lineRule="exact"/>
              <w:ind w:left="108"/>
              <w:rPr>
                <w:sz w:val="21"/>
              </w:rPr>
            </w:pPr>
            <w:r>
              <w:rPr>
                <w:sz w:val="21"/>
              </w:rPr>
              <w:t>者刑事处罚。</w:t>
            </w:r>
          </w:p>
          <w:p>
            <w:pPr>
              <w:pStyle w:val="8"/>
              <w:spacing w:before="4" w:line="244" w:lineRule="auto"/>
              <w:ind w:left="528" w:right="96"/>
              <w:rPr>
                <w:sz w:val="21"/>
              </w:rPr>
            </w:pPr>
            <w:r>
              <w:rPr>
                <w:sz w:val="21"/>
              </w:rPr>
              <w:t xml:space="preserve">第十二条 期货公司申请基金销售业务资格，除具备本办法第九条规定的条件外，还应当具备下列条件: </w:t>
            </w:r>
            <w:r>
              <w:rPr>
                <w:spacing w:val="-5"/>
                <w:sz w:val="21"/>
              </w:rPr>
              <w:t xml:space="preserve">(四)没有因违法违规行为正在被监管机构调查或者正处于整改期间，最近 </w:t>
            </w:r>
            <w:r>
              <w:rPr>
                <w:sz w:val="21"/>
              </w:rPr>
              <w:t>3</w:t>
            </w:r>
            <w:r>
              <w:rPr>
                <w:spacing w:val="-8"/>
                <w:sz w:val="21"/>
              </w:rPr>
              <w:t xml:space="preserve"> 年内没有受到重大行政处罚或</w:t>
            </w:r>
          </w:p>
          <w:p>
            <w:pPr>
              <w:pStyle w:val="8"/>
              <w:spacing w:line="247" w:lineRule="exact"/>
              <w:ind w:left="108"/>
              <w:rPr>
                <w:sz w:val="21"/>
              </w:rPr>
            </w:pPr>
            <w:r>
              <w:rPr>
                <w:sz w:val="21"/>
              </w:rPr>
              <w:t>者刑事处罚。</w:t>
            </w:r>
          </w:p>
        </w:tc>
        <w:tc>
          <w:tcPr>
            <w:tcW w:w="2081"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69"/>
              <w:ind w:left="107"/>
              <w:rPr>
                <w:sz w:val="21"/>
              </w:rPr>
            </w:pPr>
            <w:r>
              <w:rPr>
                <w:sz w:val="21"/>
              </w:rPr>
              <w:t>证监会</w:t>
            </w:r>
          </w:p>
        </w:tc>
      </w:tr>
    </w:tbl>
    <w:p>
      <w:pPr>
        <w:spacing w:after="0"/>
        <w:rPr>
          <w:sz w:val="21"/>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9" w:hRule="atLeast"/>
        </w:trPr>
        <w:tc>
          <w:tcPr>
            <w:tcW w:w="1626" w:type="dxa"/>
          </w:tcPr>
          <w:p>
            <w:pPr>
              <w:pStyle w:val="8"/>
              <w:rPr>
                <w:rFonts w:ascii="Times New Roman"/>
                <w:sz w:val="20"/>
              </w:rPr>
            </w:pPr>
          </w:p>
        </w:tc>
        <w:tc>
          <w:tcPr>
            <w:tcW w:w="10220" w:type="dxa"/>
          </w:tcPr>
          <w:p>
            <w:pPr>
              <w:pStyle w:val="8"/>
              <w:spacing w:before="1" w:line="242" w:lineRule="auto"/>
              <w:ind w:left="528" w:right="96"/>
              <w:rPr>
                <w:sz w:val="21"/>
              </w:rPr>
            </w:pPr>
            <w:r>
              <w:rPr>
                <w:sz w:val="21"/>
              </w:rPr>
              <w:t xml:space="preserve">第十三条 保险公司申请基金销售业务资格，除具备本办法第九条规定的条件外，还应当具备下列条件: </w:t>
            </w:r>
            <w:r>
              <w:rPr>
                <w:spacing w:val="-5"/>
                <w:sz w:val="21"/>
              </w:rPr>
              <w:t xml:space="preserve">(四)没有因违法违规行为正在被监管机构调查或者正处于整改期间，最近 </w:t>
            </w:r>
            <w:r>
              <w:rPr>
                <w:sz w:val="21"/>
              </w:rPr>
              <w:t>3</w:t>
            </w:r>
            <w:r>
              <w:rPr>
                <w:spacing w:val="-8"/>
                <w:sz w:val="21"/>
              </w:rPr>
              <w:t xml:space="preserve"> 年内没有受到重大行政处罚或</w:t>
            </w:r>
          </w:p>
          <w:p>
            <w:pPr>
              <w:pStyle w:val="8"/>
              <w:spacing w:line="268" w:lineRule="exact"/>
              <w:ind w:left="108"/>
              <w:rPr>
                <w:sz w:val="21"/>
              </w:rPr>
            </w:pPr>
            <w:r>
              <w:rPr>
                <w:sz w:val="21"/>
              </w:rPr>
              <w:t>者刑事处罚。</w:t>
            </w:r>
          </w:p>
          <w:p>
            <w:pPr>
              <w:pStyle w:val="8"/>
              <w:spacing w:before="5" w:line="242" w:lineRule="auto"/>
              <w:ind w:left="108" w:right="98" w:firstLine="420"/>
              <w:rPr>
                <w:sz w:val="21"/>
              </w:rPr>
            </w:pPr>
            <w:r>
              <w:rPr>
                <w:spacing w:val="-3"/>
                <w:w w:val="95"/>
                <w:sz w:val="21"/>
              </w:rPr>
              <w:t>保险经纪公司和保险代理公司申请基金销售业务资格，除具备本办法第九条规定的条件外，还应当具备下</w:t>
            </w:r>
            <w:r>
              <w:rPr>
                <w:spacing w:val="-3"/>
                <w:sz w:val="21"/>
              </w:rPr>
              <w:t>列条件：</w:t>
            </w:r>
          </w:p>
          <w:p>
            <w:pPr>
              <w:pStyle w:val="8"/>
              <w:spacing w:before="1" w:line="244" w:lineRule="auto"/>
              <w:ind w:left="108" w:right="96" w:firstLine="420"/>
              <w:rPr>
                <w:sz w:val="21"/>
              </w:rPr>
            </w:pPr>
            <w:r>
              <w:rPr>
                <w:sz w:val="21"/>
              </w:rPr>
              <w:t>（四</w:t>
            </w:r>
            <w:r>
              <w:rPr>
                <w:spacing w:val="-39"/>
                <w:sz w:val="21"/>
              </w:rPr>
              <w:t>）</w:t>
            </w:r>
            <w:r>
              <w:rPr>
                <w:spacing w:val="-4"/>
                <w:sz w:val="21"/>
              </w:rPr>
              <w:t xml:space="preserve">没有因违法违规行为正在被监管机构调查或者正处于整改期问，最近 </w:t>
            </w:r>
            <w:r>
              <w:rPr>
                <w:sz w:val="21"/>
              </w:rPr>
              <w:t>3</w:t>
            </w:r>
            <w:r>
              <w:rPr>
                <w:spacing w:val="-8"/>
                <w:sz w:val="21"/>
              </w:rPr>
              <w:t xml:space="preserve"> 年内没有受到重大行政处罚或者刑事处罚。</w:t>
            </w:r>
          </w:p>
          <w:p>
            <w:pPr>
              <w:pStyle w:val="8"/>
              <w:spacing w:line="242" w:lineRule="auto"/>
              <w:ind w:left="108" w:right="96" w:firstLine="420"/>
              <w:rPr>
                <w:sz w:val="21"/>
              </w:rPr>
            </w:pPr>
            <w:r>
              <w:rPr>
                <w:sz w:val="21"/>
              </w:rPr>
              <w:t>第十四条 证券投资咨询机构申请基金销售业务资格，除具备本办法第九条规定的条件外，还应当具备下列条件：</w:t>
            </w:r>
          </w:p>
          <w:p>
            <w:pPr>
              <w:pStyle w:val="8"/>
              <w:spacing w:line="242" w:lineRule="auto"/>
              <w:ind w:left="108" w:right="96" w:firstLine="420"/>
              <w:rPr>
                <w:sz w:val="21"/>
              </w:rPr>
            </w:pPr>
            <w:r>
              <w:rPr>
                <w:spacing w:val="-6"/>
                <w:sz w:val="21"/>
              </w:rPr>
              <w:t xml:space="preserve">(六)没有因违法违规行为正在被监管机构调查，或者正处于整改期间；最近 </w:t>
            </w:r>
            <w:r>
              <w:rPr>
                <w:sz w:val="21"/>
              </w:rPr>
              <w:t>3</w:t>
            </w:r>
            <w:r>
              <w:rPr>
                <w:spacing w:val="-8"/>
                <w:sz w:val="21"/>
              </w:rPr>
              <w:t xml:space="preserve"> 年内没有受到重大行政处罚或者刑事处罚。</w:t>
            </w:r>
          </w:p>
          <w:p>
            <w:pPr>
              <w:pStyle w:val="8"/>
              <w:spacing w:line="242" w:lineRule="auto"/>
              <w:ind w:left="108" w:right="96" w:firstLine="420"/>
              <w:rPr>
                <w:sz w:val="21"/>
              </w:rPr>
            </w:pPr>
            <w:r>
              <w:rPr>
                <w:sz w:val="21"/>
              </w:rPr>
              <w:t>第十六条 独立基金销售机构以有限责任公司形式设立的，其股东可以是企业法人或者自然人。企业法人参股独立基金销售机构，应当具备以下条件：</w:t>
            </w:r>
          </w:p>
          <w:p>
            <w:pPr>
              <w:pStyle w:val="8"/>
              <w:ind w:left="528"/>
              <w:rPr>
                <w:sz w:val="21"/>
              </w:rPr>
            </w:pPr>
            <w:r>
              <w:rPr>
                <w:sz w:val="21"/>
              </w:rPr>
              <w:t>(二)最近 3 年没有受到刑事处罚；</w:t>
            </w:r>
          </w:p>
          <w:p>
            <w:pPr>
              <w:pStyle w:val="8"/>
              <w:spacing w:before="2"/>
              <w:ind w:left="528"/>
              <w:rPr>
                <w:sz w:val="21"/>
              </w:rPr>
            </w:pPr>
            <w:r>
              <w:rPr>
                <w:sz w:val="21"/>
              </w:rPr>
              <w:t>(三)最近 3 年没有受到金融监管、行业监管、工商、税务等行政管理部门的行政处罚；</w:t>
            </w:r>
          </w:p>
          <w:p>
            <w:pPr>
              <w:pStyle w:val="8"/>
              <w:spacing w:before="5" w:line="242" w:lineRule="auto"/>
              <w:ind w:left="528" w:right="4433"/>
              <w:rPr>
                <w:sz w:val="21"/>
              </w:rPr>
            </w:pPr>
            <w:r>
              <w:rPr>
                <w:spacing w:val="-11"/>
                <w:sz w:val="21"/>
              </w:rPr>
              <w:t xml:space="preserve">(四)最近 </w:t>
            </w:r>
            <w:r>
              <w:rPr>
                <w:sz w:val="21"/>
              </w:rPr>
              <w:t>3</w:t>
            </w:r>
            <w:r>
              <w:rPr>
                <w:spacing w:val="-8"/>
                <w:sz w:val="21"/>
              </w:rPr>
              <w:t xml:space="preserve"> 年在自律管理、商业银行等机构无不良记录。自然人参股独立基金销售机构，应当具备以下条件：</w:t>
            </w:r>
          </w:p>
          <w:p>
            <w:pPr>
              <w:pStyle w:val="8"/>
              <w:spacing w:line="268" w:lineRule="exact"/>
              <w:ind w:left="528"/>
              <w:rPr>
                <w:sz w:val="21"/>
              </w:rPr>
            </w:pPr>
            <w:r>
              <w:rPr>
                <w:sz w:val="21"/>
              </w:rPr>
              <w:t>(二)最近 3 年没有受到刑事处罚；</w:t>
            </w:r>
          </w:p>
          <w:p>
            <w:pPr>
              <w:pStyle w:val="8"/>
              <w:spacing w:before="4" w:line="244" w:lineRule="auto"/>
              <w:ind w:left="528" w:right="1702"/>
              <w:rPr>
                <w:sz w:val="21"/>
              </w:rPr>
            </w:pPr>
            <w:r>
              <w:rPr>
                <w:spacing w:val="-11"/>
                <w:sz w:val="21"/>
              </w:rPr>
              <w:t xml:space="preserve">(三)最近 </w:t>
            </w:r>
            <w:r>
              <w:rPr>
                <w:sz w:val="21"/>
              </w:rPr>
              <w:t>3</w:t>
            </w:r>
            <w:r>
              <w:rPr>
                <w:spacing w:val="-8"/>
                <w:sz w:val="21"/>
              </w:rPr>
              <w:t xml:space="preserve"> 年没有受到金融监管、行业监管、工商、税务等行政管理部门的行政处罚； (四)在自律管理、商业银行等机构无不良记录；</w:t>
            </w:r>
          </w:p>
          <w:p>
            <w:pPr>
              <w:pStyle w:val="8"/>
              <w:spacing w:line="265" w:lineRule="exact"/>
              <w:ind w:left="528"/>
              <w:rPr>
                <w:sz w:val="21"/>
              </w:rPr>
            </w:pPr>
            <w:r>
              <w:rPr>
                <w:sz w:val="21"/>
              </w:rPr>
              <w:t>(六)最近 3 年无其他重大不良诚信记录。</w:t>
            </w:r>
          </w:p>
          <w:p>
            <w:pPr>
              <w:pStyle w:val="8"/>
              <w:spacing w:before="5" w:line="242" w:lineRule="auto"/>
              <w:ind w:left="528" w:right="2122"/>
              <w:rPr>
                <w:sz w:val="21"/>
              </w:rPr>
            </w:pPr>
            <w:r>
              <w:rPr>
                <w:spacing w:val="-4"/>
                <w:sz w:val="21"/>
              </w:rPr>
              <w:t xml:space="preserve">第十七条 独立基金销售机构以合伙企业形式设立的，其合伙人应当具备以下条件： </w:t>
            </w:r>
            <w:r>
              <w:rPr>
                <w:spacing w:val="-13"/>
                <w:sz w:val="21"/>
              </w:rPr>
              <w:t xml:space="preserve">(二)最近 </w:t>
            </w:r>
            <w:r>
              <w:rPr>
                <w:sz w:val="21"/>
              </w:rPr>
              <w:t>3</w:t>
            </w:r>
            <w:r>
              <w:rPr>
                <w:spacing w:val="-8"/>
                <w:sz w:val="21"/>
              </w:rPr>
              <w:t xml:space="preserve"> 年没有受到刑事处罚；</w:t>
            </w:r>
          </w:p>
          <w:p>
            <w:pPr>
              <w:pStyle w:val="8"/>
              <w:spacing w:line="268" w:lineRule="exact"/>
              <w:ind w:left="528"/>
              <w:rPr>
                <w:sz w:val="21"/>
              </w:rPr>
            </w:pPr>
            <w:r>
              <w:rPr>
                <w:sz w:val="21"/>
              </w:rPr>
              <w:t>(四)在自律管理、商业银行等机构无不良记录；</w:t>
            </w:r>
          </w:p>
          <w:p>
            <w:pPr>
              <w:pStyle w:val="8"/>
              <w:spacing w:before="4" w:line="252" w:lineRule="exact"/>
              <w:ind w:left="528"/>
              <w:rPr>
                <w:sz w:val="21"/>
              </w:rPr>
            </w:pPr>
            <w:r>
              <w:rPr>
                <w:sz w:val="21"/>
              </w:rPr>
              <w:t>(六)最近 3 年无其他重大不良诚信记录。</w:t>
            </w:r>
          </w:p>
        </w:tc>
        <w:tc>
          <w:tcPr>
            <w:tcW w:w="208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1626" w:type="dxa"/>
          </w:tcPr>
          <w:p>
            <w:pPr>
              <w:pStyle w:val="8"/>
              <w:spacing w:before="1" w:line="242" w:lineRule="auto"/>
              <w:ind w:left="106" w:right="98"/>
              <w:jc w:val="both"/>
              <w:rPr>
                <w:sz w:val="21"/>
              </w:rPr>
            </w:pPr>
            <w:r>
              <w:rPr>
                <w:spacing w:val="3"/>
                <w:sz w:val="21"/>
              </w:rPr>
              <w:t>13</w:t>
            </w:r>
            <w:r>
              <w:rPr>
                <w:spacing w:val="4"/>
                <w:sz w:val="21"/>
              </w:rPr>
              <w:t>.将违法失信</w:t>
            </w:r>
            <w:r>
              <w:rPr>
                <w:spacing w:val="23"/>
                <w:sz w:val="21"/>
              </w:rPr>
              <w:t>信息作为审核</w:t>
            </w:r>
            <w:r>
              <w:rPr>
                <w:spacing w:val="23"/>
                <w:w w:val="95"/>
                <w:sz w:val="21"/>
              </w:rPr>
              <w:t>或注册公司信</w:t>
            </w:r>
          </w:p>
          <w:p>
            <w:pPr>
              <w:pStyle w:val="8"/>
              <w:spacing w:before="1" w:line="250" w:lineRule="exact"/>
              <w:ind w:left="106"/>
              <w:jc w:val="both"/>
              <w:rPr>
                <w:sz w:val="21"/>
              </w:rPr>
            </w:pPr>
            <w:r>
              <w:rPr>
                <w:spacing w:val="25"/>
                <w:w w:val="95"/>
                <w:sz w:val="21"/>
              </w:rPr>
              <w:t>用类债券的重</w:t>
            </w:r>
          </w:p>
        </w:tc>
        <w:tc>
          <w:tcPr>
            <w:tcW w:w="10220" w:type="dxa"/>
          </w:tcPr>
          <w:p>
            <w:pPr>
              <w:pStyle w:val="8"/>
              <w:spacing w:before="1" w:line="242" w:lineRule="auto"/>
              <w:ind w:left="528" w:right="5167"/>
              <w:rPr>
                <w:sz w:val="21"/>
              </w:rPr>
            </w:pPr>
            <w:r>
              <w:rPr>
                <w:b/>
                <w:sz w:val="21"/>
              </w:rPr>
              <w:t>《全国银行间债券市场金融债券发行管理办法》</w:t>
            </w:r>
            <w:r>
              <w:rPr>
                <w:sz w:val="21"/>
              </w:rPr>
              <w:t>第七条 商业银行发行金融债券应具备以下条件：</w:t>
            </w:r>
          </w:p>
          <w:p>
            <w:pPr>
              <w:pStyle w:val="8"/>
              <w:numPr>
                <w:ilvl w:val="0"/>
                <w:numId w:val="14"/>
              </w:numPr>
              <w:tabs>
                <w:tab w:val="left" w:pos="1053"/>
              </w:tabs>
              <w:spacing w:before="0" w:after="0" w:line="268" w:lineRule="exact"/>
              <w:ind w:left="1052" w:right="0" w:hanging="525"/>
              <w:jc w:val="left"/>
              <w:rPr>
                <w:sz w:val="21"/>
              </w:rPr>
            </w:pPr>
            <w:r>
              <w:rPr>
                <w:sz w:val="21"/>
              </w:rPr>
              <w:t>具有良好的公司治理机制；</w:t>
            </w:r>
          </w:p>
          <w:p>
            <w:pPr>
              <w:pStyle w:val="8"/>
              <w:numPr>
                <w:ilvl w:val="0"/>
                <w:numId w:val="14"/>
              </w:numPr>
              <w:tabs>
                <w:tab w:val="left" w:pos="1054"/>
              </w:tabs>
              <w:spacing w:before="4" w:after="0" w:line="250" w:lineRule="exact"/>
              <w:ind w:left="1053" w:right="0" w:hanging="526"/>
              <w:jc w:val="left"/>
              <w:rPr>
                <w:sz w:val="21"/>
              </w:rPr>
            </w:pPr>
            <w:r>
              <w:rPr>
                <w:spacing w:val="-5"/>
                <w:sz w:val="21"/>
              </w:rPr>
              <w:t xml:space="preserve">核心资本充足率不低于 </w:t>
            </w:r>
            <w:r>
              <w:rPr>
                <w:sz w:val="21"/>
              </w:rPr>
              <w:t>4%；</w:t>
            </w:r>
          </w:p>
        </w:tc>
        <w:tc>
          <w:tcPr>
            <w:tcW w:w="2081" w:type="dxa"/>
          </w:tcPr>
          <w:p>
            <w:pPr>
              <w:pStyle w:val="8"/>
              <w:spacing w:before="7"/>
              <w:rPr>
                <w:rFonts w:ascii="Times New Roman"/>
                <w:sz w:val="23"/>
              </w:rPr>
            </w:pPr>
          </w:p>
          <w:p>
            <w:pPr>
              <w:pStyle w:val="8"/>
              <w:spacing w:before="1" w:line="242" w:lineRule="auto"/>
              <w:ind w:left="107" w:right="283"/>
              <w:rPr>
                <w:sz w:val="21"/>
              </w:rPr>
            </w:pPr>
            <w:r>
              <w:rPr>
                <w:sz w:val="21"/>
              </w:rPr>
              <w:t>国家发展改革委、人民银行</w:t>
            </w:r>
          </w:p>
        </w:tc>
      </w:tr>
    </w:tbl>
    <w:p>
      <w:pPr>
        <w:spacing w:after="0" w:line="242" w:lineRule="auto"/>
        <w:rPr>
          <w:sz w:val="21"/>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4" w:hRule="atLeast"/>
        </w:trPr>
        <w:tc>
          <w:tcPr>
            <w:tcW w:w="1626" w:type="dxa"/>
          </w:tcPr>
          <w:p>
            <w:pPr>
              <w:pStyle w:val="8"/>
              <w:spacing w:before="1"/>
              <w:ind w:left="106"/>
              <w:rPr>
                <w:sz w:val="21"/>
              </w:rPr>
            </w:pPr>
            <w:r>
              <w:rPr>
                <w:sz w:val="21"/>
              </w:rPr>
              <w:t>要参考。</w:t>
            </w:r>
          </w:p>
        </w:tc>
        <w:tc>
          <w:tcPr>
            <w:tcW w:w="10220" w:type="dxa"/>
          </w:tcPr>
          <w:p>
            <w:pPr>
              <w:pStyle w:val="8"/>
              <w:numPr>
                <w:ilvl w:val="0"/>
                <w:numId w:val="15"/>
              </w:numPr>
              <w:tabs>
                <w:tab w:val="left" w:pos="1053"/>
              </w:tabs>
              <w:spacing w:before="1" w:after="0" w:line="240" w:lineRule="auto"/>
              <w:ind w:left="1052" w:right="0" w:hanging="525"/>
              <w:jc w:val="left"/>
              <w:rPr>
                <w:sz w:val="21"/>
              </w:rPr>
            </w:pPr>
            <w:r>
              <w:rPr>
                <w:sz w:val="21"/>
              </w:rPr>
              <w:t>最近三年连续盈利；</w:t>
            </w:r>
          </w:p>
          <w:p>
            <w:pPr>
              <w:pStyle w:val="8"/>
              <w:numPr>
                <w:ilvl w:val="0"/>
                <w:numId w:val="15"/>
              </w:numPr>
              <w:tabs>
                <w:tab w:val="left" w:pos="1054"/>
              </w:tabs>
              <w:spacing w:before="3" w:after="0" w:line="240" w:lineRule="auto"/>
              <w:ind w:left="1053" w:right="0" w:hanging="526"/>
              <w:jc w:val="left"/>
              <w:rPr>
                <w:sz w:val="21"/>
              </w:rPr>
            </w:pPr>
            <w:r>
              <w:fldChar w:fldCharType="begin"/>
            </w:r>
            <w:r>
              <w:instrText xml:space="preserve"> HYPERLINK "http://baike.baidu.com/subview/938442/938442.htm" \h </w:instrText>
            </w:r>
            <w:r>
              <w:fldChar w:fldCharType="separate"/>
            </w:r>
            <w:r>
              <w:rPr>
                <w:sz w:val="21"/>
              </w:rPr>
              <w:t>贷款损失准备</w:t>
            </w:r>
            <w:r>
              <w:rPr>
                <w:sz w:val="21"/>
              </w:rPr>
              <w:fldChar w:fldCharType="end"/>
            </w:r>
            <w:r>
              <w:rPr>
                <w:sz w:val="21"/>
              </w:rPr>
              <w:t>计提充足；</w:t>
            </w:r>
          </w:p>
          <w:p>
            <w:pPr>
              <w:pStyle w:val="8"/>
              <w:numPr>
                <w:ilvl w:val="0"/>
                <w:numId w:val="15"/>
              </w:numPr>
              <w:tabs>
                <w:tab w:val="left" w:pos="1053"/>
              </w:tabs>
              <w:spacing w:before="2" w:after="0" w:line="240" w:lineRule="auto"/>
              <w:ind w:left="1052" w:right="0" w:hanging="525"/>
              <w:jc w:val="left"/>
              <w:rPr>
                <w:sz w:val="21"/>
              </w:rPr>
            </w:pPr>
            <w:r>
              <w:rPr>
                <w:sz w:val="21"/>
              </w:rPr>
              <w:t>风险监管指标符合监管机构的有关规定；</w:t>
            </w:r>
          </w:p>
          <w:p>
            <w:pPr>
              <w:pStyle w:val="8"/>
              <w:numPr>
                <w:ilvl w:val="0"/>
                <w:numId w:val="15"/>
              </w:numPr>
              <w:tabs>
                <w:tab w:val="left" w:pos="1053"/>
              </w:tabs>
              <w:spacing w:before="4" w:after="0" w:line="240" w:lineRule="auto"/>
              <w:ind w:left="1052" w:right="0" w:hanging="525"/>
              <w:jc w:val="left"/>
              <w:rPr>
                <w:sz w:val="21"/>
              </w:rPr>
            </w:pPr>
            <w:r>
              <w:rPr>
                <w:sz w:val="21"/>
              </w:rPr>
              <w:t>最近三年没有重大违法、违规行为；</w:t>
            </w:r>
          </w:p>
          <w:p>
            <w:pPr>
              <w:pStyle w:val="8"/>
              <w:numPr>
                <w:ilvl w:val="0"/>
                <w:numId w:val="15"/>
              </w:numPr>
              <w:tabs>
                <w:tab w:val="left" w:pos="1053"/>
              </w:tabs>
              <w:spacing w:before="2" w:after="0" w:line="240" w:lineRule="auto"/>
              <w:ind w:left="1052" w:right="0" w:hanging="525"/>
              <w:jc w:val="left"/>
              <w:rPr>
                <w:sz w:val="21"/>
              </w:rPr>
            </w:pPr>
            <w:r>
              <w:rPr>
                <w:sz w:val="21"/>
              </w:rPr>
              <w:t>中国人民银行要求的其他条件。</w:t>
            </w:r>
          </w:p>
          <w:p>
            <w:pPr>
              <w:pStyle w:val="8"/>
              <w:spacing w:before="5" w:line="244" w:lineRule="auto"/>
              <w:ind w:left="528" w:right="3171"/>
              <w:rPr>
                <w:sz w:val="21"/>
              </w:rPr>
            </w:pPr>
            <w:r>
              <w:rPr>
                <w:w w:val="95"/>
                <w:sz w:val="21"/>
              </w:rPr>
              <w:t xml:space="preserve">根据商业银行的申请，中国人民银行可以豁免前款所规定的个别条件。  </w:t>
            </w:r>
            <w:r>
              <w:rPr>
                <w:spacing w:val="-1"/>
                <w:sz w:val="21"/>
              </w:rPr>
              <w:t xml:space="preserve">第八条 </w:t>
            </w:r>
            <w:r>
              <w:fldChar w:fldCharType="begin"/>
            </w:r>
            <w:r>
              <w:instrText xml:space="preserve"> HYPERLINK "http://baike.baidu.com/subview/1578733/1578733.htm" \h </w:instrText>
            </w:r>
            <w:r>
              <w:fldChar w:fldCharType="separate"/>
            </w:r>
            <w:r>
              <w:rPr>
                <w:sz w:val="21"/>
              </w:rPr>
              <w:t>企业集团财务公司</w:t>
            </w:r>
            <w:r>
              <w:rPr>
                <w:sz w:val="21"/>
              </w:rPr>
              <w:fldChar w:fldCharType="end"/>
            </w:r>
            <w:r>
              <w:rPr>
                <w:sz w:val="21"/>
              </w:rPr>
              <w:t>发行</w:t>
            </w:r>
            <w:r>
              <w:fldChar w:fldCharType="begin"/>
            </w:r>
            <w:r>
              <w:instrText xml:space="preserve"> HYPERLINK "http://baike.baidu.com/subview/10799/10799.htm" \h </w:instrText>
            </w:r>
            <w:r>
              <w:fldChar w:fldCharType="separate"/>
            </w:r>
            <w:r>
              <w:rPr>
                <w:sz w:val="21"/>
              </w:rPr>
              <w:t>金融债券</w:t>
            </w:r>
            <w:r>
              <w:rPr>
                <w:sz w:val="21"/>
              </w:rPr>
              <w:fldChar w:fldCharType="end"/>
            </w:r>
            <w:r>
              <w:rPr>
                <w:sz w:val="21"/>
              </w:rPr>
              <w:t>应具备以下条件：</w:t>
            </w:r>
          </w:p>
          <w:p>
            <w:pPr>
              <w:pStyle w:val="8"/>
              <w:numPr>
                <w:ilvl w:val="0"/>
                <w:numId w:val="16"/>
              </w:numPr>
              <w:tabs>
                <w:tab w:val="left" w:pos="1053"/>
              </w:tabs>
              <w:spacing w:before="0" w:after="0" w:line="265" w:lineRule="exact"/>
              <w:ind w:left="1052" w:right="0" w:hanging="525"/>
              <w:jc w:val="left"/>
              <w:rPr>
                <w:sz w:val="21"/>
              </w:rPr>
            </w:pPr>
            <w:r>
              <w:rPr>
                <w:sz w:val="21"/>
              </w:rPr>
              <w:t>具有良好的公司治理机制；</w:t>
            </w:r>
          </w:p>
          <w:p>
            <w:pPr>
              <w:pStyle w:val="8"/>
              <w:numPr>
                <w:ilvl w:val="0"/>
                <w:numId w:val="16"/>
              </w:numPr>
              <w:tabs>
                <w:tab w:val="left" w:pos="1054"/>
              </w:tabs>
              <w:spacing w:before="2" w:after="0" w:line="240" w:lineRule="auto"/>
              <w:ind w:left="1053" w:right="0" w:hanging="526"/>
              <w:jc w:val="left"/>
              <w:rPr>
                <w:sz w:val="21"/>
              </w:rPr>
            </w:pPr>
            <w:r>
              <w:fldChar w:fldCharType="begin"/>
            </w:r>
            <w:r>
              <w:instrText xml:space="preserve"> HYPERLINK "http://baike.baidu.com/subview/79846/79846.htm" \h </w:instrText>
            </w:r>
            <w:r>
              <w:fldChar w:fldCharType="separate"/>
            </w:r>
            <w:r>
              <w:rPr>
                <w:sz w:val="21"/>
              </w:rPr>
              <w:t>资本充足率</w:t>
            </w:r>
            <w:r>
              <w:rPr>
                <w:sz w:val="21"/>
              </w:rPr>
              <w:fldChar w:fldCharType="end"/>
            </w:r>
            <w:r>
              <w:rPr>
                <w:spacing w:val="-14"/>
                <w:sz w:val="21"/>
              </w:rPr>
              <w:t xml:space="preserve">不低于 </w:t>
            </w:r>
            <w:r>
              <w:rPr>
                <w:sz w:val="21"/>
              </w:rPr>
              <w:t>10%；</w:t>
            </w:r>
          </w:p>
          <w:p>
            <w:pPr>
              <w:pStyle w:val="8"/>
              <w:numPr>
                <w:ilvl w:val="0"/>
                <w:numId w:val="16"/>
              </w:numPr>
              <w:tabs>
                <w:tab w:val="left" w:pos="1053"/>
              </w:tabs>
              <w:spacing w:before="5" w:after="0" w:line="240" w:lineRule="auto"/>
              <w:ind w:left="1052" w:right="0" w:hanging="525"/>
              <w:jc w:val="left"/>
              <w:rPr>
                <w:sz w:val="21"/>
              </w:rPr>
            </w:pPr>
            <w:r>
              <w:rPr>
                <w:sz w:val="21"/>
              </w:rPr>
              <w:t>风险监管指标符合监管机构的有关规定；</w:t>
            </w:r>
          </w:p>
          <w:p>
            <w:pPr>
              <w:pStyle w:val="8"/>
              <w:numPr>
                <w:ilvl w:val="0"/>
                <w:numId w:val="16"/>
              </w:numPr>
              <w:tabs>
                <w:tab w:val="left" w:pos="1053"/>
              </w:tabs>
              <w:spacing w:before="2" w:after="0" w:line="240" w:lineRule="auto"/>
              <w:ind w:left="1052" w:right="0" w:hanging="525"/>
              <w:jc w:val="left"/>
              <w:rPr>
                <w:sz w:val="21"/>
              </w:rPr>
            </w:pPr>
            <w:r>
              <w:rPr>
                <w:sz w:val="21"/>
              </w:rPr>
              <w:t>最近三年没有重大违法、违规行为；</w:t>
            </w:r>
          </w:p>
          <w:p>
            <w:pPr>
              <w:pStyle w:val="8"/>
              <w:numPr>
                <w:ilvl w:val="0"/>
                <w:numId w:val="16"/>
              </w:numPr>
              <w:tabs>
                <w:tab w:val="left" w:pos="1053"/>
              </w:tabs>
              <w:spacing w:before="4" w:after="0" w:line="240" w:lineRule="auto"/>
              <w:ind w:left="1052" w:right="0" w:hanging="525"/>
              <w:jc w:val="left"/>
              <w:rPr>
                <w:sz w:val="21"/>
              </w:rPr>
            </w:pPr>
            <w:r>
              <w:rPr>
                <w:sz w:val="21"/>
              </w:rPr>
              <w:t>中国人民银行要求的其他条件。</w:t>
            </w:r>
          </w:p>
          <w:p>
            <w:pPr>
              <w:pStyle w:val="8"/>
              <w:spacing w:before="2"/>
              <w:ind w:left="528"/>
              <w:rPr>
                <w:sz w:val="21"/>
              </w:rPr>
            </w:pPr>
            <w:r>
              <w:rPr>
                <w:sz w:val="21"/>
              </w:rPr>
              <w:t xml:space="preserve">第十一条 </w:t>
            </w:r>
            <w:r>
              <w:fldChar w:fldCharType="begin"/>
            </w:r>
            <w:r>
              <w:instrText xml:space="preserve"> HYPERLINK "http://baike.baidu.com/subview/239887/239887.htm" \h </w:instrText>
            </w:r>
            <w:r>
              <w:fldChar w:fldCharType="separate"/>
            </w:r>
            <w:r>
              <w:rPr>
                <w:sz w:val="21"/>
              </w:rPr>
              <w:t>政策性银行</w:t>
            </w:r>
            <w:r>
              <w:rPr>
                <w:sz w:val="21"/>
              </w:rPr>
              <w:fldChar w:fldCharType="end"/>
            </w:r>
            <w:r>
              <w:rPr>
                <w:sz w:val="21"/>
              </w:rPr>
              <w:t>发行金融债券应向中国人民银行报送下列文件：</w:t>
            </w:r>
          </w:p>
          <w:p>
            <w:pPr>
              <w:pStyle w:val="8"/>
              <w:numPr>
                <w:ilvl w:val="0"/>
                <w:numId w:val="17"/>
              </w:numPr>
              <w:tabs>
                <w:tab w:val="left" w:pos="1053"/>
              </w:tabs>
              <w:spacing w:before="5" w:after="0" w:line="240" w:lineRule="auto"/>
              <w:ind w:left="1052" w:right="0" w:hanging="525"/>
              <w:jc w:val="left"/>
              <w:rPr>
                <w:sz w:val="21"/>
              </w:rPr>
            </w:pPr>
            <w:r>
              <w:rPr>
                <w:sz w:val="21"/>
              </w:rPr>
              <w:t>金融债券发行申请报告；</w:t>
            </w:r>
          </w:p>
          <w:p>
            <w:pPr>
              <w:pStyle w:val="8"/>
              <w:numPr>
                <w:ilvl w:val="0"/>
                <w:numId w:val="17"/>
              </w:numPr>
              <w:tabs>
                <w:tab w:val="left" w:pos="1053"/>
              </w:tabs>
              <w:spacing w:before="2" w:after="0" w:line="240" w:lineRule="auto"/>
              <w:ind w:left="1052" w:right="0" w:hanging="525"/>
              <w:jc w:val="left"/>
              <w:rPr>
                <w:sz w:val="21"/>
              </w:rPr>
            </w:pPr>
            <w:r>
              <w:rPr>
                <w:sz w:val="21"/>
              </w:rPr>
              <w:t>发行人近三年经审计的财务报告及审计报告；</w:t>
            </w:r>
          </w:p>
          <w:p>
            <w:pPr>
              <w:pStyle w:val="8"/>
              <w:numPr>
                <w:ilvl w:val="0"/>
                <w:numId w:val="17"/>
              </w:numPr>
              <w:tabs>
                <w:tab w:val="left" w:pos="1054"/>
              </w:tabs>
              <w:spacing w:before="5" w:after="0" w:line="240" w:lineRule="auto"/>
              <w:ind w:left="1053" w:right="0" w:hanging="526"/>
              <w:jc w:val="left"/>
              <w:rPr>
                <w:sz w:val="21"/>
              </w:rPr>
            </w:pPr>
            <w:r>
              <w:fldChar w:fldCharType="begin"/>
            </w:r>
            <w:r>
              <w:instrText xml:space="preserve"> HYPERLINK "http://baike.baidu.com/subview/10799/10799.htm" \h </w:instrText>
            </w:r>
            <w:r>
              <w:fldChar w:fldCharType="separate"/>
            </w:r>
            <w:r>
              <w:rPr>
                <w:sz w:val="21"/>
              </w:rPr>
              <w:t>金融债券</w:t>
            </w:r>
            <w:r>
              <w:rPr>
                <w:sz w:val="21"/>
              </w:rPr>
              <w:fldChar w:fldCharType="end"/>
            </w:r>
            <w:r>
              <w:rPr>
                <w:sz w:val="21"/>
              </w:rPr>
              <w:t>发行办法；</w:t>
            </w:r>
          </w:p>
          <w:p>
            <w:pPr>
              <w:pStyle w:val="8"/>
              <w:numPr>
                <w:ilvl w:val="0"/>
                <w:numId w:val="17"/>
              </w:numPr>
              <w:tabs>
                <w:tab w:val="left" w:pos="1053"/>
              </w:tabs>
              <w:spacing w:before="2" w:after="0" w:line="240" w:lineRule="auto"/>
              <w:ind w:left="1052" w:right="0" w:hanging="525"/>
              <w:jc w:val="left"/>
              <w:rPr>
                <w:sz w:val="21"/>
              </w:rPr>
            </w:pPr>
            <w:r>
              <w:rPr>
                <w:sz w:val="21"/>
              </w:rPr>
              <w:t>承销协议；</w:t>
            </w:r>
          </w:p>
          <w:p>
            <w:pPr>
              <w:pStyle w:val="8"/>
              <w:numPr>
                <w:ilvl w:val="0"/>
                <w:numId w:val="17"/>
              </w:numPr>
              <w:tabs>
                <w:tab w:val="left" w:pos="1053"/>
              </w:tabs>
              <w:spacing w:before="2" w:after="0" w:line="240" w:lineRule="auto"/>
              <w:ind w:left="1052" w:right="0" w:hanging="525"/>
              <w:jc w:val="left"/>
              <w:rPr>
                <w:sz w:val="21"/>
              </w:rPr>
            </w:pPr>
            <w:r>
              <w:rPr>
                <w:sz w:val="21"/>
              </w:rPr>
              <w:t>中国人民银行要求的其他文件。</w:t>
            </w:r>
          </w:p>
          <w:p>
            <w:pPr>
              <w:pStyle w:val="8"/>
              <w:spacing w:before="5" w:line="244" w:lineRule="auto"/>
              <w:ind w:left="662" w:right="2830" w:hanging="29"/>
              <w:rPr>
                <w:sz w:val="21"/>
              </w:rPr>
            </w:pPr>
            <w:r>
              <w:rPr>
                <w:b/>
                <w:w w:val="95"/>
                <w:sz w:val="21"/>
              </w:rPr>
              <w:t xml:space="preserve">《国家发展改革委办公厅关于进一步改进企业债券发行审核工作的通知》  </w:t>
            </w:r>
            <w:r>
              <w:rPr>
                <w:sz w:val="21"/>
              </w:rPr>
              <w:t>对于以下两类发债申请，要从严审核，有效防范市场风险。</w:t>
            </w:r>
          </w:p>
          <w:p>
            <w:pPr>
              <w:pStyle w:val="8"/>
              <w:spacing w:line="265" w:lineRule="exact"/>
              <w:ind w:left="662"/>
              <w:rPr>
                <w:sz w:val="21"/>
              </w:rPr>
            </w:pPr>
            <w:r>
              <w:rPr>
                <w:sz w:val="21"/>
              </w:rPr>
              <w:t>（一）募集资金用于产能过剩、高污染、高耗能等国家产业政策限制领域的发债申请。</w:t>
            </w:r>
          </w:p>
          <w:p>
            <w:pPr>
              <w:pStyle w:val="8"/>
              <w:spacing w:before="4"/>
              <w:ind w:left="633"/>
              <w:rPr>
                <w:sz w:val="21"/>
              </w:rPr>
            </w:pPr>
            <w:r>
              <w:rPr>
                <w:sz w:val="21"/>
              </w:rPr>
              <w:t>（二）企业信用等级较低，负债率高，债券余额较大或运作不规范、资产不实、偿债措施较弱的发债申</w:t>
            </w:r>
          </w:p>
          <w:p>
            <w:pPr>
              <w:pStyle w:val="8"/>
              <w:spacing w:before="2" w:line="252" w:lineRule="exact"/>
              <w:ind w:left="108"/>
              <w:rPr>
                <w:sz w:val="21"/>
              </w:rPr>
            </w:pPr>
            <w:r>
              <w:rPr>
                <w:sz w:val="21"/>
              </w:rPr>
              <w:t>请。</w:t>
            </w:r>
          </w:p>
        </w:tc>
        <w:tc>
          <w:tcPr>
            <w:tcW w:w="208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2" w:hRule="atLeast"/>
        </w:trPr>
        <w:tc>
          <w:tcPr>
            <w:tcW w:w="1626" w:type="dxa"/>
          </w:tcPr>
          <w:p>
            <w:pPr>
              <w:pStyle w:val="8"/>
              <w:spacing w:line="242" w:lineRule="auto"/>
              <w:ind w:left="106" w:right="38"/>
              <w:jc w:val="both"/>
              <w:rPr>
                <w:sz w:val="21"/>
              </w:rPr>
            </w:pPr>
            <w:r>
              <w:rPr>
                <w:sz w:val="21"/>
              </w:rPr>
              <w:t>14.将失信企业及其有关人员的失信信息纳入金融信用信息基础数据库，为金融机构融</w:t>
            </w:r>
          </w:p>
        </w:tc>
        <w:tc>
          <w:tcPr>
            <w:tcW w:w="10220" w:type="dxa"/>
          </w:tcPr>
          <w:p>
            <w:pPr>
              <w:pStyle w:val="8"/>
              <w:spacing w:line="268" w:lineRule="exact"/>
              <w:ind w:left="528"/>
              <w:rPr>
                <w:b/>
                <w:sz w:val="21"/>
              </w:rPr>
            </w:pPr>
            <w:r>
              <w:rPr>
                <w:b/>
                <w:sz w:val="21"/>
              </w:rPr>
              <w:t>1.《征信业管理条例》</w:t>
            </w:r>
          </w:p>
          <w:p>
            <w:pPr>
              <w:pStyle w:val="8"/>
              <w:spacing w:before="4" w:line="242" w:lineRule="auto"/>
              <w:ind w:left="108" w:right="99" w:firstLine="420"/>
              <w:rPr>
                <w:sz w:val="21"/>
              </w:rPr>
            </w:pPr>
            <w:r>
              <w:rPr>
                <w:sz w:val="21"/>
              </w:rPr>
              <w:t>第二十一条 征信机构可以通过信息主体、企业交易对方、行业协会提供信息，政府有关部门依法已公开的信息，人民法院依法公布的判决、裁定等渠道，采集企业信息。</w:t>
            </w:r>
          </w:p>
          <w:p>
            <w:pPr>
              <w:pStyle w:val="8"/>
              <w:spacing w:before="2" w:line="242" w:lineRule="auto"/>
              <w:ind w:left="528" w:right="4430"/>
              <w:rPr>
                <w:sz w:val="21"/>
              </w:rPr>
            </w:pPr>
            <w:r>
              <w:rPr>
                <w:w w:val="95"/>
                <w:sz w:val="21"/>
              </w:rPr>
              <w:t xml:space="preserve">征信机构不得采集法律、行政法规禁止采集的企业信息。 </w:t>
            </w:r>
            <w:r>
              <w:rPr>
                <w:sz w:val="21"/>
              </w:rPr>
              <w:t>第四十四条 本条例下列用语的含义：</w:t>
            </w:r>
          </w:p>
          <w:p>
            <w:pPr>
              <w:pStyle w:val="8"/>
              <w:spacing w:before="1" w:line="250" w:lineRule="exact"/>
              <w:ind w:left="528"/>
              <w:rPr>
                <w:sz w:val="21"/>
              </w:rPr>
            </w:pPr>
            <w:r>
              <w:rPr>
                <w:sz w:val="21"/>
              </w:rPr>
              <w:t>（一）信息提供者，是指向征信机构提供信息的单位和个人，以及向金融信用信息基础数据库提供信息的</w:t>
            </w:r>
          </w:p>
        </w:tc>
        <w:tc>
          <w:tcPr>
            <w:tcW w:w="2081" w:type="dxa"/>
          </w:tcPr>
          <w:p>
            <w:pPr>
              <w:pStyle w:val="8"/>
              <w:rPr>
                <w:rFonts w:ascii="Times New Roman"/>
                <w:sz w:val="20"/>
              </w:rPr>
            </w:pPr>
          </w:p>
          <w:p>
            <w:pPr>
              <w:pStyle w:val="8"/>
              <w:rPr>
                <w:rFonts w:ascii="Times New Roman"/>
                <w:sz w:val="20"/>
              </w:rPr>
            </w:pPr>
          </w:p>
          <w:p>
            <w:pPr>
              <w:pStyle w:val="8"/>
              <w:spacing w:before="2"/>
              <w:rPr>
                <w:rFonts w:ascii="Times New Roman"/>
                <w:sz w:val="19"/>
              </w:rPr>
            </w:pPr>
          </w:p>
          <w:p>
            <w:pPr>
              <w:pStyle w:val="8"/>
              <w:ind w:left="107"/>
              <w:rPr>
                <w:sz w:val="21"/>
              </w:rPr>
            </w:pPr>
            <w:r>
              <w:rPr>
                <w:sz w:val="21"/>
              </w:rPr>
              <w:t>人民银行</w:t>
            </w:r>
          </w:p>
        </w:tc>
      </w:tr>
    </w:tbl>
    <w:p>
      <w:pPr>
        <w:spacing w:after="0"/>
        <w:rPr>
          <w:sz w:val="21"/>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6" w:hRule="atLeast"/>
        </w:trPr>
        <w:tc>
          <w:tcPr>
            <w:tcW w:w="1626" w:type="dxa"/>
          </w:tcPr>
          <w:p>
            <w:pPr>
              <w:pStyle w:val="8"/>
              <w:spacing w:before="1" w:line="242" w:lineRule="auto"/>
              <w:ind w:left="106" w:right="98"/>
              <w:rPr>
                <w:sz w:val="21"/>
              </w:rPr>
            </w:pPr>
            <w:r>
              <w:rPr>
                <w:sz w:val="21"/>
              </w:rPr>
              <w:t>资授信提供重要参考。</w:t>
            </w:r>
          </w:p>
        </w:tc>
        <w:tc>
          <w:tcPr>
            <w:tcW w:w="10220" w:type="dxa"/>
          </w:tcPr>
          <w:p>
            <w:pPr>
              <w:pStyle w:val="8"/>
              <w:spacing w:before="1"/>
              <w:ind w:left="108"/>
              <w:rPr>
                <w:sz w:val="21"/>
              </w:rPr>
            </w:pPr>
            <w:r>
              <w:rPr>
                <w:sz w:val="21"/>
              </w:rPr>
              <w:t>单位。</w:t>
            </w:r>
          </w:p>
          <w:p>
            <w:pPr>
              <w:pStyle w:val="8"/>
              <w:spacing w:before="3"/>
              <w:ind w:left="528"/>
              <w:rPr>
                <w:sz w:val="21"/>
              </w:rPr>
            </w:pPr>
            <w:r>
              <w:rPr>
                <w:sz w:val="21"/>
              </w:rPr>
              <w:t>（二）信息使用者，是指从征信机构和金融信用信息基础数据库获取信息的单位和个人。</w:t>
            </w:r>
          </w:p>
          <w:p>
            <w:pPr>
              <w:pStyle w:val="8"/>
              <w:spacing w:before="2" w:line="242" w:lineRule="auto"/>
              <w:ind w:left="108" w:right="96" w:firstLine="420"/>
              <w:jc w:val="both"/>
              <w:rPr>
                <w:sz w:val="21"/>
              </w:rPr>
            </w:pPr>
            <w:r>
              <w:rPr>
                <w:w w:val="95"/>
                <w:sz w:val="21"/>
              </w:rPr>
              <w:t>（三</w:t>
            </w:r>
            <w:r>
              <w:rPr>
                <w:spacing w:val="-13"/>
                <w:w w:val="95"/>
                <w:sz w:val="21"/>
              </w:rPr>
              <w:t>）</w:t>
            </w:r>
            <w:r>
              <w:rPr>
                <w:spacing w:val="-7"/>
                <w:w w:val="95"/>
                <w:sz w:val="21"/>
              </w:rPr>
              <w:t>不良信息，是指对信息主体信用状况构成负面影响的下列信息：信息主体在借贷、赊购、担保、租</w:t>
            </w:r>
            <w:r>
              <w:rPr>
                <w:spacing w:val="-9"/>
                <w:w w:val="95"/>
                <w:sz w:val="21"/>
              </w:rPr>
              <w:t>赁、保险、使用信用卡等活动中未按照合同履行义务的信息，对信息主体的行政处罚信息，人民法院判决或者</w:t>
            </w:r>
            <w:r>
              <w:rPr>
                <w:spacing w:val="-9"/>
                <w:sz w:val="21"/>
              </w:rPr>
              <w:t>裁定信息主体履行义务以及强制执行的信息，以及国务院征信业监督管理部门规定的其他不良信息。</w:t>
            </w:r>
          </w:p>
          <w:p>
            <w:pPr>
              <w:pStyle w:val="8"/>
              <w:numPr>
                <w:ilvl w:val="0"/>
                <w:numId w:val="18"/>
              </w:numPr>
              <w:tabs>
                <w:tab w:val="left" w:pos="740"/>
              </w:tabs>
              <w:spacing w:before="3" w:after="0" w:line="244" w:lineRule="auto"/>
              <w:ind w:left="528" w:right="2774" w:firstLine="0"/>
              <w:jc w:val="left"/>
              <w:rPr>
                <w:sz w:val="21"/>
              </w:rPr>
            </w:pPr>
            <w:r>
              <w:rPr>
                <w:b/>
                <w:sz w:val="21"/>
              </w:rPr>
              <w:t>《国务院关于印发社会信用体系建设规划纲要（2014-2020</w:t>
            </w:r>
            <w:r>
              <w:rPr>
                <w:b/>
                <w:spacing w:val="-32"/>
                <w:sz w:val="21"/>
              </w:rPr>
              <w:t xml:space="preserve"> 年</w:t>
            </w:r>
            <w:r>
              <w:rPr>
                <w:b/>
                <w:sz w:val="21"/>
              </w:rPr>
              <w:t>）的通知》</w:t>
            </w:r>
            <w:r>
              <w:rPr>
                <w:sz w:val="21"/>
              </w:rPr>
              <w:t>四、加快推进信用信息系统建设和应用</w:t>
            </w:r>
          </w:p>
          <w:p>
            <w:pPr>
              <w:pStyle w:val="8"/>
              <w:spacing w:line="265" w:lineRule="exact"/>
              <w:ind w:left="528"/>
              <w:rPr>
                <w:sz w:val="21"/>
              </w:rPr>
            </w:pPr>
            <w:r>
              <w:rPr>
                <w:sz w:val="21"/>
              </w:rPr>
              <w:t>（三）征信系统建设。</w:t>
            </w:r>
          </w:p>
          <w:p>
            <w:pPr>
              <w:pStyle w:val="8"/>
              <w:spacing w:before="2" w:line="242" w:lineRule="auto"/>
              <w:ind w:left="108" w:right="94" w:firstLine="420"/>
              <w:jc w:val="both"/>
              <w:rPr>
                <w:sz w:val="21"/>
              </w:rPr>
            </w:pPr>
            <w:r>
              <w:rPr>
                <w:spacing w:val="-6"/>
                <w:w w:val="95"/>
                <w:sz w:val="21"/>
              </w:rPr>
              <w:t>加快征信系统建设。征信机构开展征信业务，应建立以企事业单位及其他社会组织、个人为对象的征信系</w:t>
            </w:r>
            <w:r>
              <w:rPr>
                <w:spacing w:val="-10"/>
                <w:w w:val="95"/>
                <w:sz w:val="21"/>
              </w:rPr>
              <w:t>统，依法采集、整理、保存、加工企事业单位及其他社会组织、个人的信用信息，并采取合理措施保障信用信</w:t>
            </w:r>
            <w:r>
              <w:rPr>
                <w:spacing w:val="-10"/>
                <w:sz w:val="21"/>
              </w:rPr>
              <w:t>息的准确性。各地区、各行业要支持征信机构建立征信系统。</w:t>
            </w:r>
          </w:p>
          <w:p>
            <w:pPr>
              <w:pStyle w:val="8"/>
              <w:spacing w:before="3" w:line="242" w:lineRule="auto"/>
              <w:ind w:left="108" w:right="-15" w:firstLine="420"/>
              <w:rPr>
                <w:sz w:val="21"/>
              </w:rPr>
            </w:pPr>
            <w:r>
              <w:rPr>
                <w:spacing w:val="-5"/>
                <w:sz w:val="21"/>
              </w:rPr>
              <w:t>对外提供专业化征信服务。征信机构要根据市场需求，对外提供专业化的征信服务，有序推进信用服务产</w:t>
            </w:r>
            <w:r>
              <w:rPr>
                <w:spacing w:val="-14"/>
                <w:w w:val="95"/>
                <w:sz w:val="21"/>
              </w:rPr>
              <w:t>品创新。建立健全并严格执行内部风险防范、避免利益冲突和保障信息安全的规章制度，依法向客户提供方便、</w:t>
            </w:r>
            <w:r>
              <w:rPr>
                <w:spacing w:val="-11"/>
                <w:sz w:val="21"/>
              </w:rPr>
              <w:t>快捷、高效的征信服务，进一步扩大信用报告在银行业、证券业、保险业及政府部门行政执法等多种领域中的应用。</w:t>
            </w:r>
          </w:p>
          <w:p>
            <w:pPr>
              <w:pStyle w:val="8"/>
              <w:spacing w:before="3"/>
              <w:ind w:left="528"/>
              <w:rPr>
                <w:sz w:val="21"/>
              </w:rPr>
            </w:pPr>
            <w:r>
              <w:rPr>
                <w:sz w:val="21"/>
              </w:rPr>
              <w:t>（四）金融业统一征信平台建设。</w:t>
            </w:r>
          </w:p>
          <w:p>
            <w:pPr>
              <w:pStyle w:val="8"/>
              <w:spacing w:before="2" w:line="242" w:lineRule="auto"/>
              <w:ind w:left="108" w:right="22" w:firstLine="420"/>
              <w:rPr>
                <w:sz w:val="21"/>
              </w:rPr>
            </w:pPr>
            <w:r>
              <w:rPr>
                <w:w w:val="95"/>
                <w:sz w:val="21"/>
              </w:rPr>
              <w:t>完善金融信用信息基础数据库。继续推进金融信用信息基础数据库建设，提升数据质量，完善系统功能，</w:t>
            </w:r>
            <w:r>
              <w:rPr>
                <w:sz w:val="21"/>
              </w:rPr>
              <w:t>加强系统安全运行管理，进一步扩大信用报告的覆盖范围，提升系统对外服务水平。</w:t>
            </w:r>
          </w:p>
          <w:p>
            <w:pPr>
              <w:pStyle w:val="8"/>
              <w:spacing w:before="1" w:line="244" w:lineRule="auto"/>
              <w:ind w:left="108" w:right="96" w:firstLine="420"/>
              <w:rPr>
                <w:sz w:val="21"/>
              </w:rPr>
            </w:pPr>
            <w:r>
              <w:rPr>
                <w:spacing w:val="-5"/>
                <w:w w:val="95"/>
                <w:sz w:val="21"/>
              </w:rPr>
              <w:t>推动金融业统一征信平台建设。继续推动银行、证券、保险、外汇等金融管理部门之间信用信息系统的链</w:t>
            </w:r>
            <w:r>
              <w:rPr>
                <w:spacing w:val="-5"/>
                <w:sz w:val="21"/>
              </w:rPr>
              <w:t>接，推动金融业统一征信平台建设，推进金融监管部门信用信息的交换与共享。</w:t>
            </w:r>
          </w:p>
          <w:p>
            <w:pPr>
              <w:pStyle w:val="8"/>
              <w:numPr>
                <w:ilvl w:val="0"/>
                <w:numId w:val="18"/>
              </w:numPr>
              <w:tabs>
                <w:tab w:val="left" w:pos="740"/>
              </w:tabs>
              <w:spacing w:before="0" w:after="0" w:line="265" w:lineRule="exact"/>
              <w:ind w:left="739" w:right="0" w:hanging="212"/>
              <w:jc w:val="left"/>
              <w:rPr>
                <w:b/>
                <w:sz w:val="21"/>
              </w:rPr>
            </w:pPr>
            <w:r>
              <w:rPr>
                <w:b/>
                <w:sz w:val="21"/>
              </w:rPr>
              <w:t>《国务院关于建立完善守信联合激励和失信联合惩戒制度加快推进社会诚信建设的指导意见》</w:t>
            </w:r>
          </w:p>
          <w:p>
            <w:pPr>
              <w:pStyle w:val="8"/>
              <w:spacing w:before="5" w:line="242" w:lineRule="auto"/>
              <w:ind w:left="108" w:right="-15" w:firstLine="420"/>
              <w:rPr>
                <w:sz w:val="21"/>
              </w:rPr>
            </w:pPr>
            <w:r>
              <w:rPr>
                <w:sz w:val="21"/>
              </w:rPr>
              <w:t>（十一</w:t>
            </w:r>
            <w:r>
              <w:rPr>
                <w:spacing w:val="-25"/>
                <w:sz w:val="21"/>
              </w:rPr>
              <w:t>）</w:t>
            </w:r>
            <w:r>
              <w:rPr>
                <w:spacing w:val="-3"/>
                <w:sz w:val="21"/>
              </w:rPr>
              <w:t>加强对失信行为的市场性约束和惩戒。对严重失信主体，有关部门和机构应以统一社会信用代码</w:t>
            </w:r>
            <w:r>
              <w:rPr>
                <w:spacing w:val="-14"/>
                <w:w w:val="95"/>
                <w:sz w:val="21"/>
              </w:rPr>
              <w:t>为索引，及时公开披露相关信息，便于市场识别失信行为，防范信用风险。督促有关企业和个人履行法定义务，</w:t>
            </w:r>
            <w:r>
              <w:rPr>
                <w:spacing w:val="-19"/>
                <w:w w:val="95"/>
                <w:sz w:val="21"/>
              </w:rPr>
              <w:t>对有履行能力但拒不履行的严重失信主体实施限制出境和限制购买不动产、乘坐飞机、乘坐高等级列车和席次、</w:t>
            </w:r>
            <w:r>
              <w:rPr>
                <w:spacing w:val="-13"/>
                <w:sz w:val="21"/>
              </w:rPr>
              <w:t>旅游度假、入住星级以上宾馆及其他高消费行为等措施。支持征信机构采集严重失信行为信息，纳入信用记录</w:t>
            </w:r>
            <w:r>
              <w:rPr>
                <w:spacing w:val="-12"/>
                <w:sz w:val="21"/>
              </w:rPr>
              <w:t>和信用报告。引导商业银行、证券期货经营机构、保险公司等金融机构按照风险定价原则，对严重失信主体提高贷款利率和财产保险费率，或者限制向其提供贷款、保荐、承销、保险等服务。</w:t>
            </w:r>
          </w:p>
          <w:p>
            <w:pPr>
              <w:pStyle w:val="8"/>
              <w:spacing w:before="1"/>
              <w:ind w:right="96" w:firstLine="398" w:firstLineChars="200"/>
              <w:jc w:val="both"/>
              <w:rPr>
                <w:sz w:val="21"/>
              </w:rPr>
            </w:pPr>
            <w:r>
              <w:rPr>
                <w:w w:val="95"/>
                <w:sz w:val="21"/>
              </w:rPr>
              <w:t>（十四</w:t>
            </w:r>
            <w:r>
              <w:rPr>
                <w:spacing w:val="-17"/>
                <w:w w:val="95"/>
                <w:sz w:val="21"/>
              </w:rPr>
              <w:t>）</w:t>
            </w:r>
            <w:r>
              <w:rPr>
                <w:spacing w:val="-5"/>
                <w:w w:val="95"/>
                <w:sz w:val="21"/>
              </w:rPr>
              <w:t>完善个人信用记录，推动联合惩戒措施落实到人。对企事业单位严重失信行为，在记入企事业单</w:t>
            </w:r>
            <w:r>
              <w:rPr>
                <w:spacing w:val="-6"/>
                <w:w w:val="95"/>
                <w:sz w:val="21"/>
              </w:rPr>
              <w:t>位信用记录的同时，记入其法定代表人、主要负责人和其他负有直接责任人员的个人信用记录。在对失信企事</w:t>
            </w:r>
          </w:p>
        </w:tc>
        <w:tc>
          <w:tcPr>
            <w:tcW w:w="2081" w:type="dxa"/>
          </w:tcPr>
          <w:p>
            <w:pPr>
              <w:pStyle w:val="8"/>
              <w:rPr>
                <w:rFonts w:ascii="Times New Roman"/>
                <w:sz w:val="20"/>
              </w:rPr>
            </w:pPr>
          </w:p>
        </w:tc>
      </w:tr>
    </w:tbl>
    <w:p>
      <w:pPr>
        <w:spacing w:after="0"/>
        <w:rPr>
          <w:rFonts w:ascii="Times New Roman"/>
          <w:sz w:val="20"/>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1626" w:type="dxa"/>
          </w:tcPr>
          <w:p>
            <w:pPr>
              <w:pStyle w:val="8"/>
              <w:rPr>
                <w:rFonts w:ascii="Times New Roman"/>
                <w:sz w:val="20"/>
              </w:rPr>
            </w:pPr>
          </w:p>
        </w:tc>
        <w:tc>
          <w:tcPr>
            <w:tcW w:w="10220" w:type="dxa"/>
          </w:tcPr>
          <w:p>
            <w:pPr>
              <w:pStyle w:val="8"/>
              <w:spacing w:before="1" w:line="242" w:lineRule="auto"/>
              <w:ind w:left="108" w:right="96"/>
              <w:rPr>
                <w:sz w:val="21"/>
              </w:rPr>
            </w:pPr>
            <w:r>
              <w:rPr>
                <w:spacing w:val="-4"/>
                <w:w w:val="95"/>
                <w:sz w:val="21"/>
              </w:rPr>
              <w:t>业单位进行联合惩戒的同时，依照法律法规和政策规定对相关责任人员采取相应的联合惩戒措施。通过建立完</w:t>
            </w:r>
            <w:r>
              <w:rPr>
                <w:spacing w:val="-4"/>
                <w:sz w:val="21"/>
              </w:rPr>
              <w:t>整的个人信用记录数据库及联合惩戒机制，使失信惩戒措施落实到人。</w:t>
            </w:r>
          </w:p>
          <w:p>
            <w:pPr>
              <w:pStyle w:val="8"/>
              <w:spacing w:line="244" w:lineRule="auto"/>
              <w:ind w:left="528" w:right="406"/>
              <w:rPr>
                <w:sz w:val="21"/>
              </w:rPr>
            </w:pPr>
            <w:r>
              <w:rPr>
                <w:b/>
                <w:w w:val="95"/>
                <w:sz w:val="21"/>
              </w:rPr>
              <w:t xml:space="preserve">4.《国家发展改革委人民银行中央编办关于在行政管理事项中使用信用记录和信用报告的若干意见》   </w:t>
            </w:r>
            <w:r>
              <w:rPr>
                <w:sz w:val="21"/>
              </w:rPr>
              <w:t>一、建立完善社会信用主体信用记录</w:t>
            </w:r>
          </w:p>
          <w:p>
            <w:pPr>
              <w:pStyle w:val="8"/>
              <w:spacing w:line="242" w:lineRule="auto"/>
              <w:ind w:left="108" w:right="-15" w:firstLine="420"/>
              <w:jc w:val="both"/>
              <w:rPr>
                <w:sz w:val="21"/>
              </w:rPr>
            </w:pPr>
            <w:r>
              <w:rPr>
                <w:spacing w:val="-4"/>
                <w:sz w:val="21"/>
              </w:rPr>
              <w:t>建立完善社会信用主体信用记录是各级政府、各相关部门在行政管理事项中使用信用记录和信用报告的基</w:t>
            </w:r>
            <w:r>
              <w:rPr>
                <w:spacing w:val="-9"/>
                <w:sz w:val="21"/>
              </w:rPr>
              <w:t>础性工作。各地区要对本地区各部门、各单位的信用信息进行整合，形成统一的信用信息共享平台。各相关部</w:t>
            </w:r>
            <w:r>
              <w:rPr>
                <w:spacing w:val="-13"/>
                <w:sz w:val="21"/>
              </w:rPr>
              <w:t>门要结合国家政务信息化工程建设，完善行业信用信息记录，加快推进行业内信用信息互联互通。各地方、各</w:t>
            </w:r>
            <w:r>
              <w:rPr>
                <w:spacing w:val="-17"/>
                <w:sz w:val="21"/>
              </w:rPr>
              <w:t>部门要大力推进政府信息公开，支持征信机构根据市场信用需求，依法采集个人、企业、事业单位及其他社会</w:t>
            </w:r>
            <w:r>
              <w:rPr>
                <w:spacing w:val="-19"/>
                <w:w w:val="95"/>
                <w:sz w:val="21"/>
              </w:rPr>
              <w:t>组织的信用信息，建立信用信息数据库，提供专业化的征信服务。要加快建立完善重点领域社会成员信用记录，</w:t>
            </w:r>
            <w:r>
              <w:rPr>
                <w:sz w:val="21"/>
              </w:rPr>
              <w:t>疏通信用信息来源渠道。</w:t>
            </w:r>
          </w:p>
        </w:tc>
        <w:tc>
          <w:tcPr>
            <w:tcW w:w="208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3" w:hRule="atLeast"/>
        </w:trPr>
        <w:tc>
          <w:tcPr>
            <w:tcW w:w="1626" w:type="dxa"/>
          </w:tcPr>
          <w:p>
            <w:pPr>
              <w:pStyle w:val="8"/>
              <w:spacing w:before="136" w:line="242" w:lineRule="auto"/>
              <w:ind w:left="106" w:right="38" w:hanging="60"/>
              <w:jc w:val="center"/>
              <w:rPr>
                <w:sz w:val="21"/>
              </w:rPr>
            </w:pPr>
            <w:r>
              <w:rPr>
                <w:sz w:val="21"/>
              </w:rPr>
              <w:t xml:space="preserve">15.依法限制失信企业设立融 </w:t>
            </w:r>
            <w:r>
              <w:rPr>
                <w:spacing w:val="-2"/>
                <w:sz w:val="21"/>
              </w:rPr>
              <w:t xml:space="preserve">资性担保公司； </w:t>
            </w:r>
            <w:r>
              <w:rPr>
                <w:sz w:val="21"/>
              </w:rPr>
              <w:t xml:space="preserve">依法限制失信 相关责任人任 职融资性担保 公司或金融机 构的董事、监 </w:t>
            </w:r>
            <w:r>
              <w:rPr>
                <w:spacing w:val="-10"/>
                <w:sz w:val="21"/>
              </w:rPr>
              <w:t>事、高级管理人</w:t>
            </w:r>
            <w:r>
              <w:rPr>
                <w:spacing w:val="-12"/>
                <w:sz w:val="21"/>
              </w:rPr>
              <w:t>员。将失信信息</w:t>
            </w:r>
            <w:r>
              <w:rPr>
                <w:spacing w:val="-13"/>
                <w:sz w:val="21"/>
              </w:rPr>
              <w:t>作为证券公司、</w:t>
            </w:r>
            <w:r>
              <w:rPr>
                <w:sz w:val="21"/>
              </w:rPr>
              <w:t xml:space="preserve">基金管理公司 及期货公司的 </w:t>
            </w:r>
            <w:r>
              <w:rPr>
                <w:spacing w:val="-9"/>
                <w:sz w:val="21"/>
              </w:rPr>
              <w:t>董事、监事和高级管理人员及 分支机构负责 人任职审批或 备案的参考。</w:t>
            </w:r>
          </w:p>
        </w:tc>
        <w:tc>
          <w:tcPr>
            <w:tcW w:w="10220" w:type="dxa"/>
          </w:tcPr>
          <w:p>
            <w:pPr>
              <w:pStyle w:val="8"/>
              <w:ind w:left="528"/>
              <w:rPr>
                <w:b/>
                <w:sz w:val="21"/>
              </w:rPr>
            </w:pPr>
            <w:r>
              <w:rPr>
                <w:b/>
                <w:sz w:val="21"/>
              </w:rPr>
              <w:t>1.《融资性担保公司管理暂行办法》</w:t>
            </w:r>
          </w:p>
          <w:p>
            <w:pPr>
              <w:pStyle w:val="8"/>
              <w:tabs>
                <w:tab w:val="left" w:pos="1368"/>
              </w:tabs>
              <w:spacing w:before="4" w:line="242" w:lineRule="auto"/>
              <w:ind w:left="108" w:right="96" w:firstLine="420"/>
              <w:jc w:val="both"/>
              <w:rPr>
                <w:sz w:val="21"/>
              </w:rPr>
            </w:pPr>
            <w:r>
              <w:rPr>
                <w:sz w:val="21"/>
              </w:rPr>
              <w:t>第三条</w:t>
            </w:r>
            <w:r>
              <w:rPr>
                <w:sz w:val="21"/>
              </w:rPr>
              <w:tab/>
            </w:r>
            <w:r>
              <w:rPr>
                <w:w w:val="95"/>
                <w:sz w:val="21"/>
              </w:rPr>
              <w:t>融资性担保公司应当以安全性</w:t>
            </w:r>
            <w:r>
              <w:rPr>
                <w:spacing w:val="-25"/>
                <w:w w:val="95"/>
                <w:sz w:val="21"/>
              </w:rPr>
              <w:t>、</w:t>
            </w:r>
            <w:r>
              <w:rPr>
                <w:w w:val="95"/>
                <w:sz w:val="21"/>
              </w:rPr>
              <w:t>流动性</w:t>
            </w:r>
            <w:r>
              <w:rPr>
                <w:spacing w:val="-25"/>
                <w:w w:val="95"/>
                <w:sz w:val="21"/>
              </w:rPr>
              <w:t>、</w:t>
            </w:r>
            <w:r>
              <w:rPr>
                <w:w w:val="95"/>
                <w:sz w:val="21"/>
              </w:rPr>
              <w:t>收益性为经营原则</w:t>
            </w:r>
            <w:r>
              <w:rPr>
                <w:spacing w:val="-25"/>
                <w:w w:val="95"/>
                <w:sz w:val="21"/>
              </w:rPr>
              <w:t>，</w:t>
            </w:r>
            <w:r>
              <w:rPr>
                <w:w w:val="95"/>
                <w:sz w:val="21"/>
              </w:rPr>
              <w:t>建立市场化运作的可持续审慎经营</w:t>
            </w:r>
            <w:r>
              <w:rPr>
                <w:sz w:val="21"/>
              </w:rPr>
              <w:t>模式。</w:t>
            </w:r>
          </w:p>
          <w:p>
            <w:pPr>
              <w:pStyle w:val="8"/>
              <w:spacing w:before="2"/>
              <w:ind w:left="528"/>
              <w:rPr>
                <w:sz w:val="21"/>
              </w:rPr>
            </w:pPr>
            <w:r>
              <w:rPr>
                <w:sz w:val="21"/>
              </w:rPr>
              <w:t>融资性担保公司与企业、银行业金融机构等客户的业务往来，应当遵循诚实守信的原则，并遵守合同的约</w:t>
            </w:r>
          </w:p>
          <w:p>
            <w:pPr>
              <w:pStyle w:val="8"/>
              <w:spacing w:before="2"/>
              <w:ind w:left="108"/>
              <w:rPr>
                <w:sz w:val="21"/>
              </w:rPr>
            </w:pPr>
            <w:r>
              <w:rPr>
                <w:sz w:val="21"/>
              </w:rPr>
              <w:t>定。</w:t>
            </w:r>
          </w:p>
          <w:p>
            <w:pPr>
              <w:pStyle w:val="8"/>
              <w:spacing w:before="4"/>
              <w:ind w:left="528"/>
              <w:rPr>
                <w:sz w:val="21"/>
              </w:rPr>
            </w:pPr>
            <w:r>
              <w:rPr>
                <w:sz w:val="21"/>
              </w:rPr>
              <w:t>第九条 设立融资性担保公司，应当具备下列条件：</w:t>
            </w:r>
          </w:p>
          <w:p>
            <w:pPr>
              <w:pStyle w:val="8"/>
              <w:spacing w:before="2"/>
              <w:ind w:left="528"/>
              <w:rPr>
                <w:sz w:val="21"/>
              </w:rPr>
            </w:pPr>
            <w:r>
              <w:rPr>
                <w:sz w:val="21"/>
              </w:rPr>
              <w:t>（一）有符合《中华人民共和国公司法》规定的章程。</w:t>
            </w:r>
          </w:p>
          <w:p>
            <w:pPr>
              <w:pStyle w:val="8"/>
              <w:spacing w:before="5"/>
              <w:ind w:left="528"/>
              <w:rPr>
                <w:sz w:val="21"/>
              </w:rPr>
            </w:pPr>
            <w:r>
              <w:rPr>
                <w:sz w:val="21"/>
              </w:rPr>
              <w:t>（二）有具备持续出资能力的股东。</w:t>
            </w:r>
          </w:p>
          <w:p>
            <w:pPr>
              <w:pStyle w:val="8"/>
              <w:spacing w:before="2"/>
              <w:ind w:left="528"/>
              <w:rPr>
                <w:sz w:val="21"/>
              </w:rPr>
            </w:pPr>
            <w:r>
              <w:rPr>
                <w:sz w:val="21"/>
              </w:rPr>
              <w:t>（三）有符合本办法规定的注册资本。</w:t>
            </w:r>
          </w:p>
          <w:p>
            <w:pPr>
              <w:pStyle w:val="8"/>
              <w:spacing w:before="5"/>
              <w:ind w:left="528"/>
              <w:rPr>
                <w:sz w:val="21"/>
              </w:rPr>
            </w:pPr>
            <w:r>
              <w:rPr>
                <w:sz w:val="21"/>
              </w:rPr>
              <w:t>（四）有符合任职资格的董事、监事、高级管理人员和合格的从业人员。</w:t>
            </w:r>
          </w:p>
          <w:p>
            <w:pPr>
              <w:pStyle w:val="8"/>
              <w:spacing w:before="2"/>
              <w:ind w:left="528"/>
              <w:rPr>
                <w:sz w:val="21"/>
              </w:rPr>
            </w:pPr>
            <w:r>
              <w:rPr>
                <w:sz w:val="21"/>
              </w:rPr>
              <w:t>（五）有健全的组织机构、内部控制和风险管理制度。</w:t>
            </w:r>
          </w:p>
          <w:p>
            <w:pPr>
              <w:pStyle w:val="8"/>
              <w:spacing w:before="2"/>
              <w:ind w:left="528"/>
              <w:rPr>
                <w:sz w:val="21"/>
              </w:rPr>
            </w:pPr>
            <w:r>
              <w:rPr>
                <w:sz w:val="21"/>
              </w:rPr>
              <w:t>（六）有符合要求的营业场所。</w:t>
            </w:r>
          </w:p>
          <w:p>
            <w:pPr>
              <w:pStyle w:val="8"/>
              <w:spacing w:before="4"/>
              <w:ind w:left="528"/>
              <w:rPr>
                <w:sz w:val="21"/>
              </w:rPr>
            </w:pPr>
            <w:r>
              <w:rPr>
                <w:sz w:val="21"/>
              </w:rPr>
              <w:t>（七）监管部门规定的其他审慎性条件。</w:t>
            </w:r>
          </w:p>
          <w:p>
            <w:pPr>
              <w:pStyle w:val="8"/>
              <w:spacing w:before="3" w:line="244" w:lineRule="auto"/>
              <w:ind w:left="528" w:right="231"/>
              <w:rPr>
                <w:w w:val="95"/>
                <w:sz w:val="21"/>
              </w:rPr>
            </w:pPr>
            <w:r>
              <w:rPr>
                <w:w w:val="95"/>
                <w:sz w:val="21"/>
              </w:rPr>
              <w:t xml:space="preserve">董事、监事、高级管理人员和从业人员的资格管理办法由融资性担保业务监管部际联席会议另行制定。   </w:t>
            </w:r>
          </w:p>
          <w:p>
            <w:pPr>
              <w:pStyle w:val="8"/>
              <w:spacing w:before="3" w:line="244" w:lineRule="auto"/>
              <w:ind w:left="528" w:right="231"/>
              <w:rPr>
                <w:b/>
                <w:sz w:val="21"/>
              </w:rPr>
            </w:pPr>
            <w:r>
              <w:rPr>
                <w:b/>
                <w:sz w:val="21"/>
              </w:rPr>
              <w:t>2.《融资性担保公司董事、监事、高级管理人员任职资格管理暂行办法》</w:t>
            </w:r>
          </w:p>
          <w:p>
            <w:pPr>
              <w:pStyle w:val="8"/>
              <w:spacing w:line="267" w:lineRule="exact"/>
              <w:ind w:left="528"/>
              <w:rPr>
                <w:sz w:val="21"/>
              </w:rPr>
            </w:pPr>
            <w:r>
              <w:rPr>
                <w:sz w:val="21"/>
              </w:rPr>
              <w:t>第五条 融资性担保公司董事、监事、高级管理人员应当具备以下条件：</w:t>
            </w:r>
          </w:p>
          <w:p>
            <w:pPr>
              <w:pStyle w:val="8"/>
              <w:spacing w:before="2"/>
              <w:ind w:left="528"/>
              <w:rPr>
                <w:sz w:val="21"/>
              </w:rPr>
            </w:pPr>
            <w:r>
              <w:rPr>
                <w:sz w:val="21"/>
              </w:rPr>
              <w:t>（一）具有完全民事行为能力；</w:t>
            </w:r>
          </w:p>
          <w:p>
            <w:pPr>
              <w:pStyle w:val="8"/>
              <w:spacing w:before="2"/>
              <w:ind w:left="528"/>
              <w:rPr>
                <w:sz w:val="21"/>
              </w:rPr>
            </w:pPr>
            <w:r>
              <w:rPr>
                <w:sz w:val="21"/>
              </w:rPr>
              <w:t>（二）遵纪守法，诚实守信，勤勉尽职，具有良好的职业操守、品行和声誉；</w:t>
            </w:r>
          </w:p>
          <w:p>
            <w:pPr>
              <w:pStyle w:val="8"/>
              <w:spacing w:before="4" w:line="250" w:lineRule="exact"/>
              <w:ind w:left="528"/>
              <w:rPr>
                <w:sz w:val="21"/>
              </w:rPr>
            </w:pPr>
            <w:r>
              <w:rPr>
                <w:sz w:val="21"/>
              </w:rPr>
              <w:t>（三）熟悉经济、金融、担保的法律法规，具有良好的合规意识和审慎经营意识；</w:t>
            </w:r>
          </w:p>
        </w:tc>
        <w:tc>
          <w:tcPr>
            <w:tcW w:w="2081"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6"/>
              <w:rPr>
                <w:rFonts w:ascii="Times New Roman"/>
                <w:sz w:val="18"/>
              </w:rPr>
            </w:pPr>
          </w:p>
          <w:p>
            <w:pPr>
              <w:pStyle w:val="8"/>
              <w:spacing w:line="242" w:lineRule="auto"/>
              <w:ind w:left="107" w:right="912"/>
              <w:rPr>
                <w:sz w:val="21"/>
              </w:rPr>
            </w:pPr>
            <w:r>
              <w:rPr>
                <w:spacing w:val="-3"/>
                <w:sz w:val="21"/>
              </w:rPr>
              <w:t>银保监会、</w:t>
            </w:r>
            <w:r>
              <w:rPr>
                <w:sz w:val="21"/>
              </w:rPr>
              <w:t>证监会、</w:t>
            </w:r>
          </w:p>
          <w:p>
            <w:pPr>
              <w:pStyle w:val="8"/>
              <w:spacing w:line="244" w:lineRule="auto"/>
              <w:ind w:left="107" w:right="283"/>
              <w:rPr>
                <w:sz w:val="21"/>
              </w:rPr>
            </w:pPr>
            <w:r>
              <w:rPr>
                <w:spacing w:val="-2"/>
                <w:sz w:val="21"/>
              </w:rPr>
              <w:t>工业和信息化部、</w:t>
            </w:r>
            <w:r>
              <w:rPr>
                <w:sz w:val="21"/>
              </w:rPr>
              <w:t>财政部、</w:t>
            </w:r>
          </w:p>
          <w:p>
            <w:pPr>
              <w:pStyle w:val="8"/>
              <w:spacing w:line="242" w:lineRule="auto"/>
              <w:ind w:left="107" w:right="281"/>
              <w:jc w:val="both"/>
              <w:rPr>
                <w:sz w:val="21"/>
              </w:rPr>
            </w:pPr>
            <w:r>
              <w:rPr>
                <w:sz w:val="21"/>
              </w:rPr>
              <w:t>市场监管总局等相关部门以及地方政府确定的融资性担保公司监管机构</w:t>
            </w:r>
          </w:p>
        </w:tc>
      </w:tr>
    </w:tbl>
    <w:p>
      <w:pPr>
        <w:spacing w:after="0" w:line="242" w:lineRule="auto"/>
        <w:jc w:val="both"/>
        <w:rPr>
          <w:sz w:val="21"/>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6" w:hRule="atLeast"/>
        </w:trPr>
        <w:tc>
          <w:tcPr>
            <w:tcW w:w="1626" w:type="dxa"/>
          </w:tcPr>
          <w:p>
            <w:pPr>
              <w:pStyle w:val="8"/>
              <w:rPr>
                <w:rFonts w:ascii="Times New Roman"/>
                <w:sz w:val="20"/>
              </w:rPr>
            </w:pPr>
          </w:p>
        </w:tc>
        <w:tc>
          <w:tcPr>
            <w:tcW w:w="10220" w:type="dxa"/>
          </w:tcPr>
          <w:p>
            <w:pPr>
              <w:pStyle w:val="8"/>
              <w:spacing w:before="1"/>
              <w:ind w:left="528"/>
              <w:rPr>
                <w:sz w:val="21"/>
              </w:rPr>
            </w:pPr>
            <w:r>
              <w:rPr>
                <w:sz w:val="21"/>
              </w:rPr>
              <w:t>（四）具备与拟任职务相适应的知识、经验和能力。</w:t>
            </w:r>
          </w:p>
          <w:p>
            <w:pPr>
              <w:pStyle w:val="8"/>
              <w:spacing w:before="3"/>
              <w:ind w:left="528"/>
              <w:rPr>
                <w:sz w:val="21"/>
              </w:rPr>
            </w:pPr>
            <w:r>
              <w:rPr>
                <w:sz w:val="21"/>
              </w:rPr>
              <w:t>第六条 下列人员不得担任融资性担保公司董事、监事、高级管理人员：</w:t>
            </w:r>
          </w:p>
          <w:p>
            <w:pPr>
              <w:pStyle w:val="8"/>
              <w:spacing w:before="2"/>
              <w:ind w:left="528"/>
              <w:rPr>
                <w:sz w:val="21"/>
              </w:rPr>
            </w:pPr>
            <w:r>
              <w:rPr>
                <w:sz w:val="21"/>
              </w:rPr>
              <w:t>（一）有故意或重大过失犯罪记录的；</w:t>
            </w:r>
          </w:p>
          <w:p>
            <w:pPr>
              <w:pStyle w:val="8"/>
              <w:spacing w:before="4"/>
              <w:ind w:left="528"/>
              <w:rPr>
                <w:sz w:val="21"/>
              </w:rPr>
            </w:pPr>
            <w:r>
              <w:rPr>
                <w:sz w:val="21"/>
              </w:rPr>
              <w:t>（二）因违反职业操守或者工作严重失职给所任职的机构造成重大损失或者恶劣影响的；</w:t>
            </w:r>
          </w:p>
          <w:p>
            <w:pPr>
              <w:pStyle w:val="8"/>
              <w:spacing w:before="2" w:line="244" w:lineRule="auto"/>
              <w:ind w:left="108" w:right="-15" w:firstLine="391"/>
              <w:rPr>
                <w:sz w:val="21"/>
              </w:rPr>
            </w:pPr>
            <w:r>
              <w:rPr>
                <w:w w:val="95"/>
                <w:sz w:val="21"/>
              </w:rPr>
              <w:t>（三</w:t>
            </w:r>
            <w:r>
              <w:rPr>
                <w:spacing w:val="-29"/>
                <w:w w:val="95"/>
                <w:sz w:val="21"/>
              </w:rPr>
              <w:t>）</w:t>
            </w:r>
            <w:r>
              <w:rPr>
                <w:spacing w:val="-7"/>
                <w:w w:val="95"/>
                <w:sz w:val="21"/>
              </w:rPr>
              <w:t>最近五年担任因违法经营而被撤销、接管、合并、宣告破产或者吊销营业执照的机构的董事、监事、</w:t>
            </w:r>
            <w:r>
              <w:rPr>
                <w:spacing w:val="-7"/>
                <w:sz w:val="21"/>
              </w:rPr>
              <w:t>高级管理人员，并负有个人责任的；</w:t>
            </w:r>
          </w:p>
          <w:p>
            <w:pPr>
              <w:pStyle w:val="8"/>
              <w:spacing w:line="242" w:lineRule="auto"/>
              <w:ind w:left="108" w:right="96" w:firstLine="400"/>
              <w:rPr>
                <w:sz w:val="21"/>
              </w:rPr>
            </w:pPr>
            <w:r>
              <w:rPr>
                <w:w w:val="95"/>
                <w:sz w:val="21"/>
              </w:rPr>
              <w:t>（四</w:t>
            </w:r>
            <w:r>
              <w:rPr>
                <w:spacing w:val="-20"/>
                <w:w w:val="95"/>
                <w:sz w:val="21"/>
              </w:rPr>
              <w:t>）</w:t>
            </w:r>
            <w:r>
              <w:rPr>
                <w:spacing w:val="-2"/>
                <w:w w:val="95"/>
                <w:sz w:val="21"/>
              </w:rPr>
              <w:t>曾在履行工作职责时有提供虚假信息等违反诚信原则行为，或指使、参与所任职机构对抗依法监管</w:t>
            </w:r>
            <w:r>
              <w:rPr>
                <w:spacing w:val="-2"/>
                <w:sz w:val="21"/>
              </w:rPr>
              <w:t>或案件查处，情节严重的；</w:t>
            </w:r>
          </w:p>
          <w:p>
            <w:pPr>
              <w:pStyle w:val="8"/>
              <w:spacing w:line="268" w:lineRule="exact"/>
              <w:ind w:left="528"/>
              <w:rPr>
                <w:sz w:val="21"/>
              </w:rPr>
            </w:pPr>
            <w:r>
              <w:rPr>
                <w:sz w:val="21"/>
              </w:rPr>
              <w:t>（五）被取消董事、监事、高级管理人员任职资格或禁止从事担保或金融行业工作的年限未满的；</w:t>
            </w:r>
          </w:p>
          <w:p>
            <w:pPr>
              <w:pStyle w:val="8"/>
              <w:spacing w:before="3" w:line="242" w:lineRule="auto"/>
              <w:ind w:left="108" w:right="96" w:firstLine="400"/>
              <w:rPr>
                <w:sz w:val="21"/>
              </w:rPr>
            </w:pPr>
            <w:r>
              <w:rPr>
                <w:w w:val="95"/>
                <w:sz w:val="21"/>
              </w:rPr>
              <w:t>（六</w:t>
            </w:r>
            <w:r>
              <w:rPr>
                <w:spacing w:val="-20"/>
                <w:w w:val="95"/>
                <w:sz w:val="21"/>
              </w:rPr>
              <w:t>）</w:t>
            </w:r>
            <w:r>
              <w:rPr>
                <w:spacing w:val="-2"/>
                <w:w w:val="95"/>
                <w:sz w:val="21"/>
              </w:rPr>
              <w:t>提交虚假申请材料或明知不具备本办法规定的任职资格条件，采用欺骗、贿赂等不正当手段获得任</w:t>
            </w:r>
            <w:r>
              <w:rPr>
                <w:spacing w:val="-2"/>
                <w:sz w:val="21"/>
              </w:rPr>
              <w:t>职资格核准的；</w:t>
            </w:r>
          </w:p>
          <w:p>
            <w:pPr>
              <w:pStyle w:val="8"/>
              <w:spacing w:before="2"/>
              <w:ind w:left="528"/>
              <w:rPr>
                <w:sz w:val="21"/>
              </w:rPr>
            </w:pPr>
            <w:r>
              <w:rPr>
                <w:sz w:val="21"/>
              </w:rPr>
              <w:t>（七）个人或配偶有数额较大的到期未偿还债务的；</w:t>
            </w:r>
          </w:p>
          <w:p>
            <w:pPr>
              <w:pStyle w:val="8"/>
              <w:spacing w:before="2"/>
              <w:ind w:left="528"/>
              <w:rPr>
                <w:sz w:val="21"/>
              </w:rPr>
            </w:pPr>
            <w:r>
              <w:rPr>
                <w:sz w:val="21"/>
              </w:rPr>
              <w:t>（八）法律、法规规定的其他情形。</w:t>
            </w:r>
          </w:p>
          <w:p>
            <w:pPr>
              <w:pStyle w:val="8"/>
              <w:spacing w:before="4"/>
              <w:ind w:left="528"/>
              <w:rPr>
                <w:b/>
                <w:sz w:val="21"/>
              </w:rPr>
            </w:pPr>
            <w:r>
              <w:rPr>
                <w:b/>
                <w:sz w:val="21"/>
              </w:rPr>
              <w:t>3.《银行业金融机构董事（理事）和高级管理人员任职资格管理办法》</w:t>
            </w:r>
          </w:p>
          <w:p>
            <w:pPr>
              <w:pStyle w:val="8"/>
              <w:spacing w:before="2" w:line="242" w:lineRule="auto"/>
              <w:ind w:left="108" w:right="22" w:firstLine="420"/>
              <w:rPr>
                <w:sz w:val="21"/>
              </w:rPr>
            </w:pPr>
            <w:r>
              <w:rPr>
                <w:w w:val="99"/>
                <w:sz w:val="21"/>
              </w:rPr>
              <w:t>第二条</w:t>
            </w:r>
            <w:r>
              <w:rPr>
                <w:sz w:val="21"/>
              </w:rPr>
              <w:t xml:space="preserve"> </w:t>
            </w:r>
            <w:r>
              <w:rPr>
                <w:spacing w:val="-1"/>
                <w:w w:val="99"/>
                <w:sz w:val="21"/>
              </w:rPr>
              <w:t>本办法所称银行业金融机构（以下简称金融机构</w:t>
            </w:r>
            <w:r>
              <w:rPr>
                <w:spacing w:val="-106"/>
                <w:w w:val="99"/>
                <w:sz w:val="21"/>
              </w:rPr>
              <w:t>）</w:t>
            </w:r>
            <w:r>
              <w:rPr>
                <w:spacing w:val="-1"/>
                <w:w w:val="99"/>
                <w:sz w:val="21"/>
              </w:rPr>
              <w:t>，是指在中华人民共和国境内设立的商业银行、</w:t>
            </w:r>
            <w:r>
              <w:rPr>
                <w:spacing w:val="-8"/>
                <w:sz w:val="21"/>
              </w:rPr>
              <w:t>农村合作银行、村镇银行、农村信用合作社、农村信用合作联社、外国银行分行等吸收公众存款的金融机构以及政策性银行。</w:t>
            </w:r>
          </w:p>
          <w:p>
            <w:pPr>
              <w:pStyle w:val="8"/>
              <w:spacing w:before="1" w:line="242" w:lineRule="auto"/>
              <w:ind w:left="108" w:right="-15" w:firstLine="420"/>
              <w:rPr>
                <w:sz w:val="21"/>
              </w:rPr>
            </w:pPr>
            <w:r>
              <w:rPr>
                <w:spacing w:val="-4"/>
                <w:sz w:val="21"/>
              </w:rPr>
              <w:t>在中华人民共和国境内设立的金融资产管理公司、信托公司、企业集团财务公司、金融租赁公司、汽车金</w:t>
            </w:r>
            <w:r>
              <w:rPr>
                <w:spacing w:val="-13"/>
                <w:w w:val="95"/>
                <w:sz w:val="21"/>
              </w:rPr>
              <w:t>融公司、货币经纪公司、消费金融公司、贷款公司、农村信用合作社联合社、省</w:t>
            </w:r>
            <w:r>
              <w:rPr>
                <w:spacing w:val="-3"/>
                <w:w w:val="95"/>
                <w:sz w:val="21"/>
              </w:rPr>
              <w:t>（</w:t>
            </w:r>
            <w:r>
              <w:rPr>
                <w:w w:val="95"/>
                <w:sz w:val="21"/>
              </w:rPr>
              <w:t>自治区</w:t>
            </w:r>
            <w:r>
              <w:rPr>
                <w:spacing w:val="-27"/>
                <w:w w:val="95"/>
                <w:sz w:val="21"/>
              </w:rPr>
              <w:t>）</w:t>
            </w:r>
            <w:r>
              <w:rPr>
                <w:w w:val="95"/>
                <w:sz w:val="21"/>
              </w:rPr>
              <w:t>农村信用社联合社、</w:t>
            </w:r>
            <w:r>
              <w:rPr>
                <w:spacing w:val="-5"/>
                <w:sz w:val="21"/>
              </w:rPr>
              <w:t>农村资金互助社、外资金融机构驻华代表机构以及经监管机构批准设立的其他金融机构的董事</w:t>
            </w:r>
            <w:r>
              <w:rPr>
                <w:sz w:val="21"/>
              </w:rPr>
              <w:t>（理事</w:t>
            </w:r>
            <w:r>
              <w:rPr>
                <w:spacing w:val="-25"/>
                <w:sz w:val="21"/>
              </w:rPr>
              <w:t>）</w:t>
            </w:r>
            <w:r>
              <w:rPr>
                <w:sz w:val="21"/>
              </w:rPr>
              <w:t>和高级管理人员的任职资格管理，适用本办法。</w:t>
            </w:r>
          </w:p>
          <w:p>
            <w:pPr>
              <w:pStyle w:val="8"/>
              <w:spacing w:before="5" w:line="242" w:lineRule="auto"/>
              <w:ind w:left="108" w:right="99" w:firstLine="420"/>
              <w:rPr>
                <w:sz w:val="21"/>
              </w:rPr>
            </w:pPr>
            <w:r>
              <w:rPr>
                <w:sz w:val="21"/>
              </w:rPr>
              <w:t>第三条 本办法所称高级管理人员，是指金融机构总部及分支机构管理层中对该机构经营管理、风险控制有决策权或重要影响力的各类人员。</w:t>
            </w:r>
          </w:p>
          <w:p>
            <w:pPr>
              <w:pStyle w:val="8"/>
              <w:spacing w:line="244" w:lineRule="auto"/>
              <w:ind w:left="108" w:right="96" w:firstLine="420"/>
              <w:rPr>
                <w:sz w:val="21"/>
              </w:rPr>
            </w:pPr>
            <w:r>
              <w:rPr>
                <w:sz w:val="21"/>
              </w:rPr>
              <w:t>第九条 金融机构拟任、现任董事（理事）和高级管理人员出现下列情形之一的，视为不符合本办法第八条第（二）项、第（三）项、第（五）项规定之条件：</w:t>
            </w:r>
          </w:p>
          <w:p>
            <w:pPr>
              <w:pStyle w:val="8"/>
              <w:spacing w:line="265" w:lineRule="exact"/>
              <w:ind w:left="528"/>
              <w:rPr>
                <w:sz w:val="21"/>
              </w:rPr>
            </w:pPr>
            <w:r>
              <w:rPr>
                <w:sz w:val="21"/>
              </w:rPr>
              <w:t>（一）有故意或重大过失犯罪记录的；</w:t>
            </w:r>
          </w:p>
          <w:p>
            <w:pPr>
              <w:pStyle w:val="8"/>
              <w:spacing w:before="4"/>
              <w:ind w:left="528"/>
              <w:rPr>
                <w:sz w:val="21"/>
              </w:rPr>
            </w:pPr>
            <w:r>
              <w:rPr>
                <w:sz w:val="21"/>
              </w:rPr>
              <w:t>（二）有违反社会公德的不良行为，造成恶劣影响的；</w:t>
            </w:r>
          </w:p>
          <w:p>
            <w:pPr>
              <w:pStyle w:val="8"/>
              <w:spacing w:before="2"/>
              <w:ind w:left="528"/>
              <w:rPr>
                <w:sz w:val="21"/>
              </w:rPr>
            </w:pPr>
            <w:r>
              <w:rPr>
                <w:sz w:val="21"/>
              </w:rPr>
              <w:t>（三）对曾任职机构违法违规经营活动或重大损失负有个人责任或直接领导责任，情节严重的；</w:t>
            </w:r>
          </w:p>
          <w:p>
            <w:pPr>
              <w:pStyle w:val="8"/>
              <w:spacing w:before="4" w:line="249" w:lineRule="exact"/>
              <w:ind w:left="518"/>
              <w:rPr>
                <w:sz w:val="21"/>
              </w:rPr>
            </w:pPr>
            <w:r>
              <w:rPr>
                <w:sz w:val="21"/>
              </w:rPr>
              <w:t>（四）担任或曾任被接管、撤销、宣告破产或吊销营业执照机构的董事（理事）或高级管理人员的，但能</w:t>
            </w:r>
          </w:p>
        </w:tc>
        <w:tc>
          <w:tcPr>
            <w:tcW w:w="2081" w:type="dxa"/>
          </w:tcPr>
          <w:p>
            <w:pPr>
              <w:pStyle w:val="8"/>
              <w:rPr>
                <w:rFonts w:ascii="Times New Roman"/>
                <w:sz w:val="20"/>
              </w:rPr>
            </w:pPr>
          </w:p>
        </w:tc>
      </w:tr>
    </w:tbl>
    <w:p>
      <w:pPr>
        <w:spacing w:after="0"/>
        <w:rPr>
          <w:rFonts w:ascii="Times New Roman"/>
          <w:sz w:val="20"/>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0" w:hRule="atLeast"/>
        </w:trPr>
        <w:tc>
          <w:tcPr>
            <w:tcW w:w="1626" w:type="dxa"/>
          </w:tcPr>
          <w:p>
            <w:pPr>
              <w:pStyle w:val="8"/>
              <w:rPr>
                <w:rFonts w:ascii="Times New Roman"/>
                <w:sz w:val="20"/>
              </w:rPr>
            </w:pPr>
          </w:p>
        </w:tc>
        <w:tc>
          <w:tcPr>
            <w:tcW w:w="10220" w:type="dxa"/>
          </w:tcPr>
          <w:p>
            <w:pPr>
              <w:pStyle w:val="8"/>
              <w:spacing w:before="1"/>
              <w:ind w:left="88" w:right="1682"/>
              <w:jc w:val="center"/>
              <w:rPr>
                <w:sz w:val="21"/>
              </w:rPr>
            </w:pPr>
            <w:r>
              <w:rPr>
                <w:sz w:val="21"/>
              </w:rPr>
              <w:t>够证明本人对曾任职机构被接管、撤销、宣告破产或吊销营业执照不负有个人责任的除外；</w:t>
            </w:r>
          </w:p>
          <w:p>
            <w:pPr>
              <w:pStyle w:val="8"/>
              <w:spacing w:before="3"/>
              <w:ind w:left="88" w:right="1682"/>
              <w:jc w:val="center"/>
              <w:rPr>
                <w:sz w:val="21"/>
              </w:rPr>
            </w:pPr>
            <w:r>
              <w:rPr>
                <w:sz w:val="21"/>
              </w:rPr>
              <w:t>（五）因违反职业道德、操守或者工作严重失职，造成重大损失或者恶劣影响的；</w:t>
            </w:r>
          </w:p>
          <w:p>
            <w:pPr>
              <w:pStyle w:val="8"/>
              <w:spacing w:before="2"/>
              <w:ind w:left="528"/>
              <w:rPr>
                <w:sz w:val="21"/>
              </w:rPr>
            </w:pPr>
            <w:r>
              <w:rPr>
                <w:sz w:val="21"/>
              </w:rPr>
              <w:t>（六）指使、参与所任职机构不配合依法监管或案件查处的；</w:t>
            </w:r>
          </w:p>
          <w:p>
            <w:pPr>
              <w:pStyle w:val="8"/>
              <w:spacing w:before="4" w:line="242" w:lineRule="auto"/>
              <w:ind w:left="108" w:right="94" w:firstLine="405"/>
              <w:rPr>
                <w:sz w:val="21"/>
              </w:rPr>
            </w:pPr>
            <w:r>
              <w:rPr>
                <w:w w:val="95"/>
                <w:sz w:val="21"/>
              </w:rPr>
              <w:t>（七</w:t>
            </w:r>
            <w:r>
              <w:rPr>
                <w:spacing w:val="-15"/>
                <w:w w:val="95"/>
                <w:sz w:val="21"/>
              </w:rPr>
              <w:t>）</w:t>
            </w:r>
            <w:r>
              <w:rPr>
                <w:spacing w:val="-2"/>
                <w:w w:val="95"/>
                <w:sz w:val="21"/>
              </w:rPr>
              <w:t>被取消终身的董事</w:t>
            </w:r>
            <w:r>
              <w:rPr>
                <w:w w:val="95"/>
                <w:sz w:val="21"/>
              </w:rPr>
              <w:t>（理事</w:t>
            </w:r>
            <w:r>
              <w:rPr>
                <w:spacing w:val="-15"/>
                <w:w w:val="95"/>
                <w:sz w:val="21"/>
              </w:rPr>
              <w:t>）</w:t>
            </w:r>
            <w:r>
              <w:rPr>
                <w:spacing w:val="-2"/>
                <w:w w:val="95"/>
                <w:sz w:val="21"/>
              </w:rPr>
              <w:t>和高级管理人员任职资格，或受到监管机构或其他金融管理部门处罚累</w:t>
            </w:r>
            <w:r>
              <w:rPr>
                <w:spacing w:val="-2"/>
                <w:sz w:val="21"/>
              </w:rPr>
              <w:t>计达到两次以上的；</w:t>
            </w:r>
          </w:p>
          <w:p>
            <w:pPr>
              <w:pStyle w:val="8"/>
              <w:spacing w:before="2" w:line="244" w:lineRule="auto"/>
              <w:ind w:left="528" w:right="1282"/>
              <w:rPr>
                <w:b/>
                <w:sz w:val="21"/>
              </w:rPr>
            </w:pPr>
            <w:r>
              <w:rPr>
                <w:w w:val="95"/>
                <w:sz w:val="21"/>
              </w:rPr>
              <w:t xml:space="preserve">（八）有本办法规定的不具备任职资格条件的情形，采用不正当手段获得任职资格核准的。   </w:t>
            </w:r>
            <w:r>
              <w:rPr>
                <w:b/>
                <w:sz w:val="21"/>
              </w:rPr>
              <w:t>4.《保险公司董事、监事和高级管理人员任职资格管理规定》</w:t>
            </w:r>
          </w:p>
          <w:p>
            <w:pPr>
              <w:pStyle w:val="8"/>
              <w:spacing w:line="242" w:lineRule="auto"/>
              <w:ind w:left="108" w:right="96" w:firstLine="420"/>
              <w:rPr>
                <w:sz w:val="21"/>
              </w:rPr>
            </w:pPr>
            <w:r>
              <w:rPr>
                <w:sz w:val="21"/>
              </w:rPr>
              <w:t>第七条 保险机构董事、监事和高级管理人员应当具有诚实信用的品行、良好的合规经营意识和履行职务必需的经营管理能力。</w:t>
            </w:r>
          </w:p>
          <w:p>
            <w:pPr>
              <w:pStyle w:val="8"/>
              <w:numPr>
                <w:ilvl w:val="0"/>
                <w:numId w:val="19"/>
              </w:numPr>
              <w:tabs>
                <w:tab w:val="left" w:pos="845"/>
              </w:tabs>
              <w:spacing w:before="0" w:after="0" w:line="240" w:lineRule="auto"/>
              <w:ind w:left="844" w:right="0" w:hanging="317"/>
              <w:jc w:val="left"/>
              <w:rPr>
                <w:b/>
                <w:sz w:val="21"/>
              </w:rPr>
            </w:pPr>
            <w:r>
              <w:rPr>
                <w:b/>
                <w:sz w:val="21"/>
              </w:rPr>
              <w:t>《证券法》</w:t>
            </w:r>
          </w:p>
          <w:p>
            <w:pPr>
              <w:pStyle w:val="8"/>
              <w:ind w:left="528"/>
              <w:rPr>
                <w:sz w:val="21"/>
              </w:rPr>
            </w:pPr>
            <w:r>
              <w:rPr>
                <w:sz w:val="21"/>
              </w:rPr>
              <w:t>第一百三十一条 证券公司的董事、监事、高级管理人员，应当正直诚实，品行良好。</w:t>
            </w:r>
          </w:p>
          <w:p>
            <w:pPr>
              <w:pStyle w:val="8"/>
              <w:numPr>
                <w:ilvl w:val="0"/>
                <w:numId w:val="19"/>
              </w:numPr>
              <w:tabs>
                <w:tab w:val="left" w:pos="845"/>
              </w:tabs>
              <w:spacing w:before="3" w:after="0" w:line="240" w:lineRule="auto"/>
              <w:ind w:left="844" w:right="0" w:hanging="317"/>
              <w:jc w:val="left"/>
              <w:rPr>
                <w:b/>
                <w:sz w:val="21"/>
              </w:rPr>
            </w:pPr>
            <w:r>
              <w:rPr>
                <w:b/>
                <w:spacing w:val="-5"/>
                <w:sz w:val="21"/>
              </w:rPr>
              <w:t>《证券公司董事、监事和高级管理人员任职资格监管办法》</w:t>
            </w:r>
            <w:r>
              <w:rPr>
                <w:b/>
                <w:sz w:val="21"/>
              </w:rPr>
              <w:t>（</w:t>
            </w:r>
            <w:r>
              <w:rPr>
                <w:b/>
                <w:spacing w:val="-9"/>
                <w:sz w:val="21"/>
              </w:rPr>
              <w:t xml:space="preserve">证监会令第 </w:t>
            </w:r>
            <w:r>
              <w:rPr>
                <w:b/>
                <w:sz w:val="21"/>
              </w:rPr>
              <w:t>88</w:t>
            </w:r>
            <w:r>
              <w:rPr>
                <w:b/>
                <w:spacing w:val="-26"/>
                <w:sz w:val="21"/>
              </w:rPr>
              <w:t xml:space="preserve"> 号</w:t>
            </w:r>
            <w:r>
              <w:rPr>
                <w:b/>
                <w:sz w:val="21"/>
              </w:rPr>
              <w:t>）</w:t>
            </w:r>
          </w:p>
          <w:p>
            <w:pPr>
              <w:pStyle w:val="8"/>
              <w:spacing w:before="3"/>
              <w:ind w:left="528"/>
              <w:rPr>
                <w:sz w:val="21"/>
              </w:rPr>
            </w:pPr>
            <w:r>
              <w:rPr>
                <w:sz w:val="21"/>
              </w:rPr>
              <w:t>第八条 取得证券公司董事、监事、高管人员和分支机构负责人任职资格，应当具备以下基本条件：</w:t>
            </w:r>
          </w:p>
          <w:p>
            <w:pPr>
              <w:pStyle w:val="8"/>
              <w:spacing w:before="4"/>
              <w:ind w:left="528"/>
              <w:rPr>
                <w:sz w:val="21"/>
              </w:rPr>
            </w:pPr>
            <w:r>
              <w:rPr>
                <w:sz w:val="21"/>
              </w:rPr>
              <w:t>（一）正直诚实，品行良好。</w:t>
            </w:r>
          </w:p>
          <w:p>
            <w:pPr>
              <w:pStyle w:val="8"/>
              <w:numPr>
                <w:ilvl w:val="0"/>
                <w:numId w:val="19"/>
              </w:numPr>
              <w:tabs>
                <w:tab w:val="left" w:pos="845"/>
              </w:tabs>
              <w:spacing w:before="2" w:after="0" w:line="240" w:lineRule="auto"/>
              <w:ind w:left="844" w:right="0" w:hanging="317"/>
              <w:jc w:val="left"/>
              <w:rPr>
                <w:b/>
                <w:sz w:val="21"/>
              </w:rPr>
            </w:pPr>
            <w:r>
              <w:rPr>
                <w:b/>
                <w:spacing w:val="-5"/>
                <w:sz w:val="21"/>
              </w:rPr>
              <w:t>《证券投资基金行业高级管理人员任职管理办法》</w:t>
            </w:r>
            <w:r>
              <w:rPr>
                <w:b/>
                <w:sz w:val="21"/>
              </w:rPr>
              <w:t>（</w:t>
            </w:r>
            <w:r>
              <w:rPr>
                <w:b/>
                <w:spacing w:val="-9"/>
                <w:sz w:val="21"/>
              </w:rPr>
              <w:t xml:space="preserve">证监会令第 </w:t>
            </w:r>
            <w:r>
              <w:rPr>
                <w:b/>
                <w:sz w:val="21"/>
              </w:rPr>
              <w:t>23</w:t>
            </w:r>
            <w:r>
              <w:rPr>
                <w:b/>
                <w:spacing w:val="-28"/>
                <w:sz w:val="21"/>
              </w:rPr>
              <w:t xml:space="preserve"> 号</w:t>
            </w:r>
            <w:r>
              <w:rPr>
                <w:b/>
                <w:sz w:val="21"/>
              </w:rPr>
              <w:t>）</w:t>
            </w:r>
          </w:p>
          <w:p>
            <w:pPr>
              <w:pStyle w:val="8"/>
              <w:spacing w:before="4" w:line="270" w:lineRule="atLeast"/>
              <w:ind w:left="108" w:right="96" w:firstLine="420"/>
              <w:rPr>
                <w:sz w:val="21"/>
              </w:rPr>
            </w:pPr>
            <w:r>
              <w:rPr>
                <w:sz w:val="21"/>
              </w:rPr>
              <w:t>第四条 高级管理人员应当遵守法律、行政法规和中国证监会的规定，遵守公司章程和行业规范，恪守诚信，审慎勤勉，忠实尽责，维护基金份额持有人的合法权益。</w:t>
            </w:r>
          </w:p>
        </w:tc>
        <w:tc>
          <w:tcPr>
            <w:tcW w:w="208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6" w:hRule="atLeast"/>
        </w:trPr>
        <w:tc>
          <w:tcPr>
            <w:tcW w:w="1626" w:type="dxa"/>
          </w:tcPr>
          <w:p>
            <w:pPr>
              <w:pStyle w:val="8"/>
              <w:spacing w:before="1" w:line="242" w:lineRule="auto"/>
              <w:ind w:left="106" w:right="98"/>
              <w:jc w:val="both"/>
              <w:rPr>
                <w:sz w:val="21"/>
              </w:rPr>
            </w:pPr>
            <w:r>
              <w:rPr>
                <w:spacing w:val="3"/>
                <w:sz w:val="21"/>
              </w:rPr>
              <w:t>16</w:t>
            </w:r>
            <w:r>
              <w:rPr>
                <w:spacing w:val="4"/>
                <w:sz w:val="21"/>
              </w:rPr>
              <w:t>.将失信企业</w:t>
            </w:r>
            <w:r>
              <w:rPr>
                <w:spacing w:val="23"/>
                <w:sz w:val="21"/>
              </w:rPr>
              <w:t>相关信息作为设立保险公司</w:t>
            </w:r>
            <w:r>
              <w:rPr>
                <w:spacing w:val="3"/>
                <w:sz w:val="21"/>
              </w:rPr>
              <w:t>审批参考,作为</w:t>
            </w:r>
            <w:r>
              <w:rPr>
                <w:spacing w:val="23"/>
                <w:sz w:val="21"/>
              </w:rPr>
              <w:t>保险中介业务许可和保险专业中介机构变</w:t>
            </w:r>
            <w:r>
              <w:rPr>
                <w:spacing w:val="-12"/>
                <w:sz w:val="21"/>
              </w:rPr>
              <w:t>更股权、实际控</w:t>
            </w:r>
            <w:r>
              <w:rPr>
                <w:spacing w:val="23"/>
                <w:sz w:val="21"/>
              </w:rPr>
              <w:t>制人备案的参</w:t>
            </w:r>
            <w:r>
              <w:rPr>
                <w:spacing w:val="-12"/>
                <w:sz w:val="21"/>
              </w:rPr>
              <w:t>考；依法限制失</w:t>
            </w:r>
            <w:r>
              <w:rPr>
                <w:spacing w:val="23"/>
                <w:w w:val="95"/>
                <w:sz w:val="21"/>
              </w:rPr>
              <w:t>信企业及失信</w:t>
            </w:r>
          </w:p>
          <w:p>
            <w:pPr>
              <w:pStyle w:val="8"/>
              <w:spacing w:before="6" w:line="250" w:lineRule="exact"/>
              <w:ind w:left="106"/>
              <w:rPr>
                <w:sz w:val="21"/>
              </w:rPr>
            </w:pPr>
            <w:r>
              <w:rPr>
                <w:spacing w:val="-29"/>
                <w:w w:val="95"/>
                <w:sz w:val="21"/>
              </w:rPr>
              <w:t>企业</w:t>
            </w:r>
            <w:r>
              <w:rPr>
                <w:w w:val="95"/>
                <w:sz w:val="21"/>
              </w:rPr>
              <w:t>（企事业单</w:t>
            </w:r>
          </w:p>
        </w:tc>
        <w:tc>
          <w:tcPr>
            <w:tcW w:w="10220" w:type="dxa"/>
          </w:tcPr>
          <w:p>
            <w:pPr>
              <w:pStyle w:val="8"/>
              <w:spacing w:before="1"/>
              <w:ind w:left="528"/>
              <w:rPr>
                <w:b/>
                <w:sz w:val="21"/>
              </w:rPr>
            </w:pPr>
            <w:r>
              <w:rPr>
                <w:b/>
                <w:sz w:val="21"/>
              </w:rPr>
              <w:t>《保险法》</w:t>
            </w:r>
          </w:p>
          <w:p>
            <w:pPr>
              <w:pStyle w:val="8"/>
              <w:spacing w:before="2"/>
              <w:ind w:left="528"/>
              <w:rPr>
                <w:sz w:val="21"/>
              </w:rPr>
            </w:pPr>
            <w:r>
              <w:rPr>
                <w:sz w:val="21"/>
              </w:rPr>
              <w:t>第六十八条 设立保险公司应当具备下列条件：</w:t>
            </w:r>
          </w:p>
          <w:p>
            <w:pPr>
              <w:pStyle w:val="8"/>
              <w:numPr>
                <w:ilvl w:val="0"/>
                <w:numId w:val="20"/>
              </w:numPr>
              <w:tabs>
                <w:tab w:val="left" w:pos="1054"/>
              </w:tabs>
              <w:spacing w:before="2" w:after="0" w:line="244" w:lineRule="auto"/>
              <w:ind w:left="108" w:right="99" w:firstLine="420"/>
              <w:jc w:val="left"/>
              <w:rPr>
                <w:sz w:val="21"/>
              </w:rPr>
            </w:pPr>
            <w:r>
              <w:rPr>
                <w:sz w:val="21"/>
              </w:rPr>
              <w:t>主要股东具有持续盈利能力，信誉良好，最近三年内无重大违法违规记录，净资产不低于人民币二亿元；</w:t>
            </w:r>
          </w:p>
          <w:p>
            <w:pPr>
              <w:pStyle w:val="8"/>
              <w:numPr>
                <w:ilvl w:val="0"/>
                <w:numId w:val="20"/>
              </w:numPr>
              <w:tabs>
                <w:tab w:val="left" w:pos="1053"/>
              </w:tabs>
              <w:spacing w:before="0" w:after="0" w:line="265" w:lineRule="exact"/>
              <w:ind w:left="1052" w:right="0" w:hanging="525"/>
              <w:jc w:val="left"/>
              <w:rPr>
                <w:sz w:val="21"/>
              </w:rPr>
            </w:pPr>
            <w:r>
              <w:rPr>
                <w:sz w:val="21"/>
              </w:rPr>
              <w:t>有符合本法和《中华人民共和国公司法》规定的章程；</w:t>
            </w:r>
          </w:p>
          <w:p>
            <w:pPr>
              <w:pStyle w:val="8"/>
              <w:numPr>
                <w:ilvl w:val="0"/>
                <w:numId w:val="20"/>
              </w:numPr>
              <w:tabs>
                <w:tab w:val="left" w:pos="1053"/>
              </w:tabs>
              <w:spacing w:before="4" w:after="0" w:line="240" w:lineRule="auto"/>
              <w:ind w:left="1052" w:right="0" w:hanging="525"/>
              <w:jc w:val="left"/>
              <w:rPr>
                <w:sz w:val="21"/>
              </w:rPr>
            </w:pPr>
            <w:r>
              <w:rPr>
                <w:sz w:val="21"/>
              </w:rPr>
              <w:t>有符合本法规定的注册资本；</w:t>
            </w:r>
          </w:p>
          <w:p>
            <w:pPr>
              <w:pStyle w:val="8"/>
              <w:numPr>
                <w:ilvl w:val="0"/>
                <w:numId w:val="20"/>
              </w:numPr>
              <w:tabs>
                <w:tab w:val="left" w:pos="1053"/>
              </w:tabs>
              <w:spacing w:before="3" w:after="0" w:line="240" w:lineRule="auto"/>
              <w:ind w:left="1052" w:right="0" w:hanging="525"/>
              <w:jc w:val="left"/>
              <w:rPr>
                <w:sz w:val="21"/>
              </w:rPr>
            </w:pPr>
            <w:r>
              <w:rPr>
                <w:sz w:val="21"/>
              </w:rPr>
              <w:t>有具备任职专业知识和业务工作经验的董事、监事和高级管理人员；</w:t>
            </w:r>
          </w:p>
          <w:p>
            <w:pPr>
              <w:pStyle w:val="8"/>
              <w:numPr>
                <w:ilvl w:val="0"/>
                <w:numId w:val="20"/>
              </w:numPr>
              <w:tabs>
                <w:tab w:val="left" w:pos="1053"/>
              </w:tabs>
              <w:spacing w:before="4" w:after="0" w:line="240" w:lineRule="auto"/>
              <w:ind w:left="1052" w:right="0" w:hanging="525"/>
              <w:jc w:val="left"/>
              <w:rPr>
                <w:sz w:val="21"/>
              </w:rPr>
            </w:pPr>
            <w:r>
              <w:rPr>
                <w:sz w:val="21"/>
              </w:rPr>
              <w:t>有健全的组织机构和管理制度；</w:t>
            </w:r>
          </w:p>
          <w:p>
            <w:pPr>
              <w:pStyle w:val="8"/>
              <w:numPr>
                <w:ilvl w:val="0"/>
                <w:numId w:val="20"/>
              </w:numPr>
              <w:tabs>
                <w:tab w:val="left" w:pos="1053"/>
              </w:tabs>
              <w:spacing w:before="2" w:after="0" w:line="240" w:lineRule="auto"/>
              <w:ind w:left="1052" w:right="0" w:hanging="525"/>
              <w:jc w:val="left"/>
              <w:rPr>
                <w:sz w:val="21"/>
              </w:rPr>
            </w:pPr>
            <w:r>
              <w:rPr>
                <w:sz w:val="21"/>
              </w:rPr>
              <w:t>有符合要求的营业场所和与经营业务有关的其他设施；</w:t>
            </w:r>
          </w:p>
          <w:p>
            <w:pPr>
              <w:pStyle w:val="8"/>
              <w:numPr>
                <w:ilvl w:val="0"/>
                <w:numId w:val="20"/>
              </w:numPr>
              <w:tabs>
                <w:tab w:val="left" w:pos="1053"/>
              </w:tabs>
              <w:spacing w:before="5" w:after="0" w:line="240" w:lineRule="auto"/>
              <w:ind w:left="1052" w:right="0" w:hanging="525"/>
              <w:jc w:val="left"/>
              <w:rPr>
                <w:sz w:val="21"/>
              </w:rPr>
            </w:pPr>
            <w:r>
              <w:rPr>
                <w:sz w:val="21"/>
              </w:rPr>
              <w:t>法律、行政法规和国务院保险监督管理机构规定的其他条件。</w:t>
            </w:r>
          </w:p>
        </w:tc>
        <w:tc>
          <w:tcPr>
            <w:tcW w:w="2081"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16"/>
              <w:ind w:left="107"/>
              <w:rPr>
                <w:sz w:val="21"/>
              </w:rPr>
            </w:pPr>
            <w:r>
              <w:rPr>
                <w:sz w:val="21"/>
              </w:rPr>
              <w:t>银保监会</w:t>
            </w:r>
          </w:p>
        </w:tc>
      </w:tr>
    </w:tbl>
    <w:p>
      <w:pPr>
        <w:spacing w:after="0"/>
        <w:rPr>
          <w:sz w:val="21"/>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1626" w:type="dxa"/>
          </w:tcPr>
          <w:p>
            <w:pPr>
              <w:pStyle w:val="8"/>
              <w:spacing w:before="1" w:line="242" w:lineRule="auto"/>
              <w:ind w:left="106" w:right="98"/>
              <w:jc w:val="both"/>
              <w:rPr>
                <w:sz w:val="21"/>
              </w:rPr>
            </w:pPr>
            <w:r>
              <w:rPr>
                <w:sz w:val="21"/>
              </w:rPr>
              <w:t>位</w:t>
            </w:r>
            <w:r>
              <w:rPr>
                <w:spacing w:val="-61"/>
                <w:sz w:val="21"/>
              </w:rPr>
              <w:t>）</w:t>
            </w:r>
            <w:r>
              <w:rPr>
                <w:spacing w:val="-3"/>
                <w:sz w:val="21"/>
              </w:rPr>
              <w:t>的法定代表</w:t>
            </w:r>
            <w:r>
              <w:rPr>
                <w:spacing w:val="23"/>
                <w:sz w:val="21"/>
              </w:rPr>
              <w:t>人、主要负责</w:t>
            </w:r>
            <w:r>
              <w:rPr>
                <w:spacing w:val="-12"/>
                <w:sz w:val="21"/>
              </w:rPr>
              <w:t>人、影响债务履</w:t>
            </w:r>
            <w:r>
              <w:rPr>
                <w:spacing w:val="23"/>
                <w:sz w:val="21"/>
              </w:rPr>
              <w:t>行的直接责任</w:t>
            </w:r>
            <w:r>
              <w:rPr>
                <w:spacing w:val="-11"/>
                <w:sz w:val="21"/>
              </w:rPr>
              <w:t>人员、实际控制</w:t>
            </w:r>
            <w:r>
              <w:rPr>
                <w:spacing w:val="23"/>
                <w:sz w:val="21"/>
              </w:rPr>
              <w:t>人支付高额保费购买具有现金价值的保险</w:t>
            </w:r>
            <w:r>
              <w:rPr>
                <w:sz w:val="21"/>
              </w:rPr>
              <w:t>产品。</w:t>
            </w:r>
          </w:p>
        </w:tc>
        <w:tc>
          <w:tcPr>
            <w:tcW w:w="10220" w:type="dxa"/>
          </w:tcPr>
          <w:p>
            <w:pPr>
              <w:pStyle w:val="8"/>
              <w:rPr>
                <w:rFonts w:ascii="Times New Roman"/>
                <w:sz w:val="20"/>
              </w:rPr>
            </w:pPr>
          </w:p>
        </w:tc>
        <w:tc>
          <w:tcPr>
            <w:tcW w:w="208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9" w:hRule="atLeast"/>
        </w:trPr>
        <w:tc>
          <w:tcPr>
            <w:tcW w:w="1626" w:type="dxa"/>
          </w:tcPr>
          <w:p>
            <w:pPr>
              <w:pStyle w:val="8"/>
              <w:rPr>
                <w:rFonts w:ascii="Times New Roman"/>
                <w:sz w:val="20"/>
              </w:rPr>
            </w:pPr>
          </w:p>
          <w:p>
            <w:pPr>
              <w:pStyle w:val="8"/>
              <w:spacing w:before="4"/>
              <w:rPr>
                <w:rFonts w:ascii="Times New Roman"/>
                <w:sz w:val="27"/>
              </w:rPr>
            </w:pPr>
          </w:p>
          <w:p>
            <w:pPr>
              <w:pStyle w:val="8"/>
              <w:spacing w:line="242" w:lineRule="auto"/>
              <w:ind w:left="106" w:right="98"/>
              <w:jc w:val="both"/>
              <w:rPr>
                <w:sz w:val="21"/>
              </w:rPr>
            </w:pPr>
            <w:r>
              <w:rPr>
                <w:spacing w:val="3"/>
                <w:sz w:val="21"/>
              </w:rPr>
              <w:t>17</w:t>
            </w:r>
            <w:r>
              <w:rPr>
                <w:spacing w:val="4"/>
                <w:sz w:val="21"/>
              </w:rPr>
              <w:t>.将失信企业</w:t>
            </w:r>
            <w:r>
              <w:rPr>
                <w:spacing w:val="23"/>
                <w:sz w:val="21"/>
              </w:rPr>
              <w:t>相关信息作为设立商业银行</w:t>
            </w:r>
            <w:r>
              <w:rPr>
                <w:spacing w:val="-12"/>
                <w:sz w:val="21"/>
              </w:rPr>
              <w:t>或分行、代表处</w:t>
            </w:r>
            <w:r>
              <w:rPr>
                <w:spacing w:val="-11"/>
                <w:sz w:val="21"/>
              </w:rPr>
              <w:t>以及参股、收购</w:t>
            </w:r>
            <w:r>
              <w:rPr>
                <w:spacing w:val="23"/>
                <w:sz w:val="21"/>
              </w:rPr>
              <w:t>商业银行的审批时审慎性参</w:t>
            </w:r>
            <w:r>
              <w:rPr>
                <w:sz w:val="21"/>
              </w:rPr>
              <w:t>考。</w:t>
            </w:r>
          </w:p>
        </w:tc>
        <w:tc>
          <w:tcPr>
            <w:tcW w:w="10220" w:type="dxa"/>
          </w:tcPr>
          <w:p>
            <w:pPr>
              <w:pStyle w:val="8"/>
              <w:ind w:left="528"/>
              <w:rPr>
                <w:b/>
                <w:sz w:val="21"/>
              </w:rPr>
            </w:pPr>
            <w:r>
              <w:rPr>
                <w:b/>
                <w:sz w:val="21"/>
              </w:rPr>
              <w:t>《中华人民共和国外资银行管理条例》</w:t>
            </w:r>
          </w:p>
          <w:p>
            <w:pPr>
              <w:pStyle w:val="8"/>
              <w:spacing w:before="4"/>
              <w:ind w:left="528"/>
              <w:rPr>
                <w:sz w:val="21"/>
              </w:rPr>
            </w:pPr>
            <w:r>
              <w:rPr>
                <w:sz w:val="21"/>
              </w:rPr>
              <w:t>第九条 拟设外商独资银行、中外合资银行的股东或者拟设分行、代表处的外国银行应当具备下列条件：</w:t>
            </w:r>
          </w:p>
          <w:p>
            <w:pPr>
              <w:pStyle w:val="8"/>
              <w:numPr>
                <w:ilvl w:val="0"/>
                <w:numId w:val="21"/>
              </w:numPr>
              <w:tabs>
                <w:tab w:val="left" w:pos="1053"/>
              </w:tabs>
              <w:spacing w:before="2" w:after="0" w:line="240" w:lineRule="auto"/>
              <w:ind w:left="1052" w:right="0" w:hanging="525"/>
              <w:jc w:val="left"/>
              <w:rPr>
                <w:sz w:val="21"/>
              </w:rPr>
            </w:pPr>
            <w:r>
              <w:rPr>
                <w:sz w:val="21"/>
              </w:rPr>
              <w:t>具有持续盈利能力，信誉良好，无重大违法违规记录；</w:t>
            </w:r>
          </w:p>
          <w:p>
            <w:pPr>
              <w:pStyle w:val="8"/>
              <w:numPr>
                <w:ilvl w:val="0"/>
                <w:numId w:val="21"/>
              </w:numPr>
              <w:tabs>
                <w:tab w:val="left" w:pos="1057"/>
              </w:tabs>
              <w:spacing w:before="5" w:after="0" w:line="242" w:lineRule="auto"/>
              <w:ind w:left="108" w:right="96" w:firstLine="420"/>
              <w:jc w:val="left"/>
              <w:rPr>
                <w:sz w:val="21"/>
              </w:rPr>
            </w:pPr>
            <w:r>
              <w:rPr>
                <w:sz w:val="21"/>
              </w:rPr>
              <w:t>拟设外商独资银行的股东、中外合资银行的外方股东或者拟设分行、代表处的外国银行具有从事国际金融活动的经验；</w:t>
            </w:r>
          </w:p>
          <w:p>
            <w:pPr>
              <w:pStyle w:val="8"/>
              <w:numPr>
                <w:ilvl w:val="0"/>
                <w:numId w:val="21"/>
              </w:numPr>
              <w:tabs>
                <w:tab w:val="left" w:pos="1053"/>
              </w:tabs>
              <w:spacing w:before="1" w:after="0" w:line="240" w:lineRule="auto"/>
              <w:ind w:left="1052" w:right="0" w:hanging="525"/>
              <w:jc w:val="left"/>
              <w:rPr>
                <w:sz w:val="21"/>
              </w:rPr>
            </w:pPr>
            <w:r>
              <w:rPr>
                <w:sz w:val="21"/>
              </w:rPr>
              <w:t>具有有效的反洗钱制度；</w:t>
            </w:r>
          </w:p>
          <w:p>
            <w:pPr>
              <w:pStyle w:val="8"/>
              <w:numPr>
                <w:ilvl w:val="0"/>
                <w:numId w:val="21"/>
              </w:numPr>
              <w:tabs>
                <w:tab w:val="left" w:pos="1057"/>
              </w:tabs>
              <w:spacing w:before="2" w:after="0" w:line="244" w:lineRule="auto"/>
              <w:ind w:left="108" w:right="96" w:firstLine="420"/>
              <w:jc w:val="left"/>
              <w:rPr>
                <w:sz w:val="21"/>
              </w:rPr>
            </w:pPr>
            <w:r>
              <w:rPr>
                <w:sz w:val="21"/>
              </w:rPr>
              <w:t>拟设外商独资银行的股东、中外合资银行的外方股东或者拟设分行、代表处的外国银行受到所在国家或者地区金融监管当局的有效监管，并且其申请经所在国家或者地区金融监管当局同意；</w:t>
            </w:r>
          </w:p>
          <w:p>
            <w:pPr>
              <w:pStyle w:val="8"/>
              <w:numPr>
                <w:ilvl w:val="0"/>
                <w:numId w:val="21"/>
              </w:numPr>
              <w:tabs>
                <w:tab w:val="left" w:pos="1053"/>
              </w:tabs>
              <w:spacing w:before="0" w:after="0" w:line="265" w:lineRule="exact"/>
              <w:ind w:left="1052" w:right="0" w:hanging="525"/>
              <w:jc w:val="left"/>
              <w:rPr>
                <w:sz w:val="21"/>
              </w:rPr>
            </w:pPr>
            <w:r>
              <w:rPr>
                <w:sz w:val="21"/>
              </w:rPr>
              <w:t>国务院银行业监督管理机构规定的其他审慎性条件。</w:t>
            </w:r>
          </w:p>
          <w:p>
            <w:pPr>
              <w:pStyle w:val="8"/>
              <w:spacing w:before="4" w:line="270" w:lineRule="atLeast"/>
              <w:ind w:left="108" w:right="98" w:firstLine="420"/>
              <w:jc w:val="both"/>
              <w:rPr>
                <w:sz w:val="21"/>
              </w:rPr>
            </w:pPr>
            <w:r>
              <w:rPr>
                <w:spacing w:val="-6"/>
                <w:w w:val="95"/>
                <w:sz w:val="21"/>
              </w:rPr>
              <w:t>拟设外商独资银行的股东、中外合资银行的外方股东或者拟设分行、代表处的外国银行所在国家或者地区</w:t>
            </w:r>
            <w:r>
              <w:rPr>
                <w:spacing w:val="-11"/>
                <w:w w:val="95"/>
                <w:sz w:val="21"/>
              </w:rPr>
              <w:t>应当具有完善的金融监督管理制度，并且其金融监管当局已经与国务院银行业监督管理机构建立良好的监督管</w:t>
            </w:r>
            <w:r>
              <w:rPr>
                <w:spacing w:val="-11"/>
                <w:sz w:val="21"/>
              </w:rPr>
              <w:t>理合作机制。</w:t>
            </w:r>
          </w:p>
        </w:tc>
        <w:tc>
          <w:tcPr>
            <w:tcW w:w="2081"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17"/>
              <w:ind w:left="107"/>
              <w:rPr>
                <w:sz w:val="21"/>
              </w:rPr>
            </w:pPr>
            <w:r>
              <w:rPr>
                <w:sz w:val="21"/>
              </w:rPr>
              <w:t>银保监会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4" w:hRule="atLeast"/>
        </w:trPr>
        <w:tc>
          <w:tcPr>
            <w:tcW w:w="1626" w:type="dxa"/>
          </w:tcPr>
          <w:p>
            <w:pPr>
              <w:pStyle w:val="8"/>
              <w:spacing w:line="242" w:lineRule="auto"/>
              <w:ind w:left="106" w:right="98"/>
              <w:jc w:val="both"/>
              <w:rPr>
                <w:sz w:val="21"/>
              </w:rPr>
            </w:pPr>
            <w:r>
              <w:rPr>
                <w:spacing w:val="3"/>
                <w:sz w:val="21"/>
              </w:rPr>
              <w:t>18</w:t>
            </w:r>
            <w:r>
              <w:rPr>
                <w:spacing w:val="4"/>
                <w:sz w:val="21"/>
              </w:rPr>
              <w:t>.将失信信息</w:t>
            </w:r>
            <w:r>
              <w:rPr>
                <w:spacing w:val="23"/>
                <w:sz w:val="21"/>
              </w:rPr>
              <w:t>作为境内上市公司实行股权激励计划或相关人员成为股</w:t>
            </w:r>
            <w:r>
              <w:rPr>
                <w:spacing w:val="23"/>
                <w:w w:val="95"/>
                <w:sz w:val="21"/>
              </w:rPr>
              <w:t>权激励对象事</w:t>
            </w:r>
          </w:p>
          <w:p>
            <w:pPr>
              <w:pStyle w:val="8"/>
              <w:spacing w:before="3" w:line="250" w:lineRule="exact"/>
              <w:ind w:left="106"/>
              <w:jc w:val="both"/>
              <w:rPr>
                <w:sz w:val="21"/>
              </w:rPr>
            </w:pPr>
            <w:r>
              <w:rPr>
                <w:spacing w:val="25"/>
                <w:w w:val="95"/>
                <w:sz w:val="21"/>
              </w:rPr>
              <w:t>中事后监管的</w:t>
            </w:r>
          </w:p>
        </w:tc>
        <w:tc>
          <w:tcPr>
            <w:tcW w:w="10220" w:type="dxa"/>
          </w:tcPr>
          <w:p>
            <w:pPr>
              <w:pStyle w:val="8"/>
              <w:spacing w:line="268" w:lineRule="exact"/>
              <w:ind w:left="528"/>
              <w:rPr>
                <w:b/>
                <w:sz w:val="21"/>
              </w:rPr>
            </w:pPr>
            <w:r>
              <w:rPr>
                <w:b/>
                <w:sz w:val="21"/>
              </w:rPr>
              <w:t>1.《国有控股上市公司（境内）实施股权激励试行办法》</w:t>
            </w:r>
          </w:p>
          <w:p>
            <w:pPr>
              <w:pStyle w:val="8"/>
              <w:spacing w:before="4" w:line="242" w:lineRule="auto"/>
              <w:ind w:left="108" w:right="96" w:firstLine="420"/>
              <w:jc w:val="both"/>
              <w:rPr>
                <w:sz w:val="21"/>
              </w:rPr>
            </w:pPr>
            <w:r>
              <w:rPr>
                <w:sz w:val="21"/>
              </w:rPr>
              <w:t>第三十四条 国有控股股东应依法行使股东权利，要求上市公司在发生以下情形之一时，中止实施股权激</w:t>
            </w:r>
            <w:r>
              <w:rPr>
                <w:spacing w:val="-8"/>
                <w:w w:val="95"/>
                <w:sz w:val="21"/>
              </w:rPr>
              <w:t>励计划，自发生之日起一年内不得向激励对象授予新的股权，激励对象也不得根据股权激励计划行使权利或获</w:t>
            </w:r>
            <w:r>
              <w:rPr>
                <w:spacing w:val="-8"/>
                <w:sz w:val="21"/>
              </w:rPr>
              <w:t>得收益：</w:t>
            </w:r>
          </w:p>
          <w:p>
            <w:pPr>
              <w:pStyle w:val="8"/>
              <w:numPr>
                <w:ilvl w:val="0"/>
                <w:numId w:val="22"/>
              </w:numPr>
              <w:tabs>
                <w:tab w:val="left" w:pos="1053"/>
              </w:tabs>
              <w:spacing w:before="1" w:after="0" w:line="240" w:lineRule="auto"/>
              <w:ind w:left="1052" w:right="0" w:hanging="525"/>
              <w:jc w:val="left"/>
              <w:rPr>
                <w:sz w:val="21"/>
              </w:rPr>
            </w:pPr>
            <w:r>
              <w:rPr>
                <w:sz w:val="21"/>
              </w:rPr>
              <w:t>企业年度绩效考核达不到股权激励计划规定的绩效考核标准；</w:t>
            </w:r>
          </w:p>
          <w:p>
            <w:pPr>
              <w:pStyle w:val="8"/>
              <w:numPr>
                <w:ilvl w:val="0"/>
                <w:numId w:val="22"/>
              </w:numPr>
              <w:tabs>
                <w:tab w:val="left" w:pos="1054"/>
              </w:tabs>
              <w:spacing w:before="2" w:after="0" w:line="240" w:lineRule="auto"/>
              <w:ind w:left="1053" w:right="0" w:hanging="526"/>
              <w:jc w:val="left"/>
              <w:rPr>
                <w:sz w:val="21"/>
              </w:rPr>
            </w:pPr>
            <w:r>
              <w:rPr>
                <w:sz w:val="21"/>
              </w:rPr>
              <w:t>国有资产监督管理机构或部门、监事会或审计部门对上市公司业绩或年度财务会计报告提出重大异</w:t>
            </w:r>
          </w:p>
          <w:p>
            <w:pPr>
              <w:pStyle w:val="8"/>
              <w:spacing w:before="5" w:line="250" w:lineRule="exact"/>
              <w:ind w:left="108"/>
              <w:rPr>
                <w:sz w:val="21"/>
              </w:rPr>
            </w:pPr>
            <w:r>
              <w:rPr>
                <w:sz w:val="21"/>
              </w:rPr>
              <w:t>议；</w:t>
            </w:r>
          </w:p>
        </w:tc>
        <w:tc>
          <w:tcPr>
            <w:tcW w:w="2081" w:type="dxa"/>
          </w:tcPr>
          <w:p>
            <w:pPr>
              <w:pStyle w:val="8"/>
              <w:rPr>
                <w:rFonts w:ascii="Times New Roman"/>
                <w:sz w:val="20"/>
              </w:rPr>
            </w:pPr>
          </w:p>
          <w:p>
            <w:pPr>
              <w:pStyle w:val="8"/>
              <w:spacing w:before="3"/>
              <w:rPr>
                <w:rFonts w:ascii="Times New Roman"/>
                <w:sz w:val="27"/>
              </w:rPr>
            </w:pPr>
          </w:p>
          <w:p>
            <w:pPr>
              <w:pStyle w:val="8"/>
              <w:spacing w:line="242" w:lineRule="auto"/>
              <w:ind w:left="107" w:right="1123"/>
              <w:jc w:val="both"/>
              <w:rPr>
                <w:sz w:val="21"/>
              </w:rPr>
            </w:pPr>
            <w:r>
              <w:rPr>
                <w:sz w:val="21"/>
              </w:rPr>
              <w:t>证监会、国资委、财政部</w:t>
            </w:r>
          </w:p>
        </w:tc>
      </w:tr>
    </w:tbl>
    <w:p>
      <w:pPr>
        <w:spacing w:after="0" w:line="242" w:lineRule="auto"/>
        <w:jc w:val="both"/>
        <w:rPr>
          <w:sz w:val="21"/>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0" w:hRule="atLeast"/>
        </w:trPr>
        <w:tc>
          <w:tcPr>
            <w:tcW w:w="1626" w:type="dxa"/>
          </w:tcPr>
          <w:p>
            <w:pPr>
              <w:pStyle w:val="8"/>
              <w:spacing w:before="1"/>
              <w:ind w:left="106"/>
              <w:rPr>
                <w:sz w:val="21"/>
              </w:rPr>
            </w:pPr>
            <w:r>
              <w:rPr>
                <w:sz w:val="21"/>
              </w:rPr>
              <w:t>参考。</w:t>
            </w:r>
          </w:p>
        </w:tc>
        <w:tc>
          <w:tcPr>
            <w:tcW w:w="10220" w:type="dxa"/>
          </w:tcPr>
          <w:p>
            <w:pPr>
              <w:pStyle w:val="8"/>
              <w:spacing w:before="1"/>
              <w:ind w:left="528"/>
              <w:rPr>
                <w:sz w:val="21"/>
              </w:rPr>
            </w:pPr>
            <w:r>
              <w:rPr>
                <w:sz w:val="21"/>
              </w:rPr>
              <w:t>（3）发生重大违规行为，受到证券监管及其他有关部门处罚。</w:t>
            </w:r>
          </w:p>
          <w:p>
            <w:pPr>
              <w:pStyle w:val="8"/>
              <w:spacing w:before="3" w:line="242" w:lineRule="auto"/>
              <w:ind w:left="108" w:right="99" w:firstLine="420"/>
              <w:rPr>
                <w:sz w:val="21"/>
              </w:rPr>
            </w:pPr>
            <w:r>
              <w:rPr>
                <w:sz w:val="21"/>
              </w:rPr>
              <w:t>第三十五条 股权激励对象有以下情形之一的，上市公司国有控股股东应依法行使股东权利，提出终止授予新的股权并取消其行权资格：</w:t>
            </w:r>
          </w:p>
          <w:p>
            <w:pPr>
              <w:pStyle w:val="8"/>
              <w:numPr>
                <w:ilvl w:val="0"/>
                <w:numId w:val="23"/>
              </w:numPr>
              <w:tabs>
                <w:tab w:val="left" w:pos="1053"/>
              </w:tabs>
              <w:spacing w:before="1" w:after="0" w:line="240" w:lineRule="auto"/>
              <w:ind w:left="1052" w:right="0" w:hanging="525"/>
              <w:jc w:val="left"/>
              <w:rPr>
                <w:sz w:val="21"/>
              </w:rPr>
            </w:pPr>
            <w:r>
              <w:rPr>
                <w:sz w:val="21"/>
              </w:rPr>
              <w:t>违反国家有关法律法规、上市公司章程规定的；</w:t>
            </w:r>
          </w:p>
          <w:p>
            <w:pPr>
              <w:pStyle w:val="8"/>
              <w:numPr>
                <w:ilvl w:val="0"/>
                <w:numId w:val="23"/>
              </w:numPr>
              <w:tabs>
                <w:tab w:val="left" w:pos="1054"/>
              </w:tabs>
              <w:spacing w:before="2" w:after="0" w:line="244" w:lineRule="auto"/>
              <w:ind w:left="108" w:right="99" w:firstLine="420"/>
              <w:jc w:val="left"/>
              <w:rPr>
                <w:sz w:val="21"/>
              </w:rPr>
            </w:pPr>
            <w:r>
              <w:rPr>
                <w:sz w:val="21"/>
              </w:rPr>
              <w:t>任职期间，由于受贿索贿、贪污盗窃、泄露上市公司经营和技术秘密、实施关联交易损害上市公司利益、声誉和对上市公司形象有重大负面影响等违法违纪行为，给上市公司造成损失的。</w:t>
            </w:r>
          </w:p>
          <w:p>
            <w:pPr>
              <w:pStyle w:val="8"/>
              <w:spacing w:line="267" w:lineRule="exact"/>
              <w:ind w:left="528"/>
              <w:rPr>
                <w:b/>
                <w:sz w:val="21"/>
              </w:rPr>
            </w:pPr>
            <w:r>
              <w:rPr>
                <w:b/>
                <w:sz w:val="21"/>
              </w:rPr>
              <w:t>2.《上市公司股权激励管理办法》（证监会令 126 号）</w:t>
            </w:r>
          </w:p>
          <w:p>
            <w:pPr>
              <w:pStyle w:val="8"/>
              <w:spacing w:before="2"/>
              <w:ind w:left="528"/>
              <w:rPr>
                <w:sz w:val="21"/>
              </w:rPr>
            </w:pPr>
            <w:r>
              <w:rPr>
                <w:sz w:val="21"/>
              </w:rPr>
              <w:t>第七条 上市公司具有下列情形之一的，不得实行股权激励：</w:t>
            </w:r>
          </w:p>
          <w:p>
            <w:pPr>
              <w:pStyle w:val="8"/>
              <w:spacing w:before="2"/>
              <w:ind w:left="528"/>
              <w:rPr>
                <w:sz w:val="21"/>
              </w:rPr>
            </w:pPr>
            <w:r>
              <w:rPr>
                <w:sz w:val="21"/>
              </w:rPr>
              <w:t>（四）法律法规规定不得实行股权激励的；</w:t>
            </w:r>
          </w:p>
          <w:p>
            <w:pPr>
              <w:pStyle w:val="8"/>
              <w:spacing w:before="5"/>
              <w:ind w:left="528"/>
              <w:rPr>
                <w:sz w:val="21"/>
              </w:rPr>
            </w:pPr>
            <w:r>
              <w:rPr>
                <w:sz w:val="21"/>
              </w:rPr>
              <w:t>（五）中国证监会认定的其他情形。</w:t>
            </w:r>
          </w:p>
          <w:p>
            <w:pPr>
              <w:pStyle w:val="8"/>
              <w:spacing w:before="2"/>
              <w:ind w:left="528"/>
              <w:rPr>
                <w:sz w:val="21"/>
              </w:rPr>
            </w:pPr>
            <w:r>
              <w:rPr>
                <w:sz w:val="21"/>
              </w:rPr>
              <w:t>第八条 下列人员也不得成为激励对象：</w:t>
            </w:r>
          </w:p>
          <w:p>
            <w:pPr>
              <w:pStyle w:val="8"/>
              <w:spacing w:before="5"/>
              <w:ind w:left="528"/>
              <w:rPr>
                <w:sz w:val="21"/>
              </w:rPr>
            </w:pPr>
            <w:r>
              <w:rPr>
                <w:sz w:val="21"/>
              </w:rPr>
              <w:t>（一）最近 12 个月内被证券交易所认定为不适当人选；</w:t>
            </w:r>
          </w:p>
          <w:p>
            <w:pPr>
              <w:pStyle w:val="8"/>
              <w:spacing w:before="2"/>
              <w:ind w:left="528"/>
              <w:rPr>
                <w:sz w:val="21"/>
              </w:rPr>
            </w:pPr>
            <w:r>
              <w:rPr>
                <w:sz w:val="21"/>
              </w:rPr>
              <w:t>（二）最近 12 个月内被中国证监会及其派出机构认定为不适当人选；</w:t>
            </w:r>
          </w:p>
          <w:p>
            <w:pPr>
              <w:pStyle w:val="8"/>
              <w:spacing w:before="4"/>
              <w:ind w:left="528"/>
              <w:rPr>
                <w:sz w:val="21"/>
              </w:rPr>
            </w:pPr>
            <w:r>
              <w:rPr>
                <w:sz w:val="21"/>
              </w:rPr>
              <w:t>（三）最近 12 个月内因重大违法违规行为被中国证监会及其派出机构行政处罚或者采取市场禁入措施；</w:t>
            </w:r>
          </w:p>
          <w:p>
            <w:pPr>
              <w:pStyle w:val="8"/>
              <w:spacing w:before="2"/>
              <w:ind w:left="530"/>
              <w:rPr>
                <w:sz w:val="21"/>
              </w:rPr>
            </w:pPr>
            <w:r>
              <w:rPr>
                <w:sz w:val="21"/>
              </w:rPr>
              <w:t>（四）具有《公司法》规定的不得担任公司董事、高级管理人员情形的；</w:t>
            </w:r>
          </w:p>
          <w:p>
            <w:pPr>
              <w:pStyle w:val="8"/>
              <w:spacing w:before="5"/>
              <w:ind w:left="528"/>
              <w:rPr>
                <w:sz w:val="21"/>
              </w:rPr>
            </w:pPr>
            <w:r>
              <w:rPr>
                <w:sz w:val="21"/>
              </w:rPr>
              <w:t>（五）法律法规规定不得参与上市公司股权激励的；</w:t>
            </w:r>
          </w:p>
          <w:p>
            <w:pPr>
              <w:pStyle w:val="8"/>
              <w:spacing w:before="2" w:line="252" w:lineRule="exact"/>
              <w:ind w:left="528"/>
              <w:rPr>
                <w:sz w:val="21"/>
              </w:rPr>
            </w:pPr>
            <w:r>
              <w:rPr>
                <w:sz w:val="21"/>
              </w:rPr>
              <w:t>（六）中国证监会认定的其他情形。</w:t>
            </w:r>
          </w:p>
        </w:tc>
        <w:tc>
          <w:tcPr>
            <w:tcW w:w="208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6" w:hRule="atLeast"/>
        </w:trPr>
        <w:tc>
          <w:tcPr>
            <w:tcW w:w="1626" w:type="dxa"/>
          </w:tcPr>
          <w:p>
            <w:pPr>
              <w:pStyle w:val="8"/>
              <w:spacing w:before="1" w:line="242" w:lineRule="auto"/>
              <w:ind w:left="106" w:right="98"/>
              <w:jc w:val="both"/>
              <w:rPr>
                <w:sz w:val="21"/>
              </w:rPr>
            </w:pPr>
            <w:r>
              <w:rPr>
                <w:spacing w:val="3"/>
                <w:sz w:val="21"/>
              </w:rPr>
              <w:t>19</w:t>
            </w:r>
            <w:r>
              <w:rPr>
                <w:spacing w:val="4"/>
                <w:sz w:val="21"/>
              </w:rPr>
              <w:t>.在合格境外</w:t>
            </w:r>
            <w:r>
              <w:rPr>
                <w:spacing w:val="-12"/>
                <w:sz w:val="21"/>
              </w:rPr>
              <w:t>机构投资者、合</w:t>
            </w:r>
            <w:r>
              <w:rPr>
                <w:spacing w:val="23"/>
                <w:sz w:val="21"/>
              </w:rPr>
              <w:t>格境内机构投资者额度审批</w:t>
            </w:r>
            <w:r>
              <w:rPr>
                <w:spacing w:val="-11"/>
                <w:sz w:val="21"/>
              </w:rPr>
              <w:t>和管理中，将失</w:t>
            </w:r>
            <w:r>
              <w:rPr>
                <w:spacing w:val="23"/>
                <w:sz w:val="21"/>
              </w:rPr>
              <w:t>信状况作为审</w:t>
            </w:r>
          </w:p>
          <w:p>
            <w:pPr>
              <w:pStyle w:val="8"/>
              <w:spacing w:before="1" w:line="253" w:lineRule="exact"/>
              <w:ind w:left="106"/>
              <w:rPr>
                <w:sz w:val="21"/>
              </w:rPr>
            </w:pPr>
            <w:r>
              <w:rPr>
                <w:sz w:val="21"/>
              </w:rPr>
              <w:t>慎性参考依据。</w:t>
            </w:r>
          </w:p>
        </w:tc>
        <w:tc>
          <w:tcPr>
            <w:tcW w:w="10220" w:type="dxa"/>
          </w:tcPr>
          <w:p>
            <w:pPr>
              <w:pStyle w:val="8"/>
              <w:spacing w:before="1" w:line="242" w:lineRule="auto"/>
              <w:ind w:left="528" w:right="718"/>
              <w:jc w:val="both"/>
              <w:rPr>
                <w:sz w:val="21"/>
              </w:rPr>
            </w:pPr>
            <w:r>
              <w:rPr>
                <w:b/>
                <w:sz w:val="21"/>
              </w:rPr>
              <w:t>《国务院关于印发社会信用体系建设规划纲要（2014—2020</w:t>
            </w:r>
            <w:r>
              <w:rPr>
                <w:b/>
                <w:spacing w:val="-30"/>
                <w:sz w:val="21"/>
              </w:rPr>
              <w:t xml:space="preserve"> 年</w:t>
            </w:r>
            <w:r>
              <w:rPr>
                <w:b/>
                <w:sz w:val="21"/>
              </w:rPr>
              <w:t>）的通知》（国发〔2014〕21</w:t>
            </w:r>
            <w:r>
              <w:rPr>
                <w:b/>
                <w:spacing w:val="-31"/>
                <w:sz w:val="21"/>
              </w:rPr>
              <w:t xml:space="preserve"> 号</w:t>
            </w:r>
            <w:r>
              <w:rPr>
                <w:b/>
                <w:sz w:val="21"/>
              </w:rPr>
              <w:t xml:space="preserve">） </w:t>
            </w:r>
            <w:r>
              <w:rPr>
                <w:sz w:val="21"/>
              </w:rPr>
              <w:t>第二部分第（一）条</w:t>
            </w:r>
          </w:p>
          <w:p>
            <w:pPr>
              <w:pStyle w:val="8"/>
              <w:spacing w:line="242" w:lineRule="auto"/>
              <w:ind w:left="108" w:right="94" w:firstLine="420"/>
              <w:jc w:val="both"/>
              <w:rPr>
                <w:sz w:val="21"/>
              </w:rPr>
            </w:pPr>
            <w:r>
              <w:rPr>
                <w:w w:val="95"/>
                <w:sz w:val="21"/>
              </w:rPr>
              <w:t>发挥</w:t>
            </w:r>
            <w:r>
              <w:fldChar w:fldCharType="begin"/>
            </w:r>
            <w:r>
              <w:instrText xml:space="preserve"> HYPERLINK "http://baike.baidu.com/subview/2996902/2996902.htm" \h </w:instrText>
            </w:r>
            <w:r>
              <w:fldChar w:fldCharType="separate"/>
            </w:r>
            <w:r>
              <w:rPr>
                <w:w w:val="95"/>
                <w:sz w:val="21"/>
              </w:rPr>
              <w:t>政府诚信</w:t>
            </w:r>
            <w:r>
              <w:rPr>
                <w:w w:val="95"/>
                <w:sz w:val="21"/>
              </w:rPr>
              <w:fldChar w:fldCharType="end"/>
            </w:r>
            <w:r>
              <w:rPr>
                <w:spacing w:val="-6"/>
                <w:w w:val="95"/>
                <w:sz w:val="21"/>
              </w:rPr>
              <w:t>建设示范作用。各级人民政府首先要加强自身诚信建设，以政府的诚信施政，带动全社会诚</w:t>
            </w:r>
            <w:r>
              <w:rPr>
                <w:spacing w:val="-10"/>
                <w:w w:val="95"/>
                <w:sz w:val="21"/>
              </w:rPr>
              <w:t>信意识的树立和诚信水平的提高。在行政许可、政府采购、招标投标、劳动就业、社会保障、科研管理、干部</w:t>
            </w:r>
            <w:r>
              <w:rPr>
                <w:spacing w:val="-10"/>
                <w:sz w:val="21"/>
              </w:rPr>
              <w:t>选拔任用和管理监督、申请政府资金支持等领域，率先使用信用信息和信用产品，培育信用服务市场发展。</w:t>
            </w:r>
          </w:p>
        </w:tc>
        <w:tc>
          <w:tcPr>
            <w:tcW w:w="2081"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27"/>
              <w:ind w:left="107"/>
              <w:rPr>
                <w:sz w:val="21"/>
              </w:rPr>
            </w:pPr>
            <w:r>
              <w:rPr>
                <w:sz w:val="21"/>
              </w:rPr>
              <w:t>外汇局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1626" w:type="dxa"/>
          </w:tcPr>
          <w:p>
            <w:pPr>
              <w:pStyle w:val="8"/>
              <w:spacing w:line="242" w:lineRule="auto"/>
              <w:ind w:left="106" w:right="98"/>
              <w:jc w:val="both"/>
              <w:rPr>
                <w:sz w:val="21"/>
              </w:rPr>
            </w:pPr>
            <w:r>
              <w:rPr>
                <w:spacing w:val="3"/>
                <w:sz w:val="21"/>
              </w:rPr>
              <w:t>20</w:t>
            </w:r>
            <w:r>
              <w:rPr>
                <w:spacing w:val="4"/>
                <w:sz w:val="21"/>
              </w:rPr>
              <w:t>.在融资授信</w:t>
            </w:r>
            <w:r>
              <w:rPr>
                <w:spacing w:val="23"/>
                <w:sz w:val="21"/>
              </w:rPr>
              <w:t>时查询拟授信</w:t>
            </w:r>
            <w:r>
              <w:rPr>
                <w:spacing w:val="23"/>
                <w:w w:val="95"/>
                <w:sz w:val="21"/>
              </w:rPr>
              <w:t>对象及其法定</w:t>
            </w:r>
          </w:p>
          <w:p>
            <w:pPr>
              <w:pStyle w:val="8"/>
              <w:spacing w:before="2" w:line="270" w:lineRule="atLeast"/>
              <w:ind w:left="106" w:right="98"/>
              <w:rPr>
                <w:sz w:val="21"/>
              </w:rPr>
            </w:pPr>
            <w:r>
              <w:rPr>
                <w:spacing w:val="-12"/>
                <w:sz w:val="21"/>
              </w:rPr>
              <w:t>代表人、实际控</w:t>
            </w:r>
            <w:r>
              <w:rPr>
                <w:spacing w:val="-12"/>
                <w:w w:val="95"/>
                <w:sz w:val="21"/>
              </w:rPr>
              <w:t>制人、董事、监</w:t>
            </w:r>
          </w:p>
        </w:tc>
        <w:tc>
          <w:tcPr>
            <w:tcW w:w="10220" w:type="dxa"/>
          </w:tcPr>
          <w:p>
            <w:pPr>
              <w:pStyle w:val="8"/>
              <w:numPr>
                <w:ilvl w:val="0"/>
                <w:numId w:val="24"/>
              </w:numPr>
              <w:tabs>
                <w:tab w:val="left" w:pos="740"/>
              </w:tabs>
              <w:spacing w:before="0" w:after="0" w:line="240" w:lineRule="auto"/>
              <w:ind w:left="739" w:right="0" w:hanging="212"/>
              <w:jc w:val="left"/>
              <w:rPr>
                <w:b/>
                <w:sz w:val="21"/>
              </w:rPr>
            </w:pPr>
            <w:r>
              <w:rPr>
                <w:b/>
                <w:sz w:val="21"/>
              </w:rPr>
              <w:t>《征信业管理条例》</w:t>
            </w:r>
          </w:p>
          <w:p>
            <w:pPr>
              <w:pStyle w:val="8"/>
              <w:spacing w:before="4" w:line="242" w:lineRule="auto"/>
              <w:ind w:left="108" w:right="96" w:firstLine="420"/>
              <w:rPr>
                <w:sz w:val="21"/>
              </w:rPr>
            </w:pPr>
            <w:r>
              <w:rPr>
                <w:sz w:val="21"/>
              </w:rPr>
              <w:t>第十三条 采集个人信息应当经信息主体本人同意，未经本人同意不得采集。但是，依照法律、行政法规规定公开的信息除外。企业的董事、监事、高级管理人员与其履行职务相关的信息，不作为个人信息。</w:t>
            </w:r>
          </w:p>
          <w:p>
            <w:pPr>
              <w:pStyle w:val="8"/>
              <w:numPr>
                <w:ilvl w:val="0"/>
                <w:numId w:val="24"/>
              </w:numPr>
              <w:tabs>
                <w:tab w:val="left" w:pos="740"/>
              </w:tabs>
              <w:spacing w:before="2" w:after="0" w:line="240" w:lineRule="auto"/>
              <w:ind w:left="739" w:right="0" w:hanging="212"/>
              <w:jc w:val="left"/>
              <w:rPr>
                <w:b/>
                <w:sz w:val="21"/>
              </w:rPr>
            </w:pPr>
            <w:r>
              <w:rPr>
                <w:b/>
                <w:sz w:val="21"/>
              </w:rPr>
              <w:t>《全国银行间债券市场金融债券发行管理办法》</w:t>
            </w:r>
          </w:p>
          <w:p>
            <w:pPr>
              <w:pStyle w:val="8"/>
              <w:spacing w:before="2" w:line="250" w:lineRule="exact"/>
              <w:ind w:left="528"/>
              <w:rPr>
                <w:sz w:val="21"/>
              </w:rPr>
            </w:pPr>
            <w:r>
              <w:rPr>
                <w:sz w:val="21"/>
              </w:rPr>
              <w:t>第十五条 金融债券的发行应由具有债券评级能力的信用评级机构进行信用评级。金融债券发行后信用评</w:t>
            </w:r>
          </w:p>
        </w:tc>
        <w:tc>
          <w:tcPr>
            <w:tcW w:w="2081" w:type="dxa"/>
          </w:tcPr>
          <w:p>
            <w:pPr>
              <w:pStyle w:val="8"/>
              <w:rPr>
                <w:rFonts w:ascii="Times New Roman"/>
                <w:sz w:val="20"/>
              </w:rPr>
            </w:pPr>
          </w:p>
          <w:p>
            <w:pPr>
              <w:pStyle w:val="8"/>
              <w:spacing w:before="178" w:line="244" w:lineRule="auto"/>
              <w:ind w:left="107" w:right="912"/>
              <w:rPr>
                <w:sz w:val="21"/>
              </w:rPr>
            </w:pPr>
            <w:r>
              <w:rPr>
                <w:sz w:val="21"/>
              </w:rPr>
              <w:t>人民银行、银保监会</w:t>
            </w:r>
          </w:p>
        </w:tc>
      </w:tr>
    </w:tbl>
    <w:p>
      <w:pPr>
        <w:spacing w:after="0" w:line="244" w:lineRule="auto"/>
        <w:rPr>
          <w:sz w:val="21"/>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2" w:hRule="atLeast"/>
        </w:trPr>
        <w:tc>
          <w:tcPr>
            <w:tcW w:w="1626" w:type="dxa"/>
          </w:tcPr>
          <w:p>
            <w:pPr>
              <w:pStyle w:val="8"/>
              <w:spacing w:before="1" w:line="242" w:lineRule="auto"/>
              <w:ind w:left="106" w:right="98"/>
              <w:jc w:val="both"/>
              <w:rPr>
                <w:sz w:val="21"/>
              </w:rPr>
            </w:pPr>
            <w:r>
              <w:rPr>
                <w:spacing w:val="-12"/>
                <w:sz w:val="21"/>
              </w:rPr>
              <w:t>事、高级管理人</w:t>
            </w:r>
            <w:r>
              <w:rPr>
                <w:spacing w:val="23"/>
                <w:sz w:val="21"/>
              </w:rPr>
              <w:t>员是否为失信</w:t>
            </w:r>
            <w:r>
              <w:rPr>
                <w:spacing w:val="-11"/>
                <w:sz w:val="21"/>
              </w:rPr>
              <w:t>责任主体，对拟</w:t>
            </w:r>
            <w:r>
              <w:rPr>
                <w:spacing w:val="23"/>
                <w:sz w:val="21"/>
              </w:rPr>
              <w:t>授信对象为失信责任主体的</w:t>
            </w:r>
            <w:r>
              <w:rPr>
                <w:sz w:val="21"/>
              </w:rPr>
              <w:t>从严审核。</w:t>
            </w:r>
          </w:p>
        </w:tc>
        <w:tc>
          <w:tcPr>
            <w:tcW w:w="10220" w:type="dxa"/>
          </w:tcPr>
          <w:p>
            <w:pPr>
              <w:pStyle w:val="8"/>
              <w:spacing w:before="1" w:line="242" w:lineRule="auto"/>
              <w:ind w:left="108" w:right="16"/>
              <w:rPr>
                <w:sz w:val="21"/>
              </w:rPr>
            </w:pPr>
            <w:r>
              <w:rPr>
                <w:w w:val="95"/>
                <w:sz w:val="21"/>
              </w:rPr>
              <w:t>级机构应每年对该金融债券进行跟踪信用评级。如发生影响该金融债券信用评级的重大事项，信用评级机构应</w:t>
            </w:r>
            <w:r>
              <w:rPr>
                <w:sz w:val="21"/>
              </w:rPr>
              <w:t>及时调整该金融债券的信用评级，并向投资者公布。</w:t>
            </w:r>
          </w:p>
          <w:p>
            <w:pPr>
              <w:pStyle w:val="8"/>
              <w:numPr>
                <w:ilvl w:val="0"/>
                <w:numId w:val="25"/>
              </w:numPr>
              <w:tabs>
                <w:tab w:val="left" w:pos="740"/>
              </w:tabs>
              <w:spacing w:before="0" w:after="0" w:line="244" w:lineRule="auto"/>
              <w:ind w:left="528" w:right="504" w:firstLine="0"/>
              <w:jc w:val="left"/>
              <w:rPr>
                <w:sz w:val="21"/>
              </w:rPr>
            </w:pPr>
            <w:r>
              <w:rPr>
                <w:b/>
                <w:sz w:val="21"/>
              </w:rPr>
              <w:t>《国务院关于印发社会信用体系建设规划纲要（2014—2020</w:t>
            </w:r>
            <w:r>
              <w:rPr>
                <w:b/>
                <w:spacing w:val="-30"/>
                <w:sz w:val="21"/>
              </w:rPr>
              <w:t xml:space="preserve"> 年</w:t>
            </w:r>
            <w:r>
              <w:rPr>
                <w:b/>
                <w:sz w:val="21"/>
              </w:rPr>
              <w:t>）的通知》（国发〔2014〕21</w:t>
            </w:r>
            <w:r>
              <w:rPr>
                <w:b/>
                <w:spacing w:val="-30"/>
                <w:sz w:val="21"/>
              </w:rPr>
              <w:t xml:space="preserve"> 号</w:t>
            </w:r>
            <w:r>
              <w:rPr>
                <w:b/>
                <w:sz w:val="21"/>
              </w:rPr>
              <w:t xml:space="preserve">） </w:t>
            </w:r>
            <w:r>
              <w:rPr>
                <w:sz w:val="21"/>
              </w:rPr>
              <w:t>第二部分第（一）条</w:t>
            </w:r>
          </w:p>
          <w:p>
            <w:pPr>
              <w:pStyle w:val="8"/>
              <w:spacing w:line="244" w:lineRule="auto"/>
              <w:ind w:left="108" w:right="94" w:firstLine="420"/>
              <w:jc w:val="both"/>
              <w:rPr>
                <w:sz w:val="21"/>
              </w:rPr>
            </w:pPr>
            <w:r>
              <w:rPr>
                <w:w w:val="95"/>
                <w:sz w:val="21"/>
              </w:rPr>
              <w:t>发挥</w:t>
            </w:r>
            <w:r>
              <w:fldChar w:fldCharType="begin"/>
            </w:r>
            <w:r>
              <w:instrText xml:space="preserve"> HYPERLINK "http://baike.baidu.com/subview/2996902/2996902.htm" \h </w:instrText>
            </w:r>
            <w:r>
              <w:fldChar w:fldCharType="separate"/>
            </w:r>
            <w:r>
              <w:rPr>
                <w:w w:val="95"/>
                <w:sz w:val="21"/>
              </w:rPr>
              <w:t>政府诚信</w:t>
            </w:r>
            <w:r>
              <w:rPr>
                <w:w w:val="95"/>
                <w:sz w:val="21"/>
              </w:rPr>
              <w:fldChar w:fldCharType="end"/>
            </w:r>
            <w:r>
              <w:rPr>
                <w:spacing w:val="-6"/>
                <w:w w:val="95"/>
                <w:sz w:val="21"/>
              </w:rPr>
              <w:t>建设示范作用。各级人民政府首先要加强自身诚信建设，以政府的诚信施政，带动全社会诚</w:t>
            </w:r>
            <w:r>
              <w:rPr>
                <w:spacing w:val="-10"/>
                <w:w w:val="95"/>
                <w:sz w:val="21"/>
              </w:rPr>
              <w:t>信意识的树立和诚信水平的提高。在行政许可、政府采购、招标投标、劳动就业、社会保障、科研管理、干部</w:t>
            </w:r>
            <w:r>
              <w:rPr>
                <w:spacing w:val="-10"/>
                <w:sz w:val="21"/>
              </w:rPr>
              <w:t>选拔任用和管理监督、申请政府资金支持等领域，率先使用信用信息和信用产品，培育信用服务市场发展。</w:t>
            </w:r>
          </w:p>
          <w:p>
            <w:pPr>
              <w:pStyle w:val="8"/>
              <w:numPr>
                <w:ilvl w:val="0"/>
                <w:numId w:val="25"/>
              </w:numPr>
              <w:tabs>
                <w:tab w:val="left" w:pos="740"/>
              </w:tabs>
              <w:spacing w:before="0" w:after="0" w:line="264" w:lineRule="exact"/>
              <w:ind w:left="739" w:right="0" w:hanging="212"/>
              <w:jc w:val="both"/>
              <w:rPr>
                <w:b/>
                <w:sz w:val="21"/>
              </w:rPr>
            </w:pPr>
            <w:r>
              <w:rPr>
                <w:b/>
                <w:spacing w:val="-4"/>
                <w:sz w:val="21"/>
              </w:rPr>
              <w:t>《国务院关于促进市场公平竞争维护市场正常秩序的若干意见》</w:t>
            </w:r>
            <w:r>
              <w:rPr>
                <w:b/>
                <w:sz w:val="21"/>
              </w:rPr>
              <w:t>（国发〔2014〕20</w:t>
            </w:r>
            <w:r>
              <w:rPr>
                <w:b/>
                <w:spacing w:val="-28"/>
                <w:sz w:val="21"/>
              </w:rPr>
              <w:t xml:space="preserve"> 号</w:t>
            </w:r>
            <w:r>
              <w:rPr>
                <w:b/>
                <w:sz w:val="21"/>
              </w:rPr>
              <w:t>）</w:t>
            </w:r>
          </w:p>
          <w:p>
            <w:pPr>
              <w:pStyle w:val="8"/>
              <w:spacing w:line="242" w:lineRule="auto"/>
              <w:ind w:left="108" w:right="-15" w:firstLine="420"/>
              <w:rPr>
                <w:sz w:val="21"/>
              </w:rPr>
            </w:pPr>
            <w:r>
              <w:rPr>
                <w:sz w:val="21"/>
              </w:rPr>
              <w:t>（十五</w:t>
            </w:r>
            <w:r>
              <w:rPr>
                <w:spacing w:val="-25"/>
                <w:sz w:val="21"/>
              </w:rPr>
              <w:t>）</w:t>
            </w:r>
            <w:r>
              <w:rPr>
                <w:spacing w:val="-3"/>
                <w:sz w:val="21"/>
              </w:rPr>
              <w:t>建立健全守信激励和失信惩戒机制。将市场主体的信用信息作为实施行政管理的重要参考。根据</w:t>
            </w:r>
            <w:r>
              <w:rPr>
                <w:spacing w:val="-12"/>
                <w:w w:val="95"/>
                <w:sz w:val="21"/>
              </w:rPr>
              <w:t>市场主体信用状况实行分类分级、动态监管，建立健全经营异常名录制度，对违背市场竞争原则和侵犯消费者、</w:t>
            </w:r>
            <w:r>
              <w:rPr>
                <w:spacing w:val="-17"/>
                <w:sz w:val="21"/>
              </w:rPr>
              <w:t>劳动者合法权益的市场主体建立“黑名单”制度。</w:t>
            </w:r>
            <w:r>
              <w:rPr>
                <w:sz w:val="21"/>
              </w:rPr>
              <w:t>（工商总局牵头负责）对守信主体予以支持和激励，对失信</w:t>
            </w:r>
            <w:r>
              <w:rPr>
                <w:spacing w:val="-12"/>
                <w:w w:val="95"/>
                <w:sz w:val="21"/>
              </w:rPr>
              <w:t>主体在经营、投融资、取得政府供应土地、进出口、出入境、注册新公司、工程招投标、政府采购、获得荣誉、</w:t>
            </w:r>
            <w:r>
              <w:rPr>
                <w:spacing w:val="-12"/>
                <w:sz w:val="21"/>
              </w:rPr>
              <w:t>安全许可、生产许可、从业任职资格、资质审核等方面依法予以限制或禁止，对严重违法失信主体实行市场禁</w:t>
            </w:r>
            <w:r>
              <w:rPr>
                <w:sz w:val="21"/>
              </w:rPr>
              <w:t>入制度。（各相关市场监管部门按职责分工分别负责）</w:t>
            </w:r>
          </w:p>
        </w:tc>
        <w:tc>
          <w:tcPr>
            <w:tcW w:w="208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3" w:hRule="atLeast"/>
        </w:trPr>
        <w:tc>
          <w:tcPr>
            <w:tcW w:w="1626" w:type="dxa"/>
          </w:tcPr>
          <w:p>
            <w:pPr>
              <w:pStyle w:val="8"/>
              <w:rPr>
                <w:rFonts w:ascii="Times New Roman"/>
                <w:sz w:val="20"/>
              </w:rPr>
            </w:pPr>
          </w:p>
          <w:p>
            <w:pPr>
              <w:pStyle w:val="8"/>
              <w:spacing w:before="3"/>
              <w:rPr>
                <w:rFonts w:ascii="Times New Roman"/>
                <w:sz w:val="27"/>
              </w:rPr>
            </w:pPr>
          </w:p>
          <w:p>
            <w:pPr>
              <w:pStyle w:val="8"/>
              <w:spacing w:before="1" w:line="242" w:lineRule="auto"/>
              <w:ind w:left="106" w:right="38"/>
              <w:jc w:val="both"/>
              <w:rPr>
                <w:sz w:val="21"/>
              </w:rPr>
            </w:pPr>
            <w:r>
              <w:rPr>
                <w:sz w:val="21"/>
              </w:rPr>
              <w:t>21.限制严重失信行为有关责任人乘坐飞机、列车软卧、轮船二等以上仓位、G 字头动车组列车全部座位、其他动车组一等以上座位等非生活和工作必须的消费行为。</w:t>
            </w:r>
          </w:p>
        </w:tc>
        <w:tc>
          <w:tcPr>
            <w:tcW w:w="10220" w:type="dxa"/>
          </w:tcPr>
          <w:p>
            <w:pPr>
              <w:pStyle w:val="8"/>
              <w:numPr>
                <w:ilvl w:val="0"/>
                <w:numId w:val="26"/>
              </w:numPr>
              <w:tabs>
                <w:tab w:val="left" w:pos="740"/>
              </w:tabs>
              <w:spacing w:before="0" w:after="0" w:line="269" w:lineRule="exact"/>
              <w:ind w:left="739" w:right="0" w:hanging="212"/>
              <w:jc w:val="left"/>
              <w:rPr>
                <w:b/>
                <w:sz w:val="21"/>
              </w:rPr>
            </w:pPr>
            <w:r>
              <w:rPr>
                <w:b/>
                <w:sz w:val="21"/>
              </w:rPr>
              <w:t>《中华人民共和国民事诉讼法》</w:t>
            </w:r>
          </w:p>
          <w:p>
            <w:pPr>
              <w:pStyle w:val="8"/>
              <w:spacing w:before="4" w:line="242" w:lineRule="auto"/>
              <w:ind w:left="108" w:right="99" w:firstLine="420"/>
              <w:rPr>
                <w:sz w:val="21"/>
              </w:rPr>
            </w:pPr>
            <w:r>
              <w:rPr>
                <w:sz w:val="21"/>
              </w:rPr>
              <w:t>第二百五十五条 被执行人不履行法律文书确定的义务的，人民法院可以对其采取或者通知有关单位协助采取限制出境，在征信系统记录、通过媒体公布不履行义务信息以及法律规定的其他措施。</w:t>
            </w:r>
          </w:p>
          <w:p>
            <w:pPr>
              <w:pStyle w:val="8"/>
              <w:numPr>
                <w:ilvl w:val="0"/>
                <w:numId w:val="26"/>
              </w:numPr>
              <w:tabs>
                <w:tab w:val="left" w:pos="740"/>
              </w:tabs>
              <w:spacing w:before="2" w:after="0" w:line="240" w:lineRule="auto"/>
              <w:ind w:left="739" w:right="0" w:hanging="212"/>
              <w:jc w:val="left"/>
              <w:rPr>
                <w:b/>
                <w:sz w:val="21"/>
              </w:rPr>
            </w:pPr>
            <w:r>
              <w:rPr>
                <w:b/>
                <w:sz w:val="21"/>
              </w:rPr>
              <w:t>《最高人民法院关于限制被执行人高消费及有关消费的若干规定》</w:t>
            </w:r>
          </w:p>
          <w:p>
            <w:pPr>
              <w:pStyle w:val="8"/>
              <w:spacing w:before="2" w:line="242" w:lineRule="auto"/>
              <w:ind w:left="108" w:right="96" w:firstLine="420"/>
              <w:rPr>
                <w:sz w:val="21"/>
              </w:rPr>
            </w:pPr>
            <w:r>
              <w:rPr>
                <w:sz w:val="21"/>
              </w:rPr>
              <w:t>第一条 被执行人未按执行通知书指定的期间履行生效法律文书确定的给付义务的，人民法院可以采取限制消费措施，限制其高消费及非生活或者经营必需的有关消费。</w:t>
            </w:r>
          </w:p>
          <w:p>
            <w:pPr>
              <w:pStyle w:val="8"/>
              <w:spacing w:before="1"/>
              <w:ind w:left="528"/>
              <w:rPr>
                <w:sz w:val="21"/>
              </w:rPr>
            </w:pPr>
            <w:r>
              <w:rPr>
                <w:sz w:val="21"/>
              </w:rPr>
              <w:t>第三条 被执行人为自然人的，被采取限制消费措施后，不得有以下高消费及非生活和工作必需的消费行</w:t>
            </w:r>
          </w:p>
          <w:p>
            <w:pPr>
              <w:pStyle w:val="8"/>
              <w:spacing w:before="2"/>
              <w:ind w:left="108"/>
              <w:rPr>
                <w:sz w:val="21"/>
              </w:rPr>
            </w:pPr>
            <w:r>
              <w:rPr>
                <w:sz w:val="21"/>
              </w:rPr>
              <w:t>为：</w:t>
            </w:r>
          </w:p>
          <w:p>
            <w:pPr>
              <w:pStyle w:val="8"/>
              <w:spacing w:before="5"/>
              <w:ind w:left="528"/>
              <w:rPr>
                <w:sz w:val="21"/>
              </w:rPr>
            </w:pPr>
            <w:r>
              <w:rPr>
                <w:sz w:val="21"/>
              </w:rPr>
              <w:t>（一）乘坐交通工具时，选择飞机、列车软卧、轮船二等以上舱位；</w:t>
            </w:r>
          </w:p>
          <w:p>
            <w:pPr>
              <w:pStyle w:val="8"/>
              <w:spacing w:before="2"/>
              <w:ind w:left="528"/>
              <w:rPr>
                <w:sz w:val="21"/>
              </w:rPr>
            </w:pPr>
            <w:r>
              <w:rPr>
                <w:sz w:val="21"/>
              </w:rPr>
              <w:t>（二）在星级以上宾馆、酒店、夜总会、高尔夫球场等场所进行高消费；</w:t>
            </w:r>
          </w:p>
          <w:p>
            <w:pPr>
              <w:pStyle w:val="8"/>
              <w:spacing w:before="4"/>
              <w:ind w:left="528"/>
              <w:rPr>
                <w:sz w:val="21"/>
              </w:rPr>
            </w:pPr>
            <w:r>
              <w:rPr>
                <w:sz w:val="21"/>
              </w:rPr>
              <w:t>（三）购买不动产或者新建、扩建、高档装修房屋；</w:t>
            </w:r>
          </w:p>
          <w:p>
            <w:pPr>
              <w:pStyle w:val="8"/>
              <w:spacing w:before="2"/>
              <w:ind w:left="528"/>
              <w:rPr>
                <w:sz w:val="21"/>
              </w:rPr>
            </w:pPr>
            <w:r>
              <w:rPr>
                <w:sz w:val="21"/>
              </w:rPr>
              <w:t>（四）租赁高档写字楼、宾馆、公寓等场所办公；</w:t>
            </w:r>
          </w:p>
          <w:p>
            <w:pPr>
              <w:pStyle w:val="8"/>
              <w:spacing w:before="5"/>
              <w:ind w:left="528"/>
              <w:rPr>
                <w:sz w:val="21"/>
              </w:rPr>
            </w:pPr>
            <w:r>
              <w:rPr>
                <w:sz w:val="21"/>
              </w:rPr>
              <w:t>（五）购买非经营必需车辆；</w:t>
            </w:r>
          </w:p>
          <w:p>
            <w:pPr>
              <w:pStyle w:val="8"/>
              <w:spacing w:before="2"/>
              <w:ind w:left="528"/>
              <w:rPr>
                <w:sz w:val="21"/>
              </w:rPr>
            </w:pPr>
            <w:r>
              <w:rPr>
                <w:sz w:val="21"/>
              </w:rPr>
              <w:t>（六）旅游、度假；</w:t>
            </w:r>
          </w:p>
          <w:p>
            <w:pPr>
              <w:pStyle w:val="8"/>
              <w:spacing w:before="5" w:line="250" w:lineRule="exact"/>
              <w:ind w:left="528"/>
              <w:rPr>
                <w:sz w:val="21"/>
              </w:rPr>
            </w:pPr>
            <w:r>
              <w:rPr>
                <w:sz w:val="21"/>
              </w:rPr>
              <w:t>（七）子女就读高收费私立学校；</w:t>
            </w:r>
          </w:p>
        </w:tc>
        <w:tc>
          <w:tcPr>
            <w:tcW w:w="2081"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3"/>
              <w:rPr>
                <w:rFonts w:ascii="Times New Roman"/>
                <w:sz w:val="18"/>
              </w:rPr>
            </w:pPr>
          </w:p>
          <w:p>
            <w:pPr>
              <w:pStyle w:val="8"/>
              <w:spacing w:line="244" w:lineRule="auto"/>
              <w:ind w:left="107" w:right="703"/>
              <w:rPr>
                <w:sz w:val="21"/>
              </w:rPr>
            </w:pPr>
            <w:r>
              <w:rPr>
                <w:sz w:val="21"/>
              </w:rPr>
              <w:t>交通运输部、民航局、</w:t>
            </w:r>
          </w:p>
          <w:p>
            <w:pPr>
              <w:pStyle w:val="8"/>
              <w:spacing w:line="244" w:lineRule="auto"/>
              <w:ind w:left="107" w:right="283"/>
              <w:rPr>
                <w:sz w:val="21"/>
              </w:rPr>
            </w:pPr>
            <w:r>
              <w:rPr>
                <w:sz w:val="21"/>
              </w:rPr>
              <w:t>铁路总公司等相关部门</w:t>
            </w:r>
          </w:p>
        </w:tc>
      </w:tr>
    </w:tbl>
    <w:p>
      <w:pPr>
        <w:spacing w:after="0" w:line="244" w:lineRule="auto"/>
        <w:rPr>
          <w:sz w:val="21"/>
        </w:rPr>
        <w:sectPr>
          <w:footerReference r:id="rId7" w:type="default"/>
          <w:pgSz w:w="16840" w:h="11910" w:orient="landscape"/>
          <w:pgMar w:top="1100" w:right="1280" w:bottom="1380" w:left="1400" w:header="0" w:footer="1200" w:gutter="0"/>
          <w:pgNumType w:start="3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0" w:hRule="atLeast"/>
        </w:trPr>
        <w:tc>
          <w:tcPr>
            <w:tcW w:w="1626" w:type="dxa"/>
          </w:tcPr>
          <w:p>
            <w:pPr>
              <w:pStyle w:val="8"/>
              <w:rPr>
                <w:rFonts w:ascii="Times New Roman"/>
                <w:sz w:val="20"/>
              </w:rPr>
            </w:pPr>
          </w:p>
        </w:tc>
        <w:tc>
          <w:tcPr>
            <w:tcW w:w="10220" w:type="dxa"/>
          </w:tcPr>
          <w:p>
            <w:pPr>
              <w:pStyle w:val="8"/>
              <w:spacing w:before="1"/>
              <w:ind w:left="528"/>
              <w:rPr>
                <w:sz w:val="21"/>
              </w:rPr>
            </w:pPr>
            <w:r>
              <w:rPr>
                <w:sz w:val="21"/>
              </w:rPr>
              <w:t>（八）支付高额保费购买保险理财产品；</w:t>
            </w:r>
          </w:p>
          <w:p>
            <w:pPr>
              <w:pStyle w:val="8"/>
              <w:spacing w:before="3"/>
              <w:ind w:left="528"/>
              <w:rPr>
                <w:sz w:val="21"/>
              </w:rPr>
            </w:pPr>
            <w:r>
              <w:rPr>
                <w:sz w:val="21"/>
              </w:rPr>
              <w:t>（九</w:t>
            </w:r>
            <w:r>
              <w:rPr>
                <w:spacing w:val="-39"/>
                <w:sz w:val="21"/>
              </w:rPr>
              <w:t>）</w:t>
            </w:r>
            <w:r>
              <w:rPr>
                <w:spacing w:val="-20"/>
                <w:sz w:val="21"/>
              </w:rPr>
              <w:t xml:space="preserve">乘坐 </w:t>
            </w:r>
            <w:r>
              <w:rPr>
                <w:sz w:val="21"/>
              </w:rPr>
              <w:t>G</w:t>
            </w:r>
            <w:r>
              <w:rPr>
                <w:spacing w:val="-11"/>
                <w:sz w:val="21"/>
              </w:rPr>
              <w:t xml:space="preserve"> 字头动车组列车全部座位、其他动车组列车一等以上座位等其他非生活和工作必需的消费行</w:t>
            </w:r>
            <w:r>
              <w:rPr>
                <w:sz w:val="21"/>
              </w:rPr>
              <w:t>为。</w:t>
            </w:r>
          </w:p>
          <w:p>
            <w:pPr>
              <w:pStyle w:val="8"/>
              <w:spacing w:before="4" w:line="242" w:lineRule="auto"/>
              <w:ind w:left="108" w:right="94" w:firstLine="420"/>
              <w:jc w:val="both"/>
              <w:rPr>
                <w:sz w:val="21"/>
              </w:rPr>
            </w:pPr>
            <w:r>
              <w:rPr>
                <w:spacing w:val="-6"/>
                <w:w w:val="95"/>
                <w:sz w:val="21"/>
              </w:rPr>
              <w:t>被执行人为单位的，被采取限制消费措施后，被执行人及其法定代表人、主要负责人、影响债务履行的直</w:t>
            </w:r>
            <w:r>
              <w:rPr>
                <w:spacing w:val="-10"/>
                <w:w w:val="95"/>
                <w:sz w:val="21"/>
              </w:rPr>
              <w:t>接责任人员、实际控制人不得实施前款规定的行为。因私消费以个人财产实施前款规定行为的，可以向执行法</w:t>
            </w:r>
            <w:r>
              <w:rPr>
                <w:spacing w:val="-10"/>
                <w:sz w:val="21"/>
              </w:rPr>
              <w:t>院提出申请。执行法院审查属实的，应予准许。</w:t>
            </w:r>
          </w:p>
          <w:p>
            <w:pPr>
              <w:pStyle w:val="8"/>
              <w:spacing w:before="3" w:line="242" w:lineRule="auto"/>
              <w:ind w:left="108" w:right="96" w:firstLine="420"/>
              <w:jc w:val="both"/>
              <w:rPr>
                <w:sz w:val="21"/>
              </w:rPr>
            </w:pPr>
            <w:r>
              <w:rPr>
                <w:sz w:val="21"/>
              </w:rPr>
              <w:t>第六条 人民法院决定采取限制消费措施的，可以根据案件需要和被执行人的情况向有义务协助调查、执行的单位送达协助执行通知书，也可以在相关媒体上进行公告。</w:t>
            </w:r>
          </w:p>
          <w:p>
            <w:pPr>
              <w:pStyle w:val="8"/>
              <w:spacing w:line="244" w:lineRule="auto"/>
              <w:ind w:left="108" w:right="96" w:firstLine="420"/>
              <w:jc w:val="both"/>
              <w:rPr>
                <w:sz w:val="21"/>
              </w:rPr>
            </w:pPr>
            <w:r>
              <w:rPr>
                <w:sz w:val="21"/>
              </w:rPr>
              <w:t>第八条 被限制消费的被执行人因生活或者经营必需而进行本规定禁止的消费活动的，应当向人民法院提出申请，获批准后方可进行。</w:t>
            </w:r>
          </w:p>
          <w:p>
            <w:pPr>
              <w:pStyle w:val="8"/>
              <w:spacing w:line="265" w:lineRule="exact"/>
              <w:ind w:left="108" w:firstLine="420"/>
              <w:rPr>
                <w:sz w:val="21"/>
              </w:rPr>
            </w:pPr>
            <w:r>
              <w:rPr>
                <w:sz w:val="21"/>
              </w:rPr>
              <w:t>第十一条 被执行人违反限制消费令进行消费的行为属于拒不履行人民法院已经发生法律效力的判决、裁</w:t>
            </w:r>
          </w:p>
          <w:p>
            <w:pPr>
              <w:pStyle w:val="8"/>
              <w:spacing w:before="3" w:line="270" w:lineRule="atLeast"/>
              <w:ind w:left="108" w:right="96"/>
              <w:rPr>
                <w:sz w:val="21"/>
              </w:rPr>
            </w:pPr>
            <w:r>
              <w:rPr>
                <w:spacing w:val="-8"/>
                <w:w w:val="95"/>
                <w:sz w:val="21"/>
              </w:rPr>
              <w:t>定的行为，经查证属实的，依照《中华人民共和国民事诉讼法》第一百一十一条的规定，予以拘留、罚款；情</w:t>
            </w:r>
            <w:r>
              <w:rPr>
                <w:spacing w:val="-8"/>
                <w:sz w:val="21"/>
              </w:rPr>
              <w:t>节严重，构成犯罪的，追究其刑事责任。</w:t>
            </w:r>
          </w:p>
        </w:tc>
        <w:tc>
          <w:tcPr>
            <w:tcW w:w="208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6" w:hRule="atLeast"/>
        </w:trPr>
        <w:tc>
          <w:tcPr>
            <w:tcW w:w="1626"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1"/>
              <w:rPr>
                <w:rFonts w:ascii="Times New Roman"/>
                <w:sz w:val="22"/>
              </w:rPr>
            </w:pPr>
          </w:p>
          <w:p>
            <w:pPr>
              <w:pStyle w:val="8"/>
              <w:spacing w:line="242" w:lineRule="auto"/>
              <w:ind w:left="106" w:right="38"/>
              <w:jc w:val="both"/>
              <w:rPr>
                <w:sz w:val="21"/>
              </w:rPr>
            </w:pPr>
            <w:r>
              <w:rPr>
                <w:sz w:val="21"/>
              </w:rPr>
              <w:t>22.将相关机构及其法人代表、实际控制人、董事、监事、高级管理人等失信责任主体状况作为优惠性政策支持的审慎性参考。</w:t>
            </w:r>
          </w:p>
        </w:tc>
        <w:tc>
          <w:tcPr>
            <w:tcW w:w="10220" w:type="dxa"/>
          </w:tcPr>
          <w:p>
            <w:pPr>
              <w:pStyle w:val="8"/>
              <w:spacing w:before="1" w:line="242" w:lineRule="auto"/>
              <w:ind w:left="528" w:right="504"/>
              <w:rPr>
                <w:sz w:val="21"/>
              </w:rPr>
            </w:pPr>
            <w:r>
              <w:rPr>
                <w:b/>
                <w:sz w:val="21"/>
              </w:rPr>
              <w:t>1.《国务院关于印发社会信用体系建设规划纲要（2014—2020</w:t>
            </w:r>
            <w:r>
              <w:rPr>
                <w:b/>
                <w:spacing w:val="-30"/>
                <w:sz w:val="21"/>
              </w:rPr>
              <w:t xml:space="preserve"> 年</w:t>
            </w:r>
            <w:r>
              <w:rPr>
                <w:b/>
                <w:sz w:val="21"/>
              </w:rPr>
              <w:t>）的通知》（国发〔2014〕21</w:t>
            </w:r>
            <w:r>
              <w:rPr>
                <w:b/>
                <w:spacing w:val="-30"/>
                <w:sz w:val="21"/>
              </w:rPr>
              <w:t xml:space="preserve"> 号</w:t>
            </w:r>
            <w:r>
              <w:rPr>
                <w:b/>
                <w:sz w:val="21"/>
              </w:rPr>
              <w:t xml:space="preserve">） </w:t>
            </w:r>
            <w:r>
              <w:rPr>
                <w:sz w:val="21"/>
              </w:rPr>
              <w:t>第五部分第一条；</w:t>
            </w:r>
          </w:p>
          <w:p>
            <w:pPr>
              <w:pStyle w:val="8"/>
              <w:spacing w:before="1"/>
              <w:ind w:left="528"/>
              <w:rPr>
                <w:sz w:val="21"/>
              </w:rPr>
            </w:pPr>
            <w:r>
              <w:rPr>
                <w:sz w:val="21"/>
              </w:rPr>
              <w:t>完善以奖惩制度为重点的社会信用体系运行机制。</w:t>
            </w:r>
          </w:p>
          <w:p>
            <w:pPr>
              <w:pStyle w:val="8"/>
              <w:spacing w:before="3" w:line="244" w:lineRule="auto"/>
              <w:ind w:left="108" w:right="96" w:firstLine="420"/>
              <w:rPr>
                <w:sz w:val="21"/>
              </w:rPr>
            </w:pPr>
            <w:r>
              <w:rPr>
                <w:spacing w:val="-4"/>
                <w:w w:val="95"/>
                <w:sz w:val="21"/>
              </w:rPr>
              <w:t>运行机制是保障社会信用体系各系统协调运行的制度基础。其中，守信激励和失信惩戒机制直接作用于各</w:t>
            </w:r>
            <w:r>
              <w:rPr>
                <w:spacing w:val="-4"/>
                <w:sz w:val="21"/>
              </w:rPr>
              <w:t>个社会主体信用行为，是</w:t>
            </w:r>
            <w:r>
              <w:fldChar w:fldCharType="begin"/>
            </w:r>
            <w:r>
              <w:instrText xml:space="preserve"> HYPERLINK "http://baike.baidu.com/subview/1478540/1478540.htm" \h </w:instrText>
            </w:r>
            <w:r>
              <w:fldChar w:fldCharType="separate"/>
            </w:r>
            <w:r>
              <w:rPr>
                <w:spacing w:val="-4"/>
                <w:sz w:val="21"/>
              </w:rPr>
              <w:t>社会信用体系</w:t>
            </w:r>
            <w:r>
              <w:rPr>
                <w:spacing w:val="-4"/>
                <w:sz w:val="21"/>
              </w:rPr>
              <w:fldChar w:fldCharType="end"/>
            </w:r>
            <w:r>
              <w:rPr>
                <w:spacing w:val="-4"/>
                <w:sz w:val="21"/>
              </w:rPr>
              <w:t>运行的核心机制。</w:t>
            </w:r>
          </w:p>
          <w:p>
            <w:pPr>
              <w:pStyle w:val="8"/>
              <w:spacing w:line="265" w:lineRule="exact"/>
              <w:ind w:left="528"/>
              <w:rPr>
                <w:sz w:val="21"/>
              </w:rPr>
            </w:pPr>
            <w:r>
              <w:rPr>
                <w:sz w:val="21"/>
              </w:rPr>
              <w:t>（一）构建守信激励和</w:t>
            </w:r>
            <w:r>
              <w:fldChar w:fldCharType="begin"/>
            </w:r>
            <w:r>
              <w:instrText xml:space="preserve"> HYPERLINK "http://baike.baidu.com/subview/3044323/3044323.htm" \h </w:instrText>
            </w:r>
            <w:r>
              <w:fldChar w:fldCharType="separate"/>
            </w:r>
            <w:r>
              <w:rPr>
                <w:sz w:val="21"/>
              </w:rPr>
              <w:t>失信惩戒机制</w:t>
            </w:r>
            <w:r>
              <w:rPr>
                <w:sz w:val="21"/>
              </w:rPr>
              <w:fldChar w:fldCharType="end"/>
            </w:r>
            <w:r>
              <w:rPr>
                <w:sz w:val="21"/>
              </w:rPr>
              <w:t>。</w:t>
            </w:r>
          </w:p>
          <w:p>
            <w:pPr>
              <w:pStyle w:val="8"/>
              <w:spacing w:before="4" w:line="242" w:lineRule="auto"/>
              <w:ind w:left="108" w:right="22" w:firstLine="420"/>
              <w:rPr>
                <w:sz w:val="21"/>
              </w:rPr>
            </w:pPr>
            <w:r>
              <w:rPr>
                <w:spacing w:val="-5"/>
                <w:sz w:val="21"/>
              </w:rPr>
              <w:t>加强对守信主体的奖励和激励。加大对守信行为的表彰和宣传力度。按规定对诚信企业和模范个人给予表</w:t>
            </w:r>
            <w:r>
              <w:rPr>
                <w:spacing w:val="-5"/>
                <w:w w:val="95"/>
                <w:sz w:val="21"/>
              </w:rPr>
              <w:t>彰，通过新闻媒体广泛宣传，营造守信光荣的舆论氛围。发展改革、财政、金融、环境保护、住房城乡建设、</w:t>
            </w:r>
            <w:r>
              <w:rPr>
                <w:spacing w:val="-9"/>
                <w:sz w:val="21"/>
              </w:rPr>
              <w:t>交通运输、商务、工商、税务、质检、安全监管、海关、知识产权等部门，在</w:t>
            </w:r>
            <w:r>
              <w:fldChar w:fldCharType="begin"/>
            </w:r>
            <w:r>
              <w:instrText xml:space="preserve"> HYPERLINK "http://baike.baidu.com/subview/1454395/1454395.htm" \h </w:instrText>
            </w:r>
            <w:r>
              <w:fldChar w:fldCharType="separate"/>
            </w:r>
            <w:r>
              <w:rPr>
                <w:sz w:val="21"/>
              </w:rPr>
              <w:t>市场监管</w:t>
            </w:r>
            <w:r>
              <w:rPr>
                <w:sz w:val="21"/>
              </w:rPr>
              <w:fldChar w:fldCharType="end"/>
            </w:r>
            <w:r>
              <w:rPr>
                <w:spacing w:val="-1"/>
                <w:sz w:val="21"/>
              </w:rPr>
              <w:t>和公共服务过程中，要深化信用信息和信用产品的应用，对诚实守信者实行优先办理、简化程序等“绿色通道”支持激励政策。</w:t>
            </w:r>
          </w:p>
          <w:p>
            <w:pPr>
              <w:pStyle w:val="8"/>
              <w:spacing w:line="242" w:lineRule="auto"/>
              <w:ind w:left="108" w:right="22" w:firstLine="420"/>
              <w:rPr>
                <w:sz w:val="21"/>
              </w:rPr>
            </w:pPr>
            <w:r>
              <w:rPr>
                <w:spacing w:val="-2"/>
                <w:sz w:val="21"/>
              </w:rPr>
              <w:t>加强对失信主体的约束和惩戒。强化</w:t>
            </w:r>
            <w:r>
              <w:fldChar w:fldCharType="begin"/>
            </w:r>
            <w:r>
              <w:instrText xml:space="preserve"> HYPERLINK "http://baike.baidu.com/subview/2346079/2346079.htm" \h </w:instrText>
            </w:r>
            <w:r>
              <w:fldChar w:fldCharType="separate"/>
            </w:r>
            <w:r>
              <w:rPr>
                <w:sz w:val="21"/>
              </w:rPr>
              <w:t>行政监管</w:t>
            </w:r>
            <w:r>
              <w:rPr>
                <w:sz w:val="21"/>
              </w:rPr>
              <w:fldChar w:fldCharType="end"/>
            </w:r>
            <w:r>
              <w:rPr>
                <w:spacing w:val="-5"/>
                <w:sz w:val="21"/>
              </w:rPr>
              <w:t>性约束和惩戒。在现有行政处罚措施的基础上，健全失信惩</w:t>
            </w:r>
            <w:r>
              <w:rPr>
                <w:spacing w:val="-7"/>
                <w:sz w:val="21"/>
              </w:rPr>
              <w:t>戒制度，建立各行业黑名单制度和市场退出机制。推动各级人民政府在市场监管和公共服务的</w:t>
            </w:r>
            <w:r>
              <w:fldChar w:fldCharType="begin"/>
            </w:r>
            <w:r>
              <w:instrText xml:space="preserve"> HYPERLINK "http://baike.baidu.com/subview/198455/198455.htm" \h </w:instrText>
            </w:r>
            <w:r>
              <w:fldChar w:fldCharType="separate"/>
            </w:r>
            <w:r>
              <w:rPr>
                <w:sz w:val="21"/>
              </w:rPr>
              <w:t>市场准入</w:t>
            </w:r>
            <w:r>
              <w:rPr>
                <w:sz w:val="21"/>
              </w:rPr>
              <w:fldChar w:fldCharType="end"/>
            </w:r>
            <w:r>
              <w:rPr>
                <w:spacing w:val="-9"/>
                <w:sz w:val="21"/>
              </w:rPr>
              <w:t>、资质</w:t>
            </w:r>
            <w:r>
              <w:rPr>
                <w:spacing w:val="-9"/>
                <w:w w:val="95"/>
                <w:sz w:val="21"/>
              </w:rPr>
              <w:t>认定、行政审批、政策扶持等方面实施信用分类监管，结合监管对象的失信类别和程度，使失信者受到惩戒。</w:t>
            </w:r>
            <w:r>
              <w:rPr>
                <w:spacing w:val="-12"/>
                <w:sz w:val="21"/>
              </w:rPr>
              <w:t>逐步建立行政许可申请人信用承诺制度，并开展申请人信用审查，确保申请人在政府推荐的</w:t>
            </w:r>
            <w:r>
              <w:fldChar w:fldCharType="begin"/>
            </w:r>
            <w:r>
              <w:instrText xml:space="preserve"> HYPERLINK "http://baike.baidu.com/subview/683082/683082.htm" \h </w:instrText>
            </w:r>
            <w:r>
              <w:fldChar w:fldCharType="separate"/>
            </w:r>
            <w:r>
              <w:rPr>
                <w:sz w:val="21"/>
              </w:rPr>
              <w:t>征信机构</w:t>
            </w:r>
            <w:r>
              <w:rPr>
                <w:sz w:val="21"/>
              </w:rPr>
              <w:fldChar w:fldCharType="end"/>
            </w:r>
            <w:r>
              <w:rPr>
                <w:sz w:val="21"/>
              </w:rPr>
              <w:t>中有信用</w:t>
            </w:r>
            <w:r>
              <w:rPr>
                <w:spacing w:val="-7"/>
                <w:sz w:val="21"/>
              </w:rPr>
              <w:t>记录，配合征信机构开展信用信息采集工作。推动形成市场性约束和惩戒。制定信用基准性评价指标体系和评</w:t>
            </w:r>
            <w:r>
              <w:rPr>
                <w:spacing w:val="-7"/>
                <w:w w:val="95"/>
                <w:sz w:val="21"/>
              </w:rPr>
              <w:t>价方法，完善失信信息记录和披露制度，使失信者在市场交易中受到制约。推动形成行业性约束和惩戒。通过</w:t>
            </w:r>
          </w:p>
        </w:tc>
        <w:tc>
          <w:tcPr>
            <w:tcW w:w="2081"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18"/>
              </w:rPr>
            </w:pPr>
          </w:p>
          <w:p>
            <w:pPr>
              <w:pStyle w:val="8"/>
              <w:spacing w:line="242" w:lineRule="auto"/>
              <w:ind w:left="107" w:right="283"/>
              <w:rPr>
                <w:sz w:val="21"/>
              </w:rPr>
            </w:pPr>
            <w:r>
              <w:rPr>
                <w:sz w:val="21"/>
              </w:rPr>
              <w:t>国家发展改革委、商务部、</w:t>
            </w:r>
          </w:p>
          <w:p>
            <w:pPr>
              <w:pStyle w:val="8"/>
              <w:spacing w:before="1" w:line="242" w:lineRule="auto"/>
              <w:ind w:left="107" w:right="703"/>
              <w:rPr>
                <w:sz w:val="21"/>
              </w:rPr>
            </w:pPr>
            <w:r>
              <w:rPr>
                <w:sz w:val="21"/>
              </w:rPr>
              <w:t xml:space="preserve">海关总署、 税务总局、 </w:t>
            </w:r>
            <w:r>
              <w:rPr>
                <w:spacing w:val="-3"/>
                <w:sz w:val="21"/>
              </w:rPr>
              <w:t>市场监管总局</w:t>
            </w:r>
          </w:p>
        </w:tc>
      </w:tr>
    </w:tbl>
    <w:p>
      <w:pPr>
        <w:spacing w:after="0" w:line="242" w:lineRule="auto"/>
        <w:rPr>
          <w:sz w:val="21"/>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5" w:hRule="atLeast"/>
        </w:trPr>
        <w:tc>
          <w:tcPr>
            <w:tcW w:w="1626" w:type="dxa"/>
          </w:tcPr>
          <w:p>
            <w:pPr>
              <w:pStyle w:val="8"/>
              <w:rPr>
                <w:rFonts w:ascii="Times New Roman"/>
                <w:sz w:val="20"/>
              </w:rPr>
            </w:pPr>
          </w:p>
        </w:tc>
        <w:tc>
          <w:tcPr>
            <w:tcW w:w="10220" w:type="dxa"/>
          </w:tcPr>
          <w:p>
            <w:pPr>
              <w:pStyle w:val="8"/>
              <w:spacing w:before="1" w:line="242" w:lineRule="auto"/>
              <w:ind w:left="108" w:right="94"/>
              <w:jc w:val="both"/>
              <w:rPr>
                <w:sz w:val="21"/>
              </w:rPr>
            </w:pPr>
            <w:r>
              <w:rPr>
                <w:spacing w:val="-4"/>
                <w:w w:val="95"/>
                <w:sz w:val="21"/>
              </w:rPr>
              <w:t xml:space="preserve">行业协会制定行业自律规则并监督会员遵守。对违规的失信者，按照情节轻重，对机构会员和个人会员实行警    </w:t>
            </w:r>
            <w:r>
              <w:rPr>
                <w:spacing w:val="-9"/>
                <w:w w:val="95"/>
                <w:sz w:val="21"/>
              </w:rPr>
              <w:t>告、行业内通报批评、公开谴责等惩戒措施。推动形成社会性约束和惩戒。完善社会舆论监督机制，加强对失</w:t>
            </w:r>
            <w:r>
              <w:rPr>
                <w:spacing w:val="-14"/>
                <w:w w:val="95"/>
                <w:sz w:val="21"/>
              </w:rPr>
              <w:t>信行为的披露和曝光，发挥群众评议讨论、批评报道等作用，通过社会的道德谴责，形成社会震慑力，约束社</w:t>
            </w:r>
            <w:r>
              <w:rPr>
                <w:spacing w:val="-14"/>
                <w:sz w:val="21"/>
              </w:rPr>
              <w:t>会成员的失信行为。</w:t>
            </w:r>
          </w:p>
          <w:p>
            <w:pPr>
              <w:pStyle w:val="8"/>
              <w:spacing w:before="1"/>
              <w:ind w:left="528"/>
              <w:rPr>
                <w:sz w:val="21"/>
              </w:rPr>
            </w:pPr>
            <w:r>
              <w:rPr>
                <w:sz w:val="21"/>
              </w:rPr>
              <w:t>建立失信行为</w:t>
            </w:r>
            <w:r>
              <w:fldChar w:fldCharType="begin"/>
            </w:r>
            <w:r>
              <w:instrText xml:space="preserve"> HYPERLINK "http://baike.baidu.com/subview/5119399/5145331.htm" \h </w:instrText>
            </w:r>
            <w:r>
              <w:fldChar w:fldCharType="separate"/>
            </w:r>
            <w:r>
              <w:rPr>
                <w:sz w:val="21"/>
              </w:rPr>
              <w:t>有奖举报</w:t>
            </w:r>
            <w:r>
              <w:rPr>
                <w:sz w:val="21"/>
              </w:rPr>
              <w:fldChar w:fldCharType="end"/>
            </w:r>
            <w:r>
              <w:rPr>
                <w:sz w:val="21"/>
              </w:rPr>
              <w:t>制度。切实落实对举报人的奖励，保护举报人的合法权益。</w:t>
            </w:r>
          </w:p>
          <w:p>
            <w:pPr>
              <w:pStyle w:val="8"/>
              <w:spacing w:before="4" w:line="244" w:lineRule="auto"/>
              <w:ind w:left="108" w:right="94" w:firstLine="420"/>
              <w:rPr>
                <w:sz w:val="21"/>
              </w:rPr>
            </w:pPr>
            <w:r>
              <w:rPr>
                <w:spacing w:val="-7"/>
                <w:w w:val="95"/>
                <w:sz w:val="21"/>
              </w:rPr>
              <w:t>建立多部门、跨地区信用联合奖惩机制。通过信用信息交换共享，实现多部门、跨地区信用奖惩联动，使</w:t>
            </w:r>
            <w:r>
              <w:rPr>
                <w:spacing w:val="-7"/>
                <w:sz w:val="21"/>
              </w:rPr>
              <w:t>守信者处处受益、失信者寸步难行。</w:t>
            </w:r>
          </w:p>
          <w:p>
            <w:pPr>
              <w:pStyle w:val="8"/>
              <w:spacing w:line="265" w:lineRule="exact"/>
              <w:ind w:left="528"/>
              <w:rPr>
                <w:b/>
                <w:sz w:val="21"/>
              </w:rPr>
            </w:pPr>
            <w:r>
              <w:rPr>
                <w:b/>
                <w:sz w:val="21"/>
              </w:rPr>
              <w:t>2.《社会保险法》</w:t>
            </w:r>
          </w:p>
          <w:p>
            <w:pPr>
              <w:pStyle w:val="8"/>
              <w:spacing w:before="2"/>
              <w:ind w:left="108" w:firstLine="420"/>
              <w:rPr>
                <w:sz w:val="21"/>
              </w:rPr>
            </w:pPr>
            <w:r>
              <w:rPr>
                <w:sz w:val="21"/>
              </w:rPr>
              <w:t>第八十六条 用人单位未按时足额缴纳社会保险费的，由社会保险费征收机构责令限期缴纳或者补足，并</w:t>
            </w:r>
          </w:p>
          <w:p>
            <w:pPr>
              <w:pStyle w:val="8"/>
              <w:spacing w:before="4" w:line="270" w:lineRule="atLeast"/>
              <w:ind w:left="108" w:right="94"/>
              <w:rPr>
                <w:sz w:val="21"/>
              </w:rPr>
            </w:pPr>
            <w:r>
              <w:rPr>
                <w:spacing w:val="-7"/>
                <w:w w:val="95"/>
                <w:sz w:val="21"/>
              </w:rPr>
              <w:t>自欠缴之日起，按日加收万分之五的滞纳金；逾期仍不缴纳的，由有关行政部门处欠缴数额一倍以上三倍以下</w:t>
            </w:r>
            <w:r>
              <w:rPr>
                <w:spacing w:val="-7"/>
                <w:sz w:val="21"/>
              </w:rPr>
              <w:t>的罚款。</w:t>
            </w:r>
          </w:p>
        </w:tc>
        <w:tc>
          <w:tcPr>
            <w:tcW w:w="208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3" w:hRule="atLeast"/>
        </w:trPr>
        <w:tc>
          <w:tcPr>
            <w:tcW w:w="1626" w:type="dxa"/>
            <w:tcBorders>
              <w:bottom w:val="nil"/>
            </w:tcBorders>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4"/>
              <w:rPr>
                <w:rFonts w:ascii="Times New Roman"/>
                <w:sz w:val="16"/>
              </w:rPr>
            </w:pPr>
          </w:p>
          <w:p>
            <w:pPr>
              <w:pStyle w:val="8"/>
              <w:spacing w:line="242" w:lineRule="auto"/>
              <w:ind w:left="106" w:right="98"/>
              <w:jc w:val="both"/>
              <w:rPr>
                <w:sz w:val="21"/>
              </w:rPr>
            </w:pPr>
            <w:r>
              <w:rPr>
                <w:sz w:val="21"/>
              </w:rPr>
              <w:t>23.对失信企业在取得政府供应土地方面依法予以限制或禁止。</w:t>
            </w:r>
          </w:p>
        </w:tc>
        <w:tc>
          <w:tcPr>
            <w:tcW w:w="10220" w:type="dxa"/>
            <w:tcBorders>
              <w:bottom w:val="nil"/>
            </w:tcBorders>
          </w:tcPr>
          <w:p>
            <w:pPr>
              <w:pStyle w:val="8"/>
              <w:numPr>
                <w:ilvl w:val="0"/>
                <w:numId w:val="27"/>
              </w:numPr>
              <w:tabs>
                <w:tab w:val="left" w:pos="740"/>
              </w:tabs>
              <w:spacing w:before="0" w:after="0" w:line="240" w:lineRule="auto"/>
              <w:ind w:left="739" w:right="0" w:hanging="212"/>
              <w:jc w:val="both"/>
              <w:rPr>
                <w:b/>
                <w:sz w:val="21"/>
              </w:rPr>
            </w:pPr>
            <w:r>
              <w:rPr>
                <w:b/>
                <w:spacing w:val="-4"/>
                <w:sz w:val="21"/>
              </w:rPr>
              <w:t>《国务院关于促进市场公平竞争维护市场正常秩序的若干意见》</w:t>
            </w:r>
            <w:r>
              <w:rPr>
                <w:b/>
                <w:sz w:val="21"/>
              </w:rPr>
              <w:t>（国发〔2014〕20</w:t>
            </w:r>
            <w:r>
              <w:rPr>
                <w:b/>
                <w:spacing w:val="-28"/>
                <w:sz w:val="21"/>
              </w:rPr>
              <w:t xml:space="preserve"> 号</w:t>
            </w:r>
            <w:r>
              <w:rPr>
                <w:b/>
                <w:sz w:val="21"/>
              </w:rPr>
              <w:t>）</w:t>
            </w:r>
          </w:p>
          <w:p>
            <w:pPr>
              <w:pStyle w:val="8"/>
              <w:spacing w:before="2" w:line="242" w:lineRule="auto"/>
              <w:ind w:left="108" w:right="91" w:firstLine="420"/>
              <w:jc w:val="both"/>
              <w:rPr>
                <w:sz w:val="21"/>
              </w:rPr>
            </w:pPr>
            <w:r>
              <w:rPr>
                <w:spacing w:val="-4"/>
                <w:w w:val="95"/>
                <w:sz w:val="21"/>
              </w:rPr>
              <w:t>建立健全守信激励和失信惩戒机制。将市场主体的信用信息作为实施行政管理的重要参考。根据市场主体</w:t>
            </w:r>
            <w:r>
              <w:rPr>
                <w:spacing w:val="-9"/>
                <w:w w:val="95"/>
                <w:sz w:val="21"/>
              </w:rPr>
              <w:t>信用状况实行分类分级、动态监管，建立健全经营异常名录制度，对违背市场竞争原则和侵犯消费者、劳动者</w:t>
            </w:r>
            <w:r>
              <w:rPr>
                <w:spacing w:val="-13"/>
                <w:w w:val="95"/>
                <w:sz w:val="21"/>
              </w:rPr>
              <w:t>合法权益的市场主体建立“黑名单”制度。对守信主体予以支持和激励，对失信主体在经营、投融资、取得政</w:t>
            </w:r>
            <w:r>
              <w:rPr>
                <w:spacing w:val="-10"/>
                <w:w w:val="95"/>
                <w:sz w:val="21"/>
              </w:rPr>
              <w:t>府供应土地、进出口、出入境、注册新公司、工程招投标、政府采购、获得荣誉、安全许可、生产许可、从业</w:t>
            </w:r>
            <w:r>
              <w:rPr>
                <w:spacing w:val="-10"/>
                <w:sz w:val="21"/>
              </w:rPr>
              <w:t>任职资格、资质审核等方面依法予以限制或禁止，对严重违法失信主体实行市场禁入制度。</w:t>
            </w:r>
          </w:p>
          <w:p>
            <w:pPr>
              <w:pStyle w:val="8"/>
              <w:numPr>
                <w:ilvl w:val="0"/>
                <w:numId w:val="27"/>
              </w:numPr>
              <w:tabs>
                <w:tab w:val="left" w:pos="740"/>
              </w:tabs>
              <w:spacing w:before="5" w:after="0" w:line="240" w:lineRule="auto"/>
              <w:ind w:left="739" w:right="0" w:hanging="212"/>
              <w:jc w:val="both"/>
              <w:rPr>
                <w:sz w:val="21"/>
              </w:rPr>
            </w:pPr>
            <w:r>
              <w:rPr>
                <w:b/>
                <w:spacing w:val="-4"/>
                <w:sz w:val="21"/>
              </w:rPr>
              <w:t>《国务院办公厅关于运用大数据加强对市场主体服务和监管的若干意见》</w:t>
            </w:r>
            <w:r>
              <w:rPr>
                <w:b/>
                <w:sz w:val="21"/>
              </w:rPr>
              <w:t>（国办发〔2015〕51</w:t>
            </w:r>
            <w:r>
              <w:rPr>
                <w:b/>
                <w:spacing w:val="-29"/>
                <w:sz w:val="21"/>
              </w:rPr>
              <w:t xml:space="preserve"> 号</w:t>
            </w:r>
            <w:r>
              <w:rPr>
                <w:sz w:val="21"/>
              </w:rPr>
              <w:t>）</w:t>
            </w:r>
          </w:p>
          <w:p>
            <w:pPr>
              <w:pStyle w:val="8"/>
              <w:spacing w:before="2" w:line="242" w:lineRule="auto"/>
              <w:ind w:left="108" w:right="91" w:firstLine="420"/>
              <w:jc w:val="both"/>
              <w:rPr>
                <w:sz w:val="21"/>
              </w:rPr>
            </w:pPr>
            <w:r>
              <w:rPr>
                <w:spacing w:val="-6"/>
                <w:w w:val="95"/>
                <w:sz w:val="21"/>
              </w:rPr>
              <w:t>建立健全失信联合惩戒机制。各级人民政府应将使用信用信息和信用报告嵌入行政管理和公共服务的各领</w:t>
            </w:r>
            <w:r>
              <w:rPr>
                <w:spacing w:val="-10"/>
                <w:w w:val="95"/>
                <w:sz w:val="21"/>
              </w:rPr>
              <w:t>域、各环节，作为必要条件或重要参考依据。充分发挥行政、司法、金融、社会等领域的综合监管效能，在市</w:t>
            </w:r>
            <w:r>
              <w:rPr>
                <w:spacing w:val="-11"/>
                <w:w w:val="95"/>
                <w:sz w:val="21"/>
              </w:rPr>
              <w:t>场准入、行政审批、资质认定、享受财政补贴和税收优惠政策、企业法定代表人和负责人任职资格审查、政府</w:t>
            </w:r>
            <w:r>
              <w:rPr>
                <w:spacing w:val="-8"/>
                <w:w w:val="95"/>
                <w:sz w:val="21"/>
              </w:rPr>
              <w:t>采购、政府购买服务、银行信贷、招标投标、国有土地出让、企业上市、货物通关、税收征缴、社保缴费、外汇管理、劳动用工、价格制定、电子商务、产品质量、食品药品安全、消费品安全、知识产权、环境保护、治</w:t>
            </w:r>
            <w:r>
              <w:rPr>
                <w:spacing w:val="-10"/>
                <w:w w:val="95"/>
                <w:sz w:val="21"/>
              </w:rPr>
              <w:t>安管理、人口管理、出入境管理、授予荣誉称号等方面，建立跨部门联动响应和失信约束机制，对违法失信主</w:t>
            </w:r>
            <w:r>
              <w:rPr>
                <w:spacing w:val="-14"/>
                <w:w w:val="95"/>
                <w:sz w:val="21"/>
              </w:rPr>
              <w:t>体依法予以限制或禁入。建立各行业“黑名单”制度和市场退出机制。推动将申请人良好的信用状况作为各类</w:t>
            </w:r>
            <w:r>
              <w:rPr>
                <w:spacing w:val="-14"/>
                <w:sz w:val="21"/>
              </w:rPr>
              <w:t>行政许可的必备条件。</w:t>
            </w:r>
          </w:p>
          <w:p>
            <w:pPr>
              <w:pStyle w:val="8"/>
              <w:numPr>
                <w:ilvl w:val="0"/>
                <w:numId w:val="27"/>
              </w:numPr>
              <w:tabs>
                <w:tab w:val="left" w:pos="733"/>
              </w:tabs>
              <w:spacing w:before="5" w:after="0" w:line="240" w:lineRule="auto"/>
              <w:ind w:left="732" w:right="0" w:hanging="215"/>
              <w:jc w:val="both"/>
              <w:rPr>
                <w:b/>
                <w:sz w:val="21"/>
              </w:rPr>
            </w:pPr>
            <w:r>
              <w:rPr>
                <w:b/>
                <w:spacing w:val="-9"/>
                <w:sz w:val="21"/>
              </w:rPr>
              <w:t>《企业信息公示暂行条例》</w:t>
            </w:r>
            <w:r>
              <w:rPr>
                <w:b/>
                <w:sz w:val="21"/>
              </w:rPr>
              <w:t>（</w:t>
            </w:r>
            <w:r>
              <w:rPr>
                <w:b/>
                <w:spacing w:val="-4"/>
                <w:sz w:val="21"/>
              </w:rPr>
              <w:t xml:space="preserve">中华人民共和国国务院令第 </w:t>
            </w:r>
            <w:r>
              <w:rPr>
                <w:b/>
                <w:sz w:val="21"/>
              </w:rPr>
              <w:t>654</w:t>
            </w:r>
            <w:r>
              <w:rPr>
                <w:b/>
                <w:spacing w:val="-26"/>
                <w:sz w:val="21"/>
              </w:rPr>
              <w:t xml:space="preserve"> 号</w:t>
            </w:r>
            <w:r>
              <w:rPr>
                <w:b/>
                <w:sz w:val="21"/>
              </w:rPr>
              <w:t>）</w:t>
            </w:r>
          </w:p>
        </w:tc>
        <w:tc>
          <w:tcPr>
            <w:tcW w:w="2081" w:type="dxa"/>
            <w:tcBorders>
              <w:bottom w:val="nil"/>
            </w:tcBorders>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6"/>
              <w:rPr>
                <w:rFonts w:ascii="Times New Roman"/>
                <w:sz w:val="23"/>
              </w:rPr>
            </w:pPr>
          </w:p>
          <w:p>
            <w:pPr>
              <w:pStyle w:val="8"/>
              <w:ind w:left="107"/>
              <w:rPr>
                <w:sz w:val="21"/>
              </w:rPr>
            </w:pPr>
            <w:r>
              <w:rPr>
                <w:sz w:val="21"/>
              </w:rPr>
              <w:t>自然资源部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626" w:type="dxa"/>
            <w:tcBorders>
              <w:top w:val="nil"/>
            </w:tcBorders>
          </w:tcPr>
          <w:p>
            <w:pPr>
              <w:pStyle w:val="8"/>
              <w:rPr>
                <w:rFonts w:ascii="Times New Roman"/>
                <w:sz w:val="20"/>
              </w:rPr>
            </w:pPr>
          </w:p>
        </w:tc>
        <w:tc>
          <w:tcPr>
            <w:tcW w:w="10220" w:type="dxa"/>
            <w:tcBorders>
              <w:top w:val="nil"/>
            </w:tcBorders>
          </w:tcPr>
          <w:p>
            <w:pPr>
              <w:pStyle w:val="8"/>
              <w:spacing w:before="27" w:line="270" w:lineRule="atLeast"/>
              <w:ind w:left="108" w:right="94" w:firstLine="420"/>
              <w:rPr>
                <w:sz w:val="21"/>
              </w:rPr>
            </w:pPr>
            <w:r>
              <w:rPr>
                <w:sz w:val="21"/>
              </w:rPr>
              <w:t>第十八条 县级以上地方人民政府及其有关部门应当建立健全信用约束机制，在政府采购、工程招投标、</w:t>
            </w:r>
            <w:r>
              <w:rPr>
                <w:w w:val="95"/>
                <w:sz w:val="21"/>
              </w:rPr>
              <w:t>国有土地出让、授予荣誉称号等工作中，将企业信息作为重要考量因素，对被列入经营异常名录或者严重违法</w:t>
            </w:r>
          </w:p>
        </w:tc>
        <w:tc>
          <w:tcPr>
            <w:tcW w:w="2081" w:type="dxa"/>
            <w:tcBorders>
              <w:top w:val="nil"/>
            </w:tcBorders>
          </w:tcPr>
          <w:p>
            <w:pPr>
              <w:pStyle w:val="8"/>
              <w:rPr>
                <w:rFonts w:ascii="Times New Roman"/>
                <w:sz w:val="20"/>
              </w:rPr>
            </w:pPr>
          </w:p>
        </w:tc>
      </w:tr>
    </w:tbl>
    <w:p>
      <w:pPr>
        <w:spacing w:after="0"/>
        <w:rPr>
          <w:rFonts w:ascii="Times New Roman"/>
          <w:sz w:val="20"/>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626" w:type="dxa"/>
          </w:tcPr>
          <w:p>
            <w:pPr>
              <w:pStyle w:val="8"/>
              <w:rPr>
                <w:rFonts w:ascii="Times New Roman"/>
                <w:sz w:val="20"/>
              </w:rPr>
            </w:pPr>
          </w:p>
        </w:tc>
        <w:tc>
          <w:tcPr>
            <w:tcW w:w="10220" w:type="dxa"/>
          </w:tcPr>
          <w:p>
            <w:pPr>
              <w:pStyle w:val="8"/>
              <w:spacing w:before="1" w:line="250" w:lineRule="exact"/>
              <w:ind w:left="108"/>
              <w:rPr>
                <w:sz w:val="21"/>
              </w:rPr>
            </w:pPr>
            <w:r>
              <w:rPr>
                <w:sz w:val="21"/>
              </w:rPr>
              <w:t>企业名单的企业依法予以限制或者禁入。</w:t>
            </w:r>
          </w:p>
        </w:tc>
        <w:tc>
          <w:tcPr>
            <w:tcW w:w="208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4" w:hRule="atLeast"/>
        </w:trPr>
        <w:tc>
          <w:tcPr>
            <w:tcW w:w="1626"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8"/>
              <w:rPr>
                <w:rFonts w:ascii="Times New Roman"/>
                <w:sz w:val="15"/>
              </w:rPr>
            </w:pPr>
          </w:p>
          <w:p>
            <w:pPr>
              <w:pStyle w:val="8"/>
              <w:spacing w:line="292" w:lineRule="auto"/>
              <w:ind w:left="106" w:right="98"/>
              <w:jc w:val="both"/>
              <w:rPr>
                <w:sz w:val="21"/>
              </w:rPr>
            </w:pPr>
            <w:r>
              <w:rPr>
                <w:sz w:val="21"/>
              </w:rPr>
              <w:t>24.依法限制失信企业参与工程建设项目招标投标。</w:t>
            </w:r>
          </w:p>
        </w:tc>
        <w:tc>
          <w:tcPr>
            <w:tcW w:w="10220" w:type="dxa"/>
          </w:tcPr>
          <w:p>
            <w:pPr>
              <w:pStyle w:val="8"/>
              <w:numPr>
                <w:ilvl w:val="0"/>
                <w:numId w:val="28"/>
              </w:numPr>
              <w:tabs>
                <w:tab w:val="left" w:pos="733"/>
              </w:tabs>
              <w:spacing w:before="0" w:after="0" w:line="290" w:lineRule="auto"/>
              <w:ind w:left="108" w:right="112" w:firstLine="410"/>
              <w:jc w:val="left"/>
              <w:rPr>
                <w:b/>
                <w:sz w:val="21"/>
              </w:rPr>
            </w:pPr>
            <w:r>
              <w:rPr>
                <w:b/>
                <w:spacing w:val="-7"/>
                <w:sz w:val="21"/>
              </w:rPr>
              <w:t>《工程建设项目施工招标投标办法》</w:t>
            </w:r>
            <w:r>
              <w:rPr>
                <w:b/>
                <w:sz w:val="21"/>
              </w:rPr>
              <w:t>（</w:t>
            </w:r>
            <w:r>
              <w:rPr>
                <w:b/>
                <w:spacing w:val="-5"/>
                <w:sz w:val="21"/>
              </w:rPr>
              <w:t xml:space="preserve">国家发展计划委员会令第 </w:t>
            </w:r>
            <w:r>
              <w:rPr>
                <w:b/>
                <w:sz w:val="21"/>
              </w:rPr>
              <w:t>30</w:t>
            </w:r>
            <w:r>
              <w:rPr>
                <w:b/>
                <w:spacing w:val="-10"/>
                <w:sz w:val="21"/>
              </w:rPr>
              <w:t xml:space="preserve"> 号，国家发展和改革委员会令第 </w:t>
            </w:r>
            <w:r>
              <w:rPr>
                <w:b/>
                <w:sz w:val="21"/>
              </w:rPr>
              <w:t>23 号）</w:t>
            </w:r>
          </w:p>
          <w:p>
            <w:pPr>
              <w:pStyle w:val="8"/>
              <w:spacing w:before="2"/>
              <w:ind w:left="518"/>
              <w:rPr>
                <w:sz w:val="21"/>
              </w:rPr>
            </w:pPr>
            <w:r>
              <w:rPr>
                <w:sz w:val="21"/>
              </w:rPr>
              <w:t>第二十条 资格审查应主要审查潜在投标人或者投标人是否符合下列条件：</w:t>
            </w:r>
          </w:p>
          <w:p>
            <w:pPr>
              <w:pStyle w:val="8"/>
              <w:spacing w:before="60"/>
              <w:ind w:left="518"/>
              <w:rPr>
                <w:sz w:val="21"/>
              </w:rPr>
            </w:pPr>
            <w:r>
              <w:rPr>
                <w:sz w:val="21"/>
              </w:rPr>
              <w:t>（一）具有独立订立合同的权利；</w:t>
            </w:r>
          </w:p>
          <w:p>
            <w:pPr>
              <w:pStyle w:val="8"/>
              <w:spacing w:before="57" w:line="290" w:lineRule="auto"/>
              <w:ind w:left="108" w:right="29" w:firstLine="410"/>
              <w:rPr>
                <w:sz w:val="21"/>
              </w:rPr>
            </w:pPr>
            <w:r>
              <w:rPr>
                <w:w w:val="95"/>
                <w:sz w:val="21"/>
              </w:rPr>
              <w:t>（二）具有履行合同的能力，包括专业、技术资格和能力，资金、设备和其他物质设施状况，管理能力，</w:t>
            </w:r>
            <w:r>
              <w:rPr>
                <w:sz w:val="21"/>
              </w:rPr>
              <w:t>经验、信誉和相应的从业人员；</w:t>
            </w:r>
          </w:p>
          <w:p>
            <w:pPr>
              <w:pStyle w:val="8"/>
              <w:spacing w:before="2"/>
              <w:ind w:left="518"/>
              <w:rPr>
                <w:sz w:val="21"/>
              </w:rPr>
            </w:pPr>
            <w:r>
              <w:rPr>
                <w:sz w:val="21"/>
              </w:rPr>
              <w:t>（三）没有处于被责令停业，投标资格被取消，财产被接管、冻结，破产状态；</w:t>
            </w:r>
          </w:p>
          <w:p>
            <w:pPr>
              <w:pStyle w:val="8"/>
              <w:spacing w:before="57"/>
              <w:ind w:left="518"/>
              <w:rPr>
                <w:sz w:val="21"/>
              </w:rPr>
            </w:pPr>
            <w:r>
              <w:rPr>
                <w:sz w:val="21"/>
              </w:rPr>
              <w:t>（四）在最近三年内没有骗取中标和严重违约及重大工程质量问题；</w:t>
            </w:r>
          </w:p>
          <w:p>
            <w:pPr>
              <w:pStyle w:val="8"/>
              <w:spacing w:before="57"/>
              <w:ind w:left="518"/>
              <w:rPr>
                <w:sz w:val="21"/>
              </w:rPr>
            </w:pPr>
            <w:r>
              <w:rPr>
                <w:sz w:val="21"/>
              </w:rPr>
              <w:t>（五）国家规定的其他资格条件。</w:t>
            </w:r>
          </w:p>
          <w:p>
            <w:pPr>
              <w:pStyle w:val="8"/>
              <w:spacing w:before="60" w:line="290" w:lineRule="auto"/>
              <w:ind w:left="108" w:right="96" w:firstLine="410"/>
              <w:rPr>
                <w:sz w:val="21"/>
              </w:rPr>
            </w:pPr>
            <w:r>
              <w:rPr>
                <w:spacing w:val="-6"/>
                <w:w w:val="95"/>
                <w:sz w:val="21"/>
              </w:rPr>
              <w:t>资格审查时，招标人不得以不合理的条件限制、排斥潜在投标人或者投标人，不得对潜在投标人或者投标</w:t>
            </w:r>
            <w:r>
              <w:rPr>
                <w:spacing w:val="-6"/>
                <w:sz w:val="21"/>
              </w:rPr>
              <w:t>人实行歧视待遇。任何单位和个人不得以行政手段或者其他不合理方式限制投标人的数量。</w:t>
            </w:r>
          </w:p>
          <w:p>
            <w:pPr>
              <w:pStyle w:val="8"/>
              <w:numPr>
                <w:ilvl w:val="0"/>
                <w:numId w:val="28"/>
              </w:numPr>
              <w:tabs>
                <w:tab w:val="left" w:pos="733"/>
              </w:tabs>
              <w:spacing w:before="2" w:after="0" w:line="240" w:lineRule="auto"/>
              <w:ind w:left="732" w:right="0" w:hanging="215"/>
              <w:jc w:val="left"/>
              <w:rPr>
                <w:b/>
                <w:sz w:val="21"/>
              </w:rPr>
            </w:pPr>
            <w:r>
              <w:rPr>
                <w:b/>
                <w:sz w:val="21"/>
              </w:rPr>
              <w:t>《国务院关于印发社会信用体系建设规划纲要（2014-2020</w:t>
            </w:r>
            <w:r>
              <w:rPr>
                <w:b/>
                <w:spacing w:val="-27"/>
                <w:sz w:val="21"/>
              </w:rPr>
              <w:t xml:space="preserve"> 年</w:t>
            </w:r>
            <w:r>
              <w:rPr>
                <w:b/>
                <w:sz w:val="21"/>
              </w:rPr>
              <w:t>）</w:t>
            </w:r>
            <w:r>
              <w:rPr>
                <w:b/>
                <w:spacing w:val="-26"/>
                <w:sz w:val="21"/>
              </w:rPr>
              <w:t>的通知》</w:t>
            </w:r>
            <w:r>
              <w:rPr>
                <w:b/>
                <w:sz w:val="21"/>
              </w:rPr>
              <w:t>（国发〔2014〕21</w:t>
            </w:r>
            <w:r>
              <w:rPr>
                <w:b/>
                <w:spacing w:val="-28"/>
                <w:sz w:val="21"/>
              </w:rPr>
              <w:t xml:space="preserve"> 号</w:t>
            </w:r>
            <w:r>
              <w:rPr>
                <w:b/>
                <w:sz w:val="21"/>
              </w:rPr>
              <w:t>）</w:t>
            </w:r>
          </w:p>
          <w:p>
            <w:pPr>
              <w:pStyle w:val="8"/>
              <w:spacing w:before="57" w:line="292" w:lineRule="auto"/>
              <w:ind w:left="108" w:right="22" w:firstLine="410"/>
              <w:rPr>
                <w:sz w:val="21"/>
              </w:rPr>
            </w:pPr>
            <w:r>
              <w:rPr>
                <w:spacing w:val="-4"/>
                <w:sz w:val="21"/>
              </w:rPr>
              <w:t>招标投标领域信用建设。扩大招标投标信用信息公开和共享范围，建立涵盖招标投标情况的信用评价指标</w:t>
            </w:r>
            <w:r>
              <w:rPr>
                <w:spacing w:val="-4"/>
                <w:w w:val="95"/>
                <w:sz w:val="21"/>
              </w:rPr>
              <w:t>和评价标准体系，健全招标投标信用信息公开和共享制度。进一步贯彻落实招标投标违法行为记录公告制度，</w:t>
            </w:r>
            <w:r>
              <w:rPr>
                <w:spacing w:val="-9"/>
                <w:sz w:val="21"/>
              </w:rPr>
              <w:t>推动完善奖惩联动机制。依托电子招标投标系统及其公共服务平台，实现招标投标和合同履行等信用信息的互</w:t>
            </w:r>
            <w:r>
              <w:rPr>
                <w:spacing w:val="-11"/>
                <w:sz w:val="21"/>
              </w:rPr>
              <w:t>联互通、实时交换和整合共享。鼓励市场主体运用基本信用信息和第三方信用评价结果，并将其作为投标人资格审查、评标、定标和合同签订的重要依据。</w:t>
            </w:r>
          </w:p>
          <w:p>
            <w:pPr>
              <w:pStyle w:val="8"/>
              <w:numPr>
                <w:ilvl w:val="0"/>
                <w:numId w:val="28"/>
              </w:numPr>
              <w:tabs>
                <w:tab w:val="left" w:pos="733"/>
              </w:tabs>
              <w:spacing w:before="0" w:after="0" w:line="262" w:lineRule="exact"/>
              <w:ind w:left="732" w:right="0" w:hanging="215"/>
              <w:jc w:val="left"/>
              <w:rPr>
                <w:b/>
                <w:sz w:val="21"/>
              </w:rPr>
            </w:pPr>
            <w:r>
              <w:rPr>
                <w:b/>
                <w:spacing w:val="-4"/>
                <w:sz w:val="21"/>
              </w:rPr>
              <w:t>《国务院办公厅关于运用大数据加强对市场主体服务和监管的若干意见》</w:t>
            </w:r>
            <w:r>
              <w:rPr>
                <w:b/>
                <w:sz w:val="21"/>
              </w:rPr>
              <w:t>（</w:t>
            </w:r>
            <w:r>
              <w:rPr>
                <w:b/>
                <w:spacing w:val="1"/>
                <w:sz w:val="21"/>
              </w:rPr>
              <w:t>国办发〔</w:t>
            </w:r>
            <w:r>
              <w:rPr>
                <w:b/>
                <w:sz w:val="21"/>
              </w:rPr>
              <w:t>2015〕51</w:t>
            </w:r>
            <w:r>
              <w:rPr>
                <w:b/>
                <w:spacing w:val="-28"/>
                <w:sz w:val="21"/>
              </w:rPr>
              <w:t xml:space="preserve"> 号</w:t>
            </w:r>
            <w:r>
              <w:rPr>
                <w:b/>
                <w:sz w:val="21"/>
              </w:rPr>
              <w:t>）</w:t>
            </w:r>
          </w:p>
          <w:p>
            <w:pPr>
              <w:pStyle w:val="8"/>
              <w:spacing w:before="57" w:line="292" w:lineRule="auto"/>
              <w:ind w:left="108" w:right="91" w:firstLine="410"/>
              <w:jc w:val="both"/>
              <w:rPr>
                <w:sz w:val="21"/>
              </w:rPr>
            </w:pPr>
            <w:r>
              <w:rPr>
                <w:spacing w:val="-5"/>
                <w:w w:val="95"/>
                <w:sz w:val="21"/>
              </w:rPr>
              <w:t>建立健全失信联合惩戒机制。各级人民政府应将使用信用信息和信用报告嵌入行政管理和公共服务的各领</w:t>
            </w:r>
            <w:r>
              <w:rPr>
                <w:spacing w:val="-10"/>
                <w:w w:val="95"/>
                <w:sz w:val="21"/>
              </w:rPr>
              <w:t>域、各环节，作为必要条件或重要参考依据。充分发挥行政、司法、金融、社会等领域的综合监管效能，在市</w:t>
            </w:r>
            <w:r>
              <w:rPr>
                <w:spacing w:val="-11"/>
                <w:w w:val="95"/>
                <w:sz w:val="21"/>
              </w:rPr>
              <w:t>场准入、行政审批、资质认定、享受财政补贴和税收优惠政策、企业法定代表人和负责人任职资格审查、政府</w:t>
            </w:r>
            <w:r>
              <w:rPr>
                <w:spacing w:val="-8"/>
                <w:w w:val="95"/>
                <w:sz w:val="21"/>
              </w:rPr>
              <w:t>采购、政府购买服务、银行信贷、招标投标、国有土地出让、企业上市、货物通关、税收征缴、社保缴费、外汇管理、劳动用工、价格制定、电子商务、产品质量、食品药品安全、消费品安全、知识产权、环境保护、治</w:t>
            </w:r>
          </w:p>
        </w:tc>
        <w:tc>
          <w:tcPr>
            <w:tcW w:w="2081"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1"/>
              <w:rPr>
                <w:rFonts w:ascii="Times New Roman"/>
                <w:sz w:val="18"/>
              </w:rPr>
            </w:pPr>
          </w:p>
          <w:p>
            <w:pPr>
              <w:pStyle w:val="8"/>
              <w:spacing w:line="290" w:lineRule="auto"/>
              <w:ind w:left="107" w:right="283"/>
              <w:jc w:val="both"/>
              <w:rPr>
                <w:sz w:val="21"/>
              </w:rPr>
            </w:pPr>
            <w:r>
              <w:rPr>
                <w:sz w:val="21"/>
              </w:rPr>
              <w:t>国家发展改革委、工业和信息化部、住房城乡建设部、交通运输部、</w:t>
            </w:r>
          </w:p>
          <w:p>
            <w:pPr>
              <w:pStyle w:val="8"/>
              <w:spacing w:before="5" w:line="290" w:lineRule="auto"/>
              <w:ind w:left="107" w:right="1123"/>
              <w:rPr>
                <w:sz w:val="21"/>
              </w:rPr>
            </w:pPr>
            <w:r>
              <w:rPr>
                <w:spacing w:val="-4"/>
                <w:sz w:val="21"/>
              </w:rPr>
              <w:t>水利部、</w:t>
            </w:r>
            <w:r>
              <w:rPr>
                <w:spacing w:val="-4"/>
                <w:w w:val="95"/>
                <w:sz w:val="21"/>
              </w:rPr>
              <w:t>商务部、</w:t>
            </w:r>
          </w:p>
          <w:p>
            <w:pPr>
              <w:pStyle w:val="8"/>
              <w:spacing w:before="2" w:line="290" w:lineRule="auto"/>
              <w:ind w:left="107" w:right="283"/>
              <w:rPr>
                <w:sz w:val="21"/>
              </w:rPr>
            </w:pPr>
            <w:r>
              <w:rPr>
                <w:spacing w:val="-2"/>
                <w:sz w:val="21"/>
              </w:rPr>
              <w:t>国际发展合作署、</w:t>
            </w:r>
            <w:r>
              <w:rPr>
                <w:sz w:val="21"/>
              </w:rPr>
              <w:t>民航局、</w:t>
            </w:r>
          </w:p>
          <w:p>
            <w:pPr>
              <w:pStyle w:val="8"/>
              <w:spacing w:before="2"/>
              <w:ind w:left="107"/>
              <w:rPr>
                <w:sz w:val="21"/>
              </w:rPr>
            </w:pPr>
            <w:r>
              <w:rPr>
                <w:sz w:val="21"/>
              </w:rPr>
              <w:t>铁路总公司</w:t>
            </w:r>
          </w:p>
        </w:tc>
      </w:tr>
    </w:tbl>
    <w:p>
      <w:pPr>
        <w:spacing w:after="0"/>
        <w:rPr>
          <w:sz w:val="21"/>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1" w:hRule="atLeast"/>
        </w:trPr>
        <w:tc>
          <w:tcPr>
            <w:tcW w:w="1626" w:type="dxa"/>
          </w:tcPr>
          <w:p>
            <w:pPr>
              <w:pStyle w:val="8"/>
              <w:rPr>
                <w:rFonts w:ascii="Times New Roman"/>
                <w:sz w:val="20"/>
              </w:rPr>
            </w:pPr>
          </w:p>
        </w:tc>
        <w:tc>
          <w:tcPr>
            <w:tcW w:w="10220" w:type="dxa"/>
          </w:tcPr>
          <w:p>
            <w:pPr>
              <w:pStyle w:val="8"/>
              <w:spacing w:before="1" w:line="290" w:lineRule="auto"/>
              <w:ind w:left="108" w:right="94"/>
              <w:jc w:val="both"/>
              <w:rPr>
                <w:sz w:val="21"/>
              </w:rPr>
            </w:pPr>
            <w:r>
              <w:rPr>
                <w:spacing w:val="-9"/>
                <w:w w:val="95"/>
                <w:sz w:val="21"/>
              </w:rPr>
              <w:t>安管理、人口管理、出入境管理、授予荣誉称号等方面，建立跨部门联动响应和失信约束机制，对违法失信主</w:t>
            </w:r>
            <w:r>
              <w:rPr>
                <w:spacing w:val="-13"/>
                <w:w w:val="95"/>
                <w:sz w:val="21"/>
              </w:rPr>
              <w:t>体依法予以限制或禁入。建立各行业“黑名单”制度和市场退出机制。推动将申请人良好的信用状况作为各类</w:t>
            </w:r>
            <w:r>
              <w:rPr>
                <w:spacing w:val="-13"/>
                <w:sz w:val="21"/>
              </w:rPr>
              <w:t>行政许可的必备条件。</w:t>
            </w:r>
          </w:p>
          <w:p>
            <w:pPr>
              <w:pStyle w:val="8"/>
              <w:spacing w:before="3"/>
              <w:ind w:left="518"/>
              <w:rPr>
                <w:b/>
                <w:sz w:val="21"/>
              </w:rPr>
            </w:pPr>
            <w:r>
              <w:rPr>
                <w:b/>
                <w:sz w:val="21"/>
              </w:rPr>
              <w:t>4.《中华人民共和国招标投标法》</w:t>
            </w:r>
          </w:p>
          <w:p>
            <w:pPr>
              <w:pStyle w:val="8"/>
              <w:spacing w:before="57" w:line="292" w:lineRule="auto"/>
              <w:ind w:left="108" w:right="-15" w:firstLine="410"/>
              <w:rPr>
                <w:sz w:val="21"/>
              </w:rPr>
            </w:pPr>
            <w:r>
              <w:rPr>
                <w:sz w:val="21"/>
              </w:rPr>
              <w:t>第五十三条 投标人相互串通投标或者与招标人串通投标的，投标人以向招标人或者评标委员会成员行贿</w:t>
            </w:r>
            <w:r>
              <w:rPr>
                <w:spacing w:val="-6"/>
                <w:sz w:val="21"/>
              </w:rPr>
              <w:t>的手段谋取中标的，中标无效，处中标项目金额千分之五以上千分之十以下的罚款，对单位直接负责的主管人</w:t>
            </w:r>
            <w:r>
              <w:rPr>
                <w:spacing w:val="-12"/>
                <w:w w:val="95"/>
                <w:sz w:val="21"/>
              </w:rPr>
              <w:t>员和其他直接责任人员处单位罚款数额百分之五以上百分之十以下的罚款；有违法所得的，并处没收违法所得；</w:t>
            </w:r>
            <w:r>
              <w:rPr>
                <w:spacing w:val="-12"/>
                <w:sz w:val="21"/>
              </w:rPr>
              <w:t>情节严重的，取消其一年至二年内参加依法必须进行招标的项目的投标资格并予以公告，直至由工商行政管理机关吊销营业执照；构成犯罪的，依法追究刑事责任。给他人造成损失的，依法承担赔偿责任。</w:t>
            </w:r>
          </w:p>
          <w:p>
            <w:pPr>
              <w:pStyle w:val="8"/>
              <w:spacing w:line="290" w:lineRule="auto"/>
              <w:ind w:left="108" w:right="99" w:firstLine="410"/>
              <w:rPr>
                <w:sz w:val="21"/>
              </w:rPr>
            </w:pPr>
            <w:r>
              <w:rPr>
                <w:sz w:val="21"/>
              </w:rPr>
              <w:t>第五十四条 投标人以他人名义投标或者以其他方式弄虚作假，骗取中标的，中标无效，给招标人造成损失的，依法承担赔偿责任；构成犯罪的，依法追究刑事责任。</w:t>
            </w:r>
          </w:p>
          <w:p>
            <w:pPr>
              <w:pStyle w:val="8"/>
              <w:spacing w:line="292" w:lineRule="auto"/>
              <w:ind w:left="108" w:right="96" w:firstLine="410"/>
              <w:jc w:val="both"/>
              <w:rPr>
                <w:sz w:val="21"/>
              </w:rPr>
            </w:pPr>
            <w:r>
              <w:rPr>
                <w:spacing w:val="-3"/>
                <w:w w:val="95"/>
                <w:sz w:val="21"/>
              </w:rPr>
              <w:t>依法必须进行招标的项目的投标人有前款所列行为尚未构成犯罪的，处中标项目金额千分之五以上千分之</w:t>
            </w:r>
            <w:r>
              <w:rPr>
                <w:spacing w:val="-10"/>
                <w:w w:val="95"/>
                <w:sz w:val="21"/>
              </w:rPr>
              <w:t>十以下的罚款，对单位直接负责的主管人员和其他直接责任人员处单位罚款数额百分之五以上百分之十以下的罚款；有违法所得的，并处没收违法所得；情节严重的，取消其一年至三年内参加依法必须进行招标的项目的</w:t>
            </w:r>
            <w:r>
              <w:rPr>
                <w:spacing w:val="-10"/>
                <w:sz w:val="21"/>
              </w:rPr>
              <w:t>投标资格并予以公告，直至由工商行政管理机关吊销营业执照。</w:t>
            </w:r>
          </w:p>
          <w:p>
            <w:pPr>
              <w:pStyle w:val="8"/>
              <w:spacing w:line="290" w:lineRule="auto"/>
              <w:ind w:left="108" w:right="96" w:firstLine="410"/>
              <w:jc w:val="both"/>
              <w:rPr>
                <w:sz w:val="21"/>
              </w:rPr>
            </w:pPr>
            <w:r>
              <w:rPr>
                <w:sz w:val="21"/>
              </w:rPr>
              <w:t>第六十条 中标人不履行与招标人订立的合同的，履约保证金不予退还，给招标人造成的损失超过履约保证金数额的，还应当对超过部分予以赔偿；没有提交履约保证金的，应当对招标人的损失承担赔偿责任。</w:t>
            </w:r>
          </w:p>
          <w:p>
            <w:pPr>
              <w:pStyle w:val="8"/>
              <w:spacing w:line="292" w:lineRule="auto"/>
              <w:ind w:left="108" w:right="98" w:firstLine="410"/>
              <w:rPr>
                <w:sz w:val="21"/>
              </w:rPr>
            </w:pPr>
            <w:r>
              <w:rPr>
                <w:spacing w:val="-4"/>
                <w:w w:val="95"/>
                <w:sz w:val="21"/>
              </w:rPr>
              <w:t>中标人不按照与招标人订立的合同履行义务，情节严重的，取消其二年至五年内参加依法必须进行招标的</w:t>
            </w:r>
            <w:r>
              <w:rPr>
                <w:spacing w:val="-4"/>
                <w:sz w:val="21"/>
              </w:rPr>
              <w:t>项目的投标资格并予以公告，直至由工商行政管理机关吊销营业执照。</w:t>
            </w:r>
          </w:p>
          <w:p>
            <w:pPr>
              <w:pStyle w:val="8"/>
              <w:spacing w:line="290" w:lineRule="auto"/>
              <w:ind w:left="518" w:right="5071"/>
              <w:rPr>
                <w:b/>
                <w:sz w:val="21"/>
              </w:rPr>
            </w:pPr>
            <w:r>
              <w:rPr>
                <w:w w:val="95"/>
                <w:sz w:val="21"/>
              </w:rPr>
              <w:t xml:space="preserve">因不可抗力不能履行合同的，不适用前两款规定。 </w:t>
            </w:r>
            <w:r>
              <w:rPr>
                <w:b/>
                <w:sz w:val="21"/>
              </w:rPr>
              <w:t>5.《招标投标法实施条例》</w:t>
            </w:r>
          </w:p>
          <w:p>
            <w:pPr>
              <w:pStyle w:val="8"/>
              <w:ind w:left="108" w:firstLine="410"/>
              <w:rPr>
                <w:sz w:val="21"/>
              </w:rPr>
            </w:pPr>
            <w:r>
              <w:rPr>
                <w:sz w:val="21"/>
              </w:rPr>
              <w:t>第六十七条 投标人相互串通投标或者与招标人串通投标的，投标人向招标人或者评标委员会成员行贿谋</w:t>
            </w:r>
          </w:p>
          <w:p>
            <w:pPr>
              <w:pStyle w:val="8"/>
              <w:spacing w:line="320" w:lineRule="atLeast"/>
              <w:ind w:left="108" w:right="94"/>
              <w:rPr>
                <w:sz w:val="21"/>
              </w:rPr>
            </w:pPr>
            <w:r>
              <w:rPr>
                <w:spacing w:val="-8"/>
                <w:w w:val="95"/>
                <w:sz w:val="21"/>
              </w:rPr>
              <w:t>取中标的，中标无效；构成犯罪的，依法追究刑事责任；尚不构成犯罪的，依照招标投标法第五十三条的规定</w:t>
            </w:r>
            <w:r>
              <w:rPr>
                <w:spacing w:val="-8"/>
                <w:sz w:val="21"/>
              </w:rPr>
              <w:t>处罚。投标人未中标的，对单位的罚款金额按照招标项目合同金额依照招标投标法规定的比例计算。</w:t>
            </w:r>
          </w:p>
        </w:tc>
        <w:tc>
          <w:tcPr>
            <w:tcW w:w="2081" w:type="dxa"/>
          </w:tcPr>
          <w:p>
            <w:pPr>
              <w:pStyle w:val="8"/>
              <w:rPr>
                <w:rFonts w:ascii="Times New Roman"/>
                <w:sz w:val="20"/>
              </w:rPr>
            </w:pPr>
          </w:p>
        </w:tc>
      </w:tr>
    </w:tbl>
    <w:p>
      <w:pPr>
        <w:spacing w:after="0"/>
        <w:rPr>
          <w:rFonts w:ascii="Times New Roman"/>
          <w:sz w:val="20"/>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3" w:hRule="atLeast"/>
        </w:trPr>
        <w:tc>
          <w:tcPr>
            <w:tcW w:w="1626" w:type="dxa"/>
          </w:tcPr>
          <w:p>
            <w:pPr>
              <w:pStyle w:val="8"/>
              <w:rPr>
                <w:rFonts w:ascii="Times New Roman"/>
                <w:sz w:val="20"/>
              </w:rPr>
            </w:pPr>
          </w:p>
        </w:tc>
        <w:tc>
          <w:tcPr>
            <w:tcW w:w="10220" w:type="dxa"/>
          </w:tcPr>
          <w:p>
            <w:pPr>
              <w:pStyle w:val="8"/>
              <w:spacing w:before="1" w:line="290" w:lineRule="auto"/>
              <w:ind w:left="108" w:right="96" w:firstLine="621"/>
              <w:rPr>
                <w:sz w:val="21"/>
              </w:rPr>
            </w:pPr>
            <w:r>
              <w:rPr>
                <w:spacing w:val="-4"/>
                <w:w w:val="95"/>
                <w:sz w:val="21"/>
              </w:rPr>
              <w:t>投标人有下列行为之一的，属于招标投标法第五十三条规定的情节严重行为，由有关行政监督部门取消</w:t>
            </w:r>
            <w:r>
              <w:rPr>
                <w:spacing w:val="-30"/>
                <w:sz w:val="21"/>
              </w:rPr>
              <w:t xml:space="preserve">其 </w:t>
            </w:r>
            <w:r>
              <w:rPr>
                <w:sz w:val="21"/>
              </w:rPr>
              <w:t>1</w:t>
            </w:r>
            <w:r>
              <w:rPr>
                <w:spacing w:val="-27"/>
                <w:sz w:val="21"/>
              </w:rPr>
              <w:t xml:space="preserve"> 年至 </w:t>
            </w:r>
            <w:r>
              <w:rPr>
                <w:sz w:val="21"/>
              </w:rPr>
              <w:t>2</w:t>
            </w:r>
            <w:r>
              <w:rPr>
                <w:spacing w:val="-8"/>
                <w:sz w:val="21"/>
              </w:rPr>
              <w:t xml:space="preserve"> 年内参加依法必须进行招标的项目的投标资格：</w:t>
            </w:r>
          </w:p>
          <w:p>
            <w:pPr>
              <w:pStyle w:val="8"/>
              <w:spacing w:before="2"/>
              <w:ind w:left="518"/>
              <w:rPr>
                <w:sz w:val="21"/>
              </w:rPr>
            </w:pPr>
            <w:r>
              <w:rPr>
                <w:sz w:val="21"/>
              </w:rPr>
              <w:t>（一）以行贿谋取中标；</w:t>
            </w:r>
          </w:p>
          <w:p>
            <w:pPr>
              <w:pStyle w:val="8"/>
              <w:spacing w:before="58"/>
              <w:ind w:left="518"/>
              <w:rPr>
                <w:sz w:val="21"/>
              </w:rPr>
            </w:pPr>
            <w:r>
              <w:rPr>
                <w:sz w:val="21"/>
              </w:rPr>
              <w:t>（二）3 年内 2 次以上串通投标；</w:t>
            </w:r>
          </w:p>
          <w:p>
            <w:pPr>
              <w:pStyle w:val="8"/>
              <w:spacing w:before="57" w:line="292" w:lineRule="auto"/>
              <w:ind w:left="108" w:right="95" w:firstLine="410"/>
              <w:rPr>
                <w:sz w:val="21"/>
              </w:rPr>
            </w:pPr>
            <w:r>
              <w:rPr>
                <w:sz w:val="21"/>
              </w:rPr>
              <w:t>（三）串通投标行为损害招标人、其他投标人或者国家、集体、公民的合法利益，造成直接经济损失 30 万元以上；</w:t>
            </w:r>
          </w:p>
          <w:p>
            <w:pPr>
              <w:pStyle w:val="8"/>
              <w:spacing w:line="265" w:lineRule="exact"/>
              <w:ind w:left="518"/>
              <w:rPr>
                <w:sz w:val="21"/>
              </w:rPr>
            </w:pPr>
            <w:r>
              <w:rPr>
                <w:sz w:val="21"/>
              </w:rPr>
              <w:t>（四）其他串通投标情节严重的行为。</w:t>
            </w:r>
          </w:p>
          <w:p>
            <w:pPr>
              <w:pStyle w:val="8"/>
              <w:spacing w:before="60" w:line="290" w:lineRule="auto"/>
              <w:ind w:left="108" w:right="96" w:firstLine="410"/>
              <w:rPr>
                <w:sz w:val="21"/>
              </w:rPr>
            </w:pPr>
            <w:r>
              <w:rPr>
                <w:spacing w:val="-3"/>
                <w:sz w:val="21"/>
              </w:rPr>
              <w:t xml:space="preserve">投标人自本条第二款规定的处罚执行期限届满之日起 </w:t>
            </w:r>
            <w:r>
              <w:rPr>
                <w:sz w:val="21"/>
              </w:rPr>
              <w:t>3</w:t>
            </w:r>
            <w:r>
              <w:rPr>
                <w:spacing w:val="-5"/>
                <w:sz w:val="21"/>
              </w:rPr>
              <w:t xml:space="preserve"> 年内又有该款所列违法行为之一的，或者串通投标、以行贿谋取中标情节特别严重的，由工商行政管理机关吊销营业执照。</w:t>
            </w:r>
          </w:p>
          <w:p>
            <w:pPr>
              <w:pStyle w:val="8"/>
              <w:spacing w:before="1"/>
              <w:ind w:left="518"/>
              <w:rPr>
                <w:sz w:val="21"/>
              </w:rPr>
            </w:pPr>
            <w:r>
              <w:rPr>
                <w:sz w:val="21"/>
              </w:rPr>
              <w:t>法律、行政法规对串通投标报价行为的处罚另有规定的，从其规定。</w:t>
            </w:r>
          </w:p>
          <w:p>
            <w:pPr>
              <w:pStyle w:val="8"/>
              <w:spacing w:before="58" w:line="290" w:lineRule="auto"/>
              <w:ind w:left="108" w:right="96" w:firstLine="410"/>
              <w:jc w:val="both"/>
              <w:rPr>
                <w:sz w:val="21"/>
              </w:rPr>
            </w:pPr>
            <w:r>
              <w:rPr>
                <w:sz w:val="21"/>
              </w:rPr>
              <w:t>第六十八条 投标人以他人名义投标或者以其他方式弄虚作假骗取中标的，中标无效；构成犯罪的，依法</w:t>
            </w:r>
            <w:r>
              <w:rPr>
                <w:spacing w:val="-7"/>
                <w:w w:val="95"/>
                <w:sz w:val="21"/>
              </w:rPr>
              <w:t>追究刑事责任；尚不构成犯罪的，依照招标投标法第五十四条的规定处罚。依法必须进行招标的项目的投标人</w:t>
            </w:r>
            <w:r>
              <w:rPr>
                <w:spacing w:val="-7"/>
                <w:sz w:val="21"/>
              </w:rPr>
              <w:t>未中标的，对单位的罚款金额按照招标项目合同金额依照招标投标法规定的比例计算。</w:t>
            </w:r>
          </w:p>
          <w:p>
            <w:pPr>
              <w:pStyle w:val="8"/>
              <w:spacing w:before="4" w:line="290" w:lineRule="auto"/>
              <w:ind w:left="108" w:right="96" w:firstLine="410"/>
              <w:jc w:val="both"/>
              <w:rPr>
                <w:sz w:val="21"/>
              </w:rPr>
            </w:pPr>
            <w:r>
              <w:rPr>
                <w:spacing w:val="-4"/>
                <w:w w:val="95"/>
                <w:sz w:val="21"/>
              </w:rPr>
              <w:t>投标人有下列行为之一的，属于招标投标法第五十四条规定的情节严重行为，由有关行政监督部门取消其</w:t>
            </w:r>
            <w:r>
              <w:rPr>
                <w:rFonts w:hint="eastAsia"/>
                <w:spacing w:val="-4"/>
                <w:w w:val="95"/>
                <w:sz w:val="21"/>
                <w:lang w:val="en-US" w:eastAsia="zh-CN"/>
              </w:rPr>
              <w:t xml:space="preserve"> </w:t>
            </w:r>
            <w:r>
              <w:rPr>
                <w:spacing w:val="-4"/>
                <w:sz w:val="21"/>
              </w:rPr>
              <w:t>1</w:t>
            </w:r>
            <w:r>
              <w:rPr>
                <w:spacing w:val="-27"/>
                <w:sz w:val="21"/>
              </w:rPr>
              <w:t xml:space="preserve"> 年至 </w:t>
            </w:r>
            <w:r>
              <w:rPr>
                <w:sz w:val="21"/>
              </w:rPr>
              <w:t>3</w:t>
            </w:r>
            <w:r>
              <w:rPr>
                <w:spacing w:val="-8"/>
                <w:sz w:val="21"/>
              </w:rPr>
              <w:t xml:space="preserve"> 年内参加依法必须进行招标的项目的投标资格：</w:t>
            </w:r>
          </w:p>
          <w:p>
            <w:pPr>
              <w:pStyle w:val="8"/>
              <w:spacing w:before="2"/>
              <w:ind w:left="518"/>
              <w:rPr>
                <w:sz w:val="21"/>
              </w:rPr>
            </w:pPr>
            <w:r>
              <w:rPr>
                <w:sz w:val="21"/>
              </w:rPr>
              <w:t>（一）伪造、变造资格、资质证书或者其他许可证件骗取中标；</w:t>
            </w:r>
          </w:p>
          <w:p>
            <w:pPr>
              <w:pStyle w:val="8"/>
              <w:spacing w:before="57"/>
              <w:ind w:left="518"/>
              <w:rPr>
                <w:sz w:val="21"/>
              </w:rPr>
            </w:pPr>
            <w:r>
              <w:rPr>
                <w:sz w:val="21"/>
              </w:rPr>
              <w:t>（二）3 年内 2 次以上使用他人名义投标；</w:t>
            </w:r>
          </w:p>
          <w:p>
            <w:pPr>
              <w:pStyle w:val="8"/>
              <w:spacing w:before="58"/>
              <w:ind w:left="518"/>
              <w:rPr>
                <w:sz w:val="21"/>
              </w:rPr>
            </w:pPr>
            <w:r>
              <w:rPr>
                <w:sz w:val="21"/>
              </w:rPr>
              <w:t>（三）弄虚作假骗取中标给招标人造成直接经济损失 30 万元以上；</w:t>
            </w:r>
          </w:p>
          <w:p>
            <w:pPr>
              <w:pStyle w:val="8"/>
              <w:spacing w:before="60"/>
              <w:ind w:left="518"/>
              <w:rPr>
                <w:sz w:val="21"/>
              </w:rPr>
            </w:pPr>
            <w:r>
              <w:rPr>
                <w:sz w:val="21"/>
              </w:rPr>
              <w:t>（四）其他弄虚作假骗取中标情节严重的行为。</w:t>
            </w:r>
          </w:p>
          <w:p>
            <w:pPr>
              <w:pStyle w:val="8"/>
              <w:spacing w:before="6" w:line="320" w:lineRule="atLeast"/>
              <w:ind w:left="108" w:right="96" w:firstLine="410"/>
              <w:rPr>
                <w:sz w:val="21"/>
              </w:rPr>
            </w:pPr>
            <w:r>
              <w:rPr>
                <w:spacing w:val="-3"/>
                <w:sz w:val="21"/>
              </w:rPr>
              <w:t xml:space="preserve">投标人自本条第二款规定的处罚执行期限届满之日起 </w:t>
            </w:r>
            <w:r>
              <w:rPr>
                <w:sz w:val="21"/>
              </w:rPr>
              <w:t>3</w:t>
            </w:r>
            <w:r>
              <w:rPr>
                <w:spacing w:val="-12"/>
                <w:sz w:val="21"/>
              </w:rPr>
              <w:t xml:space="preserve"> 年内又有该款所列违法行为之一的，或者弄虚作假骗取中标情节特别严重的，由工商行政管理机关吊销营业执照。</w:t>
            </w:r>
          </w:p>
        </w:tc>
        <w:tc>
          <w:tcPr>
            <w:tcW w:w="208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1626" w:type="dxa"/>
          </w:tcPr>
          <w:p>
            <w:pPr>
              <w:pStyle w:val="8"/>
              <w:spacing w:line="290" w:lineRule="auto"/>
              <w:ind w:left="106" w:right="98"/>
              <w:rPr>
                <w:sz w:val="21"/>
              </w:rPr>
            </w:pPr>
            <w:r>
              <w:rPr>
                <w:sz w:val="21"/>
              </w:rPr>
              <w:t>25.依法限制失信企业受让收</w:t>
            </w:r>
          </w:p>
          <w:p>
            <w:pPr>
              <w:pStyle w:val="8"/>
              <w:spacing w:before="4"/>
              <w:ind w:left="106"/>
              <w:rPr>
                <w:sz w:val="21"/>
              </w:rPr>
            </w:pPr>
            <w:r>
              <w:rPr>
                <w:sz w:val="21"/>
              </w:rPr>
              <w:t>费公路权益。</w:t>
            </w:r>
          </w:p>
        </w:tc>
        <w:tc>
          <w:tcPr>
            <w:tcW w:w="10220" w:type="dxa"/>
          </w:tcPr>
          <w:p>
            <w:pPr>
              <w:pStyle w:val="8"/>
              <w:ind w:left="518"/>
              <w:rPr>
                <w:b/>
                <w:sz w:val="21"/>
              </w:rPr>
            </w:pPr>
            <w:r>
              <w:rPr>
                <w:b/>
                <w:sz w:val="21"/>
              </w:rPr>
              <w:t>《收费公路权益转让办法》</w:t>
            </w:r>
          </w:p>
          <w:p>
            <w:pPr>
              <w:pStyle w:val="8"/>
              <w:tabs>
                <w:tab w:val="left" w:pos="1569"/>
              </w:tabs>
              <w:spacing w:before="57"/>
              <w:ind w:left="518"/>
              <w:rPr>
                <w:sz w:val="21"/>
              </w:rPr>
            </w:pPr>
            <w:r>
              <w:rPr>
                <w:sz w:val="21"/>
              </w:rPr>
              <w:t>第十二条</w:t>
            </w:r>
            <w:r>
              <w:rPr>
                <w:sz w:val="21"/>
              </w:rPr>
              <w:tab/>
            </w:r>
            <w:r>
              <w:rPr>
                <w:sz w:val="21"/>
              </w:rPr>
              <w:t>公路收费权的受让方应当具备下列条件：</w:t>
            </w:r>
          </w:p>
          <w:p>
            <w:pPr>
              <w:pStyle w:val="8"/>
              <w:spacing w:before="60"/>
              <w:ind w:left="736"/>
              <w:rPr>
                <w:sz w:val="21"/>
              </w:rPr>
            </w:pPr>
            <w:r>
              <w:rPr>
                <w:sz w:val="21"/>
              </w:rPr>
              <w:t>（一）财务状况良好，企业所有者权益不低于受让项目实际造价的 35%；</w:t>
            </w:r>
          </w:p>
        </w:tc>
        <w:tc>
          <w:tcPr>
            <w:tcW w:w="2081" w:type="dxa"/>
          </w:tcPr>
          <w:p>
            <w:pPr>
              <w:pStyle w:val="8"/>
              <w:spacing w:before="4"/>
              <w:rPr>
                <w:rFonts w:ascii="Times New Roman"/>
                <w:sz w:val="28"/>
              </w:rPr>
            </w:pPr>
          </w:p>
          <w:p>
            <w:pPr>
              <w:pStyle w:val="8"/>
              <w:ind w:left="107"/>
              <w:rPr>
                <w:sz w:val="21"/>
              </w:rPr>
            </w:pPr>
            <w:r>
              <w:rPr>
                <w:sz w:val="21"/>
              </w:rPr>
              <w:t>交通运输部</w:t>
            </w:r>
          </w:p>
        </w:tc>
      </w:tr>
    </w:tbl>
    <w:p>
      <w:pPr>
        <w:spacing w:after="0"/>
        <w:rPr>
          <w:sz w:val="21"/>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1626" w:type="dxa"/>
          </w:tcPr>
          <w:p>
            <w:pPr>
              <w:pStyle w:val="8"/>
              <w:rPr>
                <w:rFonts w:ascii="Times New Roman"/>
                <w:sz w:val="20"/>
              </w:rPr>
            </w:pPr>
          </w:p>
        </w:tc>
        <w:tc>
          <w:tcPr>
            <w:tcW w:w="10220" w:type="dxa"/>
          </w:tcPr>
          <w:p>
            <w:pPr>
              <w:pStyle w:val="8"/>
              <w:spacing w:before="1"/>
              <w:ind w:left="736"/>
              <w:rPr>
                <w:sz w:val="21"/>
              </w:rPr>
            </w:pPr>
            <w:r>
              <w:rPr>
                <w:sz w:val="21"/>
              </w:rPr>
              <w:t>（二）商业信誉良好，在经济活动中无重大违法违规行为；</w:t>
            </w:r>
          </w:p>
          <w:p>
            <w:pPr>
              <w:pStyle w:val="8"/>
              <w:spacing w:before="58"/>
              <w:ind w:left="736"/>
              <w:rPr>
                <w:sz w:val="21"/>
              </w:rPr>
            </w:pPr>
            <w:r>
              <w:rPr>
                <w:sz w:val="21"/>
              </w:rPr>
              <w:t>（三）法律、法规规定的其他条件。</w:t>
            </w:r>
          </w:p>
          <w:p>
            <w:pPr>
              <w:pStyle w:val="8"/>
              <w:spacing w:before="6" w:line="320" w:lineRule="atLeast"/>
              <w:ind w:left="108" w:right="96" w:firstLine="420"/>
              <w:rPr>
                <w:sz w:val="21"/>
              </w:rPr>
            </w:pPr>
            <w:r>
              <w:rPr>
                <w:spacing w:val="-6"/>
                <w:w w:val="95"/>
                <w:sz w:val="21"/>
              </w:rPr>
              <w:t>单独转让公路广告经营权、服务设施经营权时，其受让方应当具备的条件，按照地方性法规和省级人民政</w:t>
            </w:r>
            <w:r>
              <w:rPr>
                <w:spacing w:val="-6"/>
                <w:sz w:val="21"/>
              </w:rPr>
              <w:t>府规章执行。</w:t>
            </w:r>
          </w:p>
        </w:tc>
        <w:tc>
          <w:tcPr>
            <w:tcW w:w="208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9" w:hRule="atLeast"/>
        </w:trPr>
        <w:tc>
          <w:tcPr>
            <w:tcW w:w="1626" w:type="dxa"/>
          </w:tcPr>
          <w:p>
            <w:pPr>
              <w:pStyle w:val="8"/>
              <w:rPr>
                <w:rFonts w:ascii="Times New Roman"/>
                <w:sz w:val="20"/>
              </w:rPr>
            </w:pPr>
          </w:p>
          <w:p>
            <w:pPr>
              <w:pStyle w:val="8"/>
              <w:rPr>
                <w:rFonts w:ascii="Times New Roman"/>
                <w:sz w:val="20"/>
              </w:rPr>
            </w:pPr>
          </w:p>
          <w:p>
            <w:pPr>
              <w:pStyle w:val="8"/>
              <w:spacing w:before="7"/>
              <w:rPr>
                <w:rFonts w:ascii="Times New Roman"/>
                <w:sz w:val="22"/>
              </w:rPr>
            </w:pPr>
          </w:p>
          <w:p>
            <w:pPr>
              <w:pStyle w:val="8"/>
              <w:spacing w:line="242" w:lineRule="auto"/>
              <w:ind w:left="106" w:right="38"/>
              <w:jc w:val="both"/>
              <w:rPr>
                <w:sz w:val="21"/>
              </w:rPr>
            </w:pPr>
            <w:r>
              <w:rPr>
                <w:sz w:val="21"/>
              </w:rPr>
              <w:t>26.失信企业申请适用海关认证企业管理的， 海关不予通过认证；已经成为认证企业的，按照规定下调企业信用等级。</w:t>
            </w:r>
          </w:p>
        </w:tc>
        <w:tc>
          <w:tcPr>
            <w:tcW w:w="10220" w:type="dxa"/>
          </w:tcPr>
          <w:p>
            <w:pPr>
              <w:pStyle w:val="8"/>
              <w:numPr>
                <w:ilvl w:val="0"/>
                <w:numId w:val="29"/>
              </w:numPr>
              <w:tabs>
                <w:tab w:val="left" w:pos="800"/>
              </w:tabs>
              <w:spacing w:before="21" w:after="0" w:line="240" w:lineRule="auto"/>
              <w:ind w:left="799" w:right="0" w:hanging="212"/>
              <w:jc w:val="both"/>
              <w:rPr>
                <w:b/>
                <w:sz w:val="21"/>
              </w:rPr>
            </w:pPr>
            <w:r>
              <w:rPr>
                <w:b/>
                <w:spacing w:val="-6"/>
                <w:sz w:val="21"/>
              </w:rPr>
              <w:t>《关于公布&lt;海关认证企业标准&gt;的公告》</w:t>
            </w:r>
            <w:r>
              <w:rPr>
                <w:b/>
                <w:sz w:val="21"/>
              </w:rPr>
              <w:t>（</w:t>
            </w:r>
            <w:r>
              <w:rPr>
                <w:b/>
                <w:spacing w:val="-8"/>
                <w:sz w:val="21"/>
              </w:rPr>
              <w:t xml:space="preserve">海关总署公告 </w:t>
            </w:r>
            <w:r>
              <w:rPr>
                <w:b/>
                <w:sz w:val="21"/>
              </w:rPr>
              <w:t>2014</w:t>
            </w:r>
            <w:r>
              <w:rPr>
                <w:b/>
                <w:spacing w:val="-27"/>
                <w:sz w:val="21"/>
              </w:rPr>
              <w:t xml:space="preserve"> 年第 </w:t>
            </w:r>
            <w:r>
              <w:rPr>
                <w:b/>
                <w:sz w:val="21"/>
              </w:rPr>
              <w:t>82</w:t>
            </w:r>
            <w:r>
              <w:rPr>
                <w:b/>
                <w:spacing w:val="-27"/>
                <w:sz w:val="21"/>
              </w:rPr>
              <w:t xml:space="preserve"> 号</w:t>
            </w:r>
            <w:r>
              <w:rPr>
                <w:b/>
                <w:sz w:val="21"/>
              </w:rPr>
              <w:t>）</w:t>
            </w:r>
          </w:p>
          <w:p>
            <w:pPr>
              <w:pStyle w:val="8"/>
              <w:spacing w:before="22" w:line="242" w:lineRule="auto"/>
              <w:ind w:left="108" w:right="-15" w:firstLine="420"/>
              <w:jc w:val="both"/>
              <w:rPr>
                <w:sz w:val="21"/>
              </w:rPr>
            </w:pPr>
            <w:r>
              <w:rPr>
                <w:spacing w:val="-4"/>
                <w:w w:val="95"/>
                <w:sz w:val="21"/>
              </w:rPr>
              <w:t>《海关认证企业标准</w:t>
            </w:r>
            <w:r>
              <w:rPr>
                <w:w w:val="95"/>
                <w:sz w:val="21"/>
              </w:rPr>
              <w:t>（一般认证</w:t>
            </w:r>
            <w:r>
              <w:rPr>
                <w:spacing w:val="-106"/>
                <w:w w:val="95"/>
                <w:sz w:val="21"/>
              </w:rPr>
              <w:t>）</w:t>
            </w:r>
            <w:r>
              <w:rPr>
                <w:spacing w:val="-28"/>
                <w:w w:val="95"/>
                <w:sz w:val="21"/>
              </w:rPr>
              <w:t>》第</w:t>
            </w:r>
            <w:r>
              <w:rPr>
                <w:w w:val="95"/>
                <w:sz w:val="21"/>
              </w:rPr>
              <w:t>（九</w:t>
            </w:r>
            <w:r>
              <w:rPr>
                <w:spacing w:val="-29"/>
                <w:w w:val="95"/>
                <w:sz w:val="21"/>
              </w:rPr>
              <w:t>）</w:t>
            </w:r>
            <w:r>
              <w:rPr>
                <w:spacing w:val="-5"/>
                <w:w w:val="95"/>
                <w:sz w:val="21"/>
              </w:rPr>
              <w:t>项未有不良外部信用：企业或者其企业法定代表人</w:t>
            </w:r>
            <w:r>
              <w:rPr>
                <w:w w:val="95"/>
                <w:sz w:val="21"/>
              </w:rPr>
              <w:t>（负责人</w:t>
            </w:r>
            <w:r>
              <w:rPr>
                <w:spacing w:val="-104"/>
                <w:w w:val="95"/>
                <w:sz w:val="21"/>
              </w:rPr>
              <w:t>）</w:t>
            </w:r>
            <w:r>
              <w:rPr>
                <w:w w:val="95"/>
                <w:sz w:val="21"/>
              </w:rPr>
              <w:t>、</w:t>
            </w:r>
            <w:r>
              <w:rPr>
                <w:spacing w:val="-6"/>
                <w:sz w:val="21"/>
              </w:rPr>
              <w:t xml:space="preserve">负责关务的高级管理人员、财务负责人连续 </w:t>
            </w:r>
            <w:r>
              <w:rPr>
                <w:sz w:val="21"/>
              </w:rPr>
              <w:t>1</w:t>
            </w:r>
            <w:r>
              <w:rPr>
                <w:spacing w:val="-16"/>
                <w:sz w:val="21"/>
              </w:rPr>
              <w:t xml:space="preserve"> 年在工商、商务、税务、银行、外汇、检验检疫、公安、检察院、法院等部门未被列入经营异常名录、失信企业或者人员名单、黑名单企业、人员。</w:t>
            </w:r>
          </w:p>
          <w:p>
            <w:pPr>
              <w:pStyle w:val="8"/>
              <w:spacing w:before="3" w:line="242" w:lineRule="auto"/>
              <w:ind w:left="108" w:right="19" w:firstLine="420"/>
              <w:rPr>
                <w:sz w:val="21"/>
              </w:rPr>
            </w:pPr>
            <w:r>
              <w:rPr>
                <w:spacing w:val="-2"/>
                <w:sz w:val="21"/>
              </w:rPr>
              <w:t>《海关认证企业标准</w:t>
            </w:r>
            <w:r>
              <w:rPr>
                <w:sz w:val="21"/>
              </w:rPr>
              <w:t>（高级认证</w:t>
            </w:r>
            <w:r>
              <w:rPr>
                <w:spacing w:val="-104"/>
                <w:sz w:val="21"/>
              </w:rPr>
              <w:t>）</w:t>
            </w:r>
            <w:r>
              <w:rPr>
                <w:spacing w:val="-10"/>
                <w:sz w:val="21"/>
              </w:rPr>
              <w:t>》第</w:t>
            </w:r>
            <w:r>
              <w:rPr>
                <w:sz w:val="21"/>
              </w:rPr>
              <w:t>（九</w:t>
            </w:r>
            <w:r>
              <w:rPr>
                <w:spacing w:val="-10"/>
                <w:sz w:val="21"/>
              </w:rPr>
              <w:t>）</w:t>
            </w:r>
            <w:r>
              <w:rPr>
                <w:spacing w:val="-2"/>
                <w:sz w:val="21"/>
              </w:rPr>
              <w:t>项未有不良外部信用：企业或者其法定代表人</w:t>
            </w:r>
            <w:r>
              <w:rPr>
                <w:sz w:val="21"/>
              </w:rPr>
              <w:t>（负责人</w:t>
            </w:r>
            <w:r>
              <w:rPr>
                <w:spacing w:val="-104"/>
                <w:sz w:val="21"/>
              </w:rPr>
              <w:t>）</w:t>
            </w:r>
            <w:r>
              <w:rPr>
                <w:spacing w:val="-5"/>
                <w:sz w:val="21"/>
              </w:rPr>
              <w:t>、负</w:t>
            </w:r>
            <w:r>
              <w:rPr>
                <w:spacing w:val="-9"/>
                <w:sz w:val="21"/>
              </w:rPr>
              <w:t xml:space="preserve">责关务的高级管理人员、财务负责人连续 </w:t>
            </w:r>
            <w:r>
              <w:rPr>
                <w:sz w:val="21"/>
              </w:rPr>
              <w:t>1</w:t>
            </w:r>
            <w:r>
              <w:rPr>
                <w:spacing w:val="-8"/>
                <w:sz w:val="21"/>
              </w:rPr>
              <w:t xml:space="preserve"> 年在工商、商务、税务、银行、外汇、检验检疫、公安、检察院、法院等部门未被列入经营异常名录、失信企业或者人员名单、黑名单企业、人员。</w:t>
            </w:r>
          </w:p>
          <w:p>
            <w:pPr>
              <w:pStyle w:val="8"/>
              <w:numPr>
                <w:ilvl w:val="0"/>
                <w:numId w:val="29"/>
              </w:numPr>
              <w:tabs>
                <w:tab w:val="left" w:pos="800"/>
              </w:tabs>
              <w:spacing w:before="22" w:after="0" w:line="240" w:lineRule="auto"/>
              <w:ind w:left="799" w:right="0" w:hanging="212"/>
              <w:jc w:val="left"/>
              <w:rPr>
                <w:b/>
                <w:sz w:val="21"/>
              </w:rPr>
            </w:pPr>
            <w:r>
              <w:rPr>
                <w:b/>
                <w:spacing w:val="-4"/>
                <w:sz w:val="21"/>
              </w:rPr>
              <w:t>《国务院关于促进市场公平竞争维护市场正常秩序的若干意见》</w:t>
            </w:r>
            <w:r>
              <w:rPr>
                <w:b/>
                <w:sz w:val="21"/>
              </w:rPr>
              <w:t>（国发〔2014〕20</w:t>
            </w:r>
            <w:r>
              <w:rPr>
                <w:b/>
                <w:spacing w:val="-28"/>
                <w:sz w:val="21"/>
              </w:rPr>
              <w:t xml:space="preserve"> 号</w:t>
            </w:r>
            <w:r>
              <w:rPr>
                <w:b/>
                <w:sz w:val="21"/>
              </w:rPr>
              <w:t>）</w:t>
            </w:r>
          </w:p>
          <w:p>
            <w:pPr>
              <w:pStyle w:val="8"/>
              <w:spacing w:before="21" w:line="242" w:lineRule="auto"/>
              <w:ind w:left="108" w:right="91" w:firstLine="420"/>
              <w:jc w:val="both"/>
              <w:rPr>
                <w:sz w:val="21"/>
              </w:rPr>
            </w:pPr>
            <w:r>
              <w:rPr>
                <w:spacing w:val="-4"/>
                <w:w w:val="95"/>
                <w:sz w:val="21"/>
              </w:rPr>
              <w:t>建立健全守信激励和失信惩戒机制。将市场主体的信用信息作为实施行政管理的重要参考。根据市场主体</w:t>
            </w:r>
            <w:r>
              <w:rPr>
                <w:spacing w:val="-9"/>
                <w:w w:val="95"/>
                <w:sz w:val="21"/>
              </w:rPr>
              <w:t>信用状况实行分类分级、动态监管，建立健全经营异常名录制度，对违背市场竞争原则和侵犯消费者、劳动者</w:t>
            </w:r>
            <w:r>
              <w:rPr>
                <w:spacing w:val="-13"/>
                <w:w w:val="95"/>
                <w:sz w:val="21"/>
              </w:rPr>
              <w:t>合法权益的市场主体建立“黑名单”制度。对守信主体予以支持和激励，对失信主体在经营、投融资、取得政</w:t>
            </w:r>
            <w:r>
              <w:rPr>
                <w:spacing w:val="-8"/>
                <w:w w:val="95"/>
                <w:sz w:val="21"/>
              </w:rPr>
              <w:t>府供应土地、进出口、出入境、注册新公司、工程招投标、政府采购、获得荣誉、安全许可、生产许可、从业</w:t>
            </w:r>
            <w:r>
              <w:rPr>
                <w:spacing w:val="-8"/>
                <w:sz w:val="21"/>
              </w:rPr>
              <w:t>任职资格、资质审核等方面依法予以限制或禁止，对严重违法失信主体实行市场禁入制度。</w:t>
            </w:r>
          </w:p>
        </w:tc>
        <w:tc>
          <w:tcPr>
            <w:tcW w:w="2081"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7"/>
              <w:rPr>
                <w:rFonts w:ascii="Times New Roman"/>
                <w:sz w:val="25"/>
              </w:rPr>
            </w:pPr>
          </w:p>
          <w:p>
            <w:pPr>
              <w:pStyle w:val="8"/>
              <w:spacing w:before="1"/>
              <w:ind w:left="107"/>
              <w:rPr>
                <w:sz w:val="21"/>
              </w:rPr>
            </w:pPr>
            <w:r>
              <w:rPr>
                <w:sz w:val="21"/>
              </w:rPr>
              <w:t>海关总署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trPr>
        <w:tc>
          <w:tcPr>
            <w:tcW w:w="1626" w:type="dxa"/>
          </w:tcPr>
          <w:p>
            <w:pPr>
              <w:pStyle w:val="8"/>
              <w:spacing w:before="1" w:line="242" w:lineRule="auto"/>
              <w:ind w:left="106" w:right="38"/>
              <w:jc w:val="both"/>
              <w:rPr>
                <w:sz w:val="21"/>
              </w:rPr>
            </w:pPr>
            <w:r>
              <w:rPr>
                <w:sz w:val="21"/>
              </w:rPr>
              <w:t>27.在失信企业申请办理相关海关业务时，对其进出口货物实施严密监管，加强布控查验、后续稽查或统计监督核查。</w:t>
            </w:r>
          </w:p>
        </w:tc>
        <w:tc>
          <w:tcPr>
            <w:tcW w:w="10220" w:type="dxa"/>
          </w:tcPr>
          <w:p>
            <w:pPr>
              <w:pStyle w:val="8"/>
              <w:spacing w:before="135"/>
              <w:ind w:left="588"/>
              <w:rPr>
                <w:b/>
                <w:sz w:val="21"/>
              </w:rPr>
            </w:pPr>
            <w:r>
              <w:rPr>
                <w:b/>
                <w:sz w:val="21"/>
              </w:rPr>
              <w:t>《国务院关于促进市场公平竞争维护市场正常秩序的若干意见》（国发〔2014〕20 号）</w:t>
            </w:r>
          </w:p>
          <w:p>
            <w:pPr>
              <w:pStyle w:val="8"/>
              <w:spacing w:before="24" w:line="242" w:lineRule="auto"/>
              <w:ind w:left="108" w:right="-15" w:firstLine="420"/>
              <w:rPr>
                <w:sz w:val="21"/>
              </w:rPr>
            </w:pPr>
            <w:r>
              <w:rPr>
                <w:sz w:val="21"/>
              </w:rPr>
              <w:t>（十五</w:t>
            </w:r>
            <w:r>
              <w:rPr>
                <w:spacing w:val="-25"/>
                <w:sz w:val="21"/>
              </w:rPr>
              <w:t>）</w:t>
            </w:r>
            <w:r>
              <w:rPr>
                <w:spacing w:val="-3"/>
                <w:sz w:val="21"/>
              </w:rPr>
              <w:t>建立健全守信激励和失信惩戒机制。将市场主体的信用信息作为实施行政管理的重要参考。根据</w:t>
            </w:r>
            <w:r>
              <w:rPr>
                <w:spacing w:val="-12"/>
                <w:w w:val="95"/>
                <w:sz w:val="21"/>
              </w:rPr>
              <w:t>市场主体信用状况实行分类分级、动态监管，建立健全经营异常名录制度，对违背市场竞争原则和侵犯消费者、</w:t>
            </w:r>
            <w:r>
              <w:rPr>
                <w:spacing w:val="-17"/>
                <w:sz w:val="21"/>
              </w:rPr>
              <w:t>劳动者合法权益的市场主体建立“黑名单”制度。</w:t>
            </w:r>
            <w:r>
              <w:rPr>
                <w:sz w:val="21"/>
              </w:rPr>
              <w:t>（工商总局牵头负责）对守信主体予以支持和激励，对失信</w:t>
            </w:r>
            <w:r>
              <w:rPr>
                <w:spacing w:val="-12"/>
                <w:w w:val="95"/>
                <w:sz w:val="21"/>
              </w:rPr>
              <w:t>主体在经营、投融资、取得政府供应土地、进出口、出入境、注册新公司、工程招投标、政府采购、获得荣誉、</w:t>
            </w:r>
            <w:r>
              <w:rPr>
                <w:spacing w:val="-12"/>
                <w:sz w:val="21"/>
              </w:rPr>
              <w:t>安全许可、生产许可、从业任职资格、资质审核等方面依法予以限制或禁止，对严重违法失信主体实行市场禁</w:t>
            </w:r>
            <w:r>
              <w:rPr>
                <w:spacing w:val="-35"/>
                <w:sz w:val="21"/>
              </w:rPr>
              <w:t>入制度。</w:t>
            </w:r>
            <w:r>
              <w:rPr>
                <w:sz w:val="21"/>
              </w:rPr>
              <w:t>（各相关市场监管部门按职责分工分别负责）</w:t>
            </w:r>
          </w:p>
        </w:tc>
        <w:tc>
          <w:tcPr>
            <w:tcW w:w="2081"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1"/>
              <w:rPr>
                <w:rFonts w:ascii="Times New Roman"/>
                <w:sz w:val="22"/>
              </w:rPr>
            </w:pPr>
          </w:p>
          <w:p>
            <w:pPr>
              <w:pStyle w:val="8"/>
              <w:ind w:left="107"/>
              <w:rPr>
                <w:sz w:val="21"/>
              </w:rPr>
            </w:pPr>
            <w:r>
              <w:rPr>
                <w:sz w:val="21"/>
              </w:rPr>
              <w:t>海关总署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626" w:type="dxa"/>
          </w:tcPr>
          <w:p>
            <w:pPr>
              <w:pStyle w:val="8"/>
              <w:spacing w:before="1"/>
              <w:ind w:left="106"/>
              <w:rPr>
                <w:sz w:val="21"/>
              </w:rPr>
            </w:pPr>
            <w:r>
              <w:rPr>
                <w:spacing w:val="3"/>
                <w:w w:val="95"/>
                <w:sz w:val="21"/>
              </w:rPr>
              <w:t>28</w:t>
            </w:r>
            <w:r>
              <w:rPr>
                <w:spacing w:val="6"/>
                <w:w w:val="95"/>
                <w:sz w:val="21"/>
              </w:rPr>
              <w:t>.失信责任主</w:t>
            </w:r>
          </w:p>
          <w:p>
            <w:pPr>
              <w:pStyle w:val="8"/>
              <w:spacing w:before="1" w:line="270" w:lineRule="atLeast"/>
              <w:ind w:left="106" w:right="98"/>
              <w:rPr>
                <w:sz w:val="21"/>
              </w:rPr>
            </w:pPr>
            <w:r>
              <w:rPr>
                <w:spacing w:val="-12"/>
                <w:sz w:val="21"/>
              </w:rPr>
              <w:t>体为个人的，依</w:t>
            </w:r>
            <w:r>
              <w:rPr>
                <w:spacing w:val="23"/>
                <w:w w:val="95"/>
                <w:sz w:val="21"/>
              </w:rPr>
              <w:t>法限制其担任</w:t>
            </w:r>
          </w:p>
        </w:tc>
        <w:tc>
          <w:tcPr>
            <w:tcW w:w="10220" w:type="dxa"/>
          </w:tcPr>
          <w:p>
            <w:pPr>
              <w:pStyle w:val="8"/>
              <w:spacing w:before="1"/>
              <w:ind w:left="528"/>
              <w:rPr>
                <w:b/>
                <w:sz w:val="21"/>
              </w:rPr>
            </w:pPr>
            <w:r>
              <w:rPr>
                <w:b/>
                <w:sz w:val="21"/>
              </w:rPr>
              <w:t>《中华人民共和国企业国有资产法》</w:t>
            </w:r>
          </w:p>
          <w:p>
            <w:pPr>
              <w:pStyle w:val="8"/>
              <w:spacing w:before="2"/>
              <w:ind w:left="528" w:right="-15"/>
              <w:rPr>
                <w:sz w:val="21"/>
              </w:rPr>
            </w:pPr>
            <w:r>
              <w:rPr>
                <w:spacing w:val="-7"/>
                <w:sz w:val="21"/>
              </w:rPr>
              <w:t>第二十三条 履行出资人职责的机构任命或者建议任命的董事、监事、高级管理人员，应当具备下列条件：</w:t>
            </w:r>
          </w:p>
          <w:p>
            <w:pPr>
              <w:pStyle w:val="8"/>
              <w:spacing w:before="2" w:line="252" w:lineRule="exact"/>
              <w:ind w:left="528"/>
              <w:rPr>
                <w:sz w:val="21"/>
              </w:rPr>
            </w:pPr>
            <w:r>
              <w:rPr>
                <w:sz w:val="21"/>
              </w:rPr>
              <w:t>（1）有良好的品行；</w:t>
            </w:r>
          </w:p>
        </w:tc>
        <w:tc>
          <w:tcPr>
            <w:tcW w:w="2081" w:type="dxa"/>
          </w:tcPr>
          <w:p>
            <w:pPr>
              <w:pStyle w:val="8"/>
              <w:spacing w:before="1" w:line="242" w:lineRule="auto"/>
              <w:ind w:left="107" w:right="701"/>
              <w:rPr>
                <w:sz w:val="21"/>
              </w:rPr>
            </w:pPr>
            <w:r>
              <w:rPr>
                <w:sz w:val="21"/>
              </w:rPr>
              <w:t>中央组织部、国资委、</w:t>
            </w:r>
          </w:p>
          <w:p>
            <w:pPr>
              <w:pStyle w:val="8"/>
              <w:spacing w:line="250" w:lineRule="exact"/>
              <w:ind w:left="107"/>
              <w:rPr>
                <w:sz w:val="21"/>
              </w:rPr>
            </w:pPr>
            <w:r>
              <w:rPr>
                <w:sz w:val="21"/>
              </w:rPr>
              <w:t>财政部等相关部门</w:t>
            </w:r>
          </w:p>
        </w:tc>
      </w:tr>
    </w:tbl>
    <w:p>
      <w:pPr>
        <w:spacing w:after="0" w:line="250" w:lineRule="exact"/>
        <w:rPr>
          <w:sz w:val="21"/>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0" w:hRule="atLeast"/>
        </w:trPr>
        <w:tc>
          <w:tcPr>
            <w:tcW w:w="1626" w:type="dxa"/>
          </w:tcPr>
          <w:p>
            <w:pPr>
              <w:pStyle w:val="8"/>
              <w:spacing w:before="1" w:line="242" w:lineRule="auto"/>
              <w:ind w:left="106" w:right="38"/>
              <w:jc w:val="both"/>
              <w:rPr>
                <w:sz w:val="21"/>
              </w:rPr>
            </w:pPr>
            <w:r>
              <w:rPr>
                <w:sz w:val="21"/>
              </w:rPr>
              <w:t>国有独资公司法定代表人、董事、监事及国有资本控股或参股公司法定代表人、董事、监事及国有企业的法定代表人、高级管理人员； 已担任相关职务的，提出其不再担任相关职</w:t>
            </w:r>
          </w:p>
          <w:p>
            <w:pPr>
              <w:pStyle w:val="8"/>
              <w:spacing w:before="6" w:line="252" w:lineRule="exact"/>
              <w:ind w:left="106"/>
              <w:rPr>
                <w:sz w:val="21"/>
              </w:rPr>
            </w:pPr>
            <w:r>
              <w:rPr>
                <w:sz w:val="21"/>
              </w:rPr>
              <w:t>务的意见。</w:t>
            </w:r>
          </w:p>
        </w:tc>
        <w:tc>
          <w:tcPr>
            <w:tcW w:w="10220" w:type="dxa"/>
          </w:tcPr>
          <w:p>
            <w:pPr>
              <w:pStyle w:val="8"/>
              <w:numPr>
                <w:ilvl w:val="0"/>
                <w:numId w:val="30"/>
              </w:numPr>
              <w:tabs>
                <w:tab w:val="left" w:pos="1264"/>
              </w:tabs>
              <w:spacing w:before="1" w:after="0" w:line="240" w:lineRule="auto"/>
              <w:ind w:left="1263" w:right="0" w:hanging="528"/>
              <w:jc w:val="left"/>
              <w:rPr>
                <w:sz w:val="21"/>
              </w:rPr>
            </w:pPr>
            <w:r>
              <w:rPr>
                <w:sz w:val="21"/>
              </w:rPr>
              <w:t>有符合职位要求的专业知识和工作能力；</w:t>
            </w:r>
          </w:p>
          <w:p>
            <w:pPr>
              <w:pStyle w:val="8"/>
              <w:numPr>
                <w:ilvl w:val="0"/>
                <w:numId w:val="30"/>
              </w:numPr>
              <w:tabs>
                <w:tab w:val="left" w:pos="1264"/>
              </w:tabs>
              <w:spacing w:before="3" w:after="0" w:line="240" w:lineRule="auto"/>
              <w:ind w:left="1263" w:right="0" w:hanging="528"/>
              <w:jc w:val="left"/>
              <w:rPr>
                <w:sz w:val="21"/>
              </w:rPr>
            </w:pPr>
            <w:r>
              <w:rPr>
                <w:w w:val="95"/>
                <w:sz w:val="21"/>
              </w:rPr>
              <w:t>有能够正常履行职责的身体条件；</w:t>
            </w:r>
          </w:p>
          <w:p>
            <w:pPr>
              <w:pStyle w:val="8"/>
              <w:numPr>
                <w:ilvl w:val="0"/>
                <w:numId w:val="30"/>
              </w:numPr>
              <w:tabs>
                <w:tab w:val="left" w:pos="1264"/>
              </w:tabs>
              <w:spacing w:before="2" w:after="0" w:line="240" w:lineRule="auto"/>
              <w:ind w:left="1263" w:right="0" w:hanging="528"/>
              <w:jc w:val="left"/>
              <w:rPr>
                <w:sz w:val="21"/>
              </w:rPr>
            </w:pPr>
            <w:r>
              <w:rPr>
                <w:w w:val="95"/>
                <w:sz w:val="21"/>
              </w:rPr>
              <w:t>法律、行政法规规定的其他条件。</w:t>
            </w:r>
          </w:p>
          <w:p>
            <w:pPr>
              <w:pStyle w:val="8"/>
              <w:spacing w:before="4" w:line="242" w:lineRule="auto"/>
              <w:ind w:left="108" w:right="96" w:firstLine="420"/>
              <w:jc w:val="both"/>
              <w:rPr>
                <w:sz w:val="21"/>
              </w:rPr>
            </w:pPr>
            <w:r>
              <w:rPr>
                <w:spacing w:val="-8"/>
                <w:w w:val="95"/>
                <w:sz w:val="21"/>
              </w:rPr>
              <w:t>董事、监事、高级管理人员在任职期间出现不符合前款规定情形或者出现《中华人民共和国公司法》规定</w:t>
            </w:r>
            <w:r>
              <w:rPr>
                <w:spacing w:val="-13"/>
                <w:w w:val="95"/>
                <w:sz w:val="21"/>
              </w:rPr>
              <w:t>的不得担任公司董事、监事、高级管理人员情形的，履行出资人职责的机构应当依法予以免职或者提出免职建</w:t>
            </w:r>
            <w:r>
              <w:rPr>
                <w:spacing w:val="-13"/>
                <w:sz w:val="21"/>
              </w:rPr>
              <w:t>议。</w:t>
            </w:r>
          </w:p>
        </w:tc>
        <w:tc>
          <w:tcPr>
            <w:tcW w:w="208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6" w:hRule="atLeast"/>
        </w:trPr>
        <w:tc>
          <w:tcPr>
            <w:tcW w:w="1626" w:type="dxa"/>
          </w:tcPr>
          <w:p>
            <w:pPr>
              <w:pStyle w:val="8"/>
              <w:spacing w:before="1" w:line="242" w:lineRule="auto"/>
              <w:ind w:left="106" w:right="98"/>
              <w:jc w:val="both"/>
              <w:rPr>
                <w:sz w:val="21"/>
              </w:rPr>
            </w:pPr>
            <w:r>
              <w:rPr>
                <w:spacing w:val="3"/>
                <w:sz w:val="21"/>
              </w:rPr>
              <w:t>29</w:t>
            </w:r>
            <w:r>
              <w:rPr>
                <w:spacing w:val="4"/>
                <w:sz w:val="21"/>
              </w:rPr>
              <w:t>.失信责任主</w:t>
            </w:r>
            <w:r>
              <w:rPr>
                <w:spacing w:val="-12"/>
                <w:sz w:val="21"/>
              </w:rPr>
              <w:t>体为个人的，依</w:t>
            </w:r>
            <w:r>
              <w:rPr>
                <w:spacing w:val="23"/>
                <w:sz w:val="21"/>
              </w:rPr>
              <w:t>法限制登记为事业单位法定</w:t>
            </w:r>
            <w:r>
              <w:rPr>
                <w:spacing w:val="-12"/>
                <w:sz w:val="21"/>
              </w:rPr>
              <w:t>代表人。失信责</w:t>
            </w:r>
            <w:r>
              <w:rPr>
                <w:spacing w:val="23"/>
                <w:sz w:val="21"/>
              </w:rPr>
              <w:t>任主体是机构</w:t>
            </w:r>
            <w:r>
              <w:rPr>
                <w:spacing w:val="-12"/>
                <w:sz w:val="21"/>
              </w:rPr>
              <w:t>的，该机构法定</w:t>
            </w:r>
            <w:r>
              <w:rPr>
                <w:spacing w:val="23"/>
                <w:sz w:val="21"/>
              </w:rPr>
              <w:t>代表人依法限制登记为事业</w:t>
            </w:r>
          </w:p>
          <w:p>
            <w:pPr>
              <w:pStyle w:val="8"/>
              <w:spacing w:before="4" w:line="270" w:lineRule="atLeast"/>
              <w:ind w:left="106" w:right="98"/>
              <w:jc w:val="both"/>
              <w:rPr>
                <w:sz w:val="21"/>
              </w:rPr>
            </w:pPr>
            <w:r>
              <w:rPr>
                <w:sz w:val="21"/>
              </w:rPr>
              <w:t>单位法定代表人。</w:t>
            </w:r>
          </w:p>
        </w:tc>
        <w:tc>
          <w:tcPr>
            <w:tcW w:w="10220" w:type="dxa"/>
          </w:tcPr>
          <w:p>
            <w:pPr>
              <w:pStyle w:val="8"/>
              <w:spacing w:before="1" w:line="242" w:lineRule="auto"/>
              <w:ind w:left="108" w:right="60" w:firstLine="420"/>
              <w:rPr>
                <w:b/>
                <w:sz w:val="21"/>
              </w:rPr>
            </w:pPr>
            <w:r>
              <w:rPr>
                <w:b/>
                <w:w w:val="95"/>
                <w:sz w:val="21"/>
              </w:rPr>
              <w:t xml:space="preserve">1.《中央编办关于批转&lt;事业单位、社会团体及企业等组织利用国有资产举办事业单位设立登记办法（试   </w:t>
            </w:r>
            <w:r>
              <w:rPr>
                <w:b/>
                <w:sz w:val="21"/>
              </w:rPr>
              <w:t>行）</w:t>
            </w:r>
            <w:r>
              <w:rPr>
                <w:b/>
                <w:spacing w:val="-21"/>
                <w:sz w:val="21"/>
              </w:rPr>
              <w:t>&gt;的通知》</w:t>
            </w:r>
            <w:r>
              <w:rPr>
                <w:b/>
                <w:sz w:val="21"/>
              </w:rPr>
              <w:t>（中央编办发〔2015〕132</w:t>
            </w:r>
            <w:r>
              <w:rPr>
                <w:b/>
                <w:spacing w:val="-28"/>
                <w:sz w:val="21"/>
              </w:rPr>
              <w:t xml:space="preserve"> 号</w:t>
            </w:r>
            <w:r>
              <w:rPr>
                <w:b/>
                <w:sz w:val="21"/>
              </w:rPr>
              <w:t>）</w:t>
            </w:r>
          </w:p>
          <w:p>
            <w:pPr>
              <w:pStyle w:val="8"/>
              <w:spacing w:before="1"/>
              <w:ind w:left="528"/>
              <w:rPr>
                <w:sz w:val="21"/>
              </w:rPr>
            </w:pPr>
            <w:r>
              <w:rPr>
                <w:sz w:val="21"/>
              </w:rPr>
              <w:t>第四条 登记事项要求：</w:t>
            </w:r>
          </w:p>
          <w:p>
            <w:pPr>
              <w:pStyle w:val="8"/>
              <w:spacing w:before="3" w:line="244" w:lineRule="auto"/>
              <w:ind w:left="108" w:right="96" w:firstLine="420"/>
              <w:rPr>
                <w:sz w:val="21"/>
              </w:rPr>
            </w:pPr>
            <w:r>
              <w:rPr>
                <w:w w:val="95"/>
                <w:sz w:val="21"/>
              </w:rPr>
              <w:t>（四</w:t>
            </w:r>
            <w:r>
              <w:rPr>
                <w:spacing w:val="-20"/>
                <w:w w:val="95"/>
                <w:sz w:val="21"/>
              </w:rPr>
              <w:t>）</w:t>
            </w:r>
            <w:r>
              <w:rPr>
                <w:spacing w:val="-6"/>
                <w:w w:val="95"/>
                <w:sz w:val="21"/>
              </w:rPr>
              <w:t>法定代表人。应当是具有完全民事行为能力的中国公民，且为该单位主要行政负责人，年龄一般不</w:t>
            </w:r>
            <w:r>
              <w:rPr>
                <w:spacing w:val="-23"/>
                <w:sz w:val="21"/>
              </w:rPr>
              <w:t xml:space="preserve">超过 </w:t>
            </w:r>
            <w:r>
              <w:rPr>
                <w:sz w:val="21"/>
              </w:rPr>
              <w:t>70</w:t>
            </w:r>
            <w:r>
              <w:rPr>
                <w:spacing w:val="-8"/>
                <w:sz w:val="21"/>
              </w:rPr>
              <w:t xml:space="preserve"> 周岁，无不良信用记录。担任过其他机构法定代表人的，在任职期间，该机构无不良信用记录。</w:t>
            </w:r>
          </w:p>
          <w:p>
            <w:pPr>
              <w:pStyle w:val="8"/>
              <w:spacing w:line="244" w:lineRule="auto"/>
              <w:ind w:left="528" w:right="1911"/>
              <w:rPr>
                <w:w w:val="95"/>
                <w:sz w:val="21"/>
              </w:rPr>
            </w:pPr>
            <w:r>
              <w:rPr>
                <w:w w:val="95"/>
                <w:sz w:val="21"/>
              </w:rPr>
              <w:t xml:space="preserve">党政机关领导干部在职或退休后拟担任法定代表人的，应当符合干部管理有关规定。  </w:t>
            </w:r>
          </w:p>
          <w:p>
            <w:pPr>
              <w:pStyle w:val="8"/>
              <w:spacing w:line="244" w:lineRule="auto"/>
              <w:ind w:left="528" w:right="1911"/>
              <w:rPr>
                <w:b/>
                <w:sz w:val="21"/>
              </w:rPr>
            </w:pPr>
            <w:r>
              <w:rPr>
                <w:b/>
                <w:sz w:val="21"/>
              </w:rPr>
              <w:t>2.</w:t>
            </w:r>
            <w:r>
              <w:rPr>
                <w:b/>
                <w:spacing w:val="-6"/>
                <w:sz w:val="21"/>
              </w:rPr>
              <w:t>《事业单位登记管理暂行条例实施细则》</w:t>
            </w:r>
            <w:r>
              <w:rPr>
                <w:b/>
                <w:sz w:val="21"/>
              </w:rPr>
              <w:t>（中央编办发〔2014〕4</w:t>
            </w:r>
            <w:r>
              <w:rPr>
                <w:b/>
                <w:spacing w:val="-27"/>
                <w:sz w:val="21"/>
              </w:rPr>
              <w:t xml:space="preserve"> 号</w:t>
            </w:r>
            <w:r>
              <w:rPr>
                <w:b/>
                <w:sz w:val="21"/>
              </w:rPr>
              <w:t>）</w:t>
            </w:r>
          </w:p>
          <w:p>
            <w:pPr>
              <w:pStyle w:val="8"/>
              <w:spacing w:line="265" w:lineRule="exact"/>
              <w:ind w:left="528"/>
              <w:rPr>
                <w:sz w:val="21"/>
              </w:rPr>
            </w:pPr>
            <w:r>
              <w:rPr>
                <w:sz w:val="21"/>
              </w:rPr>
              <w:t>第三十一条 事业单位法定代表人应当具备下列条件：</w:t>
            </w:r>
          </w:p>
          <w:p>
            <w:pPr>
              <w:pStyle w:val="8"/>
              <w:ind w:left="528"/>
              <w:rPr>
                <w:sz w:val="21"/>
              </w:rPr>
            </w:pPr>
            <w:r>
              <w:rPr>
                <w:sz w:val="21"/>
              </w:rPr>
              <w:t>（一）具有完全民事行为能力的自然人；</w:t>
            </w:r>
          </w:p>
          <w:p>
            <w:pPr>
              <w:pStyle w:val="8"/>
              <w:spacing w:before="1" w:line="270" w:lineRule="atLeast"/>
              <w:ind w:left="108" w:right="98" w:firstLine="420"/>
              <w:rPr>
                <w:sz w:val="21"/>
              </w:rPr>
            </w:pPr>
            <w:r>
              <w:rPr>
                <w:w w:val="95"/>
                <w:sz w:val="21"/>
              </w:rPr>
              <w:t>（二</w:t>
            </w:r>
            <w:r>
              <w:rPr>
                <w:spacing w:val="-20"/>
                <w:w w:val="95"/>
                <w:sz w:val="21"/>
              </w:rPr>
              <w:t>）</w:t>
            </w:r>
            <w:r>
              <w:rPr>
                <w:spacing w:val="-4"/>
                <w:w w:val="95"/>
                <w:sz w:val="21"/>
              </w:rPr>
              <w:t>该事业单位的主要行政负责人；违反法律、法规和政策规定产生的事业单位主要行政负责人，不得</w:t>
            </w:r>
            <w:r>
              <w:rPr>
                <w:spacing w:val="-4"/>
                <w:sz w:val="21"/>
              </w:rPr>
              <w:t>担任事业单位法定代表人。</w:t>
            </w:r>
          </w:p>
        </w:tc>
        <w:tc>
          <w:tcPr>
            <w:tcW w:w="2081"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18"/>
              </w:rPr>
            </w:pPr>
          </w:p>
          <w:p>
            <w:pPr>
              <w:pStyle w:val="8"/>
              <w:ind w:left="107"/>
              <w:rPr>
                <w:sz w:val="21"/>
              </w:rPr>
            </w:pPr>
            <w:r>
              <w:rPr>
                <w:sz w:val="21"/>
              </w:rPr>
              <w:t>中央编办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1626" w:type="dxa"/>
          </w:tcPr>
          <w:p>
            <w:pPr>
              <w:pStyle w:val="8"/>
              <w:spacing w:line="242" w:lineRule="auto"/>
              <w:ind w:left="106" w:right="98"/>
              <w:jc w:val="both"/>
              <w:rPr>
                <w:sz w:val="21"/>
              </w:rPr>
            </w:pPr>
            <w:r>
              <w:rPr>
                <w:sz w:val="21"/>
              </w:rPr>
              <w:t>30.将失信企业和以失信责任主体为法定代</w:t>
            </w:r>
          </w:p>
          <w:p>
            <w:pPr>
              <w:pStyle w:val="8"/>
              <w:spacing w:before="2" w:line="270" w:lineRule="atLeast"/>
              <w:ind w:left="106" w:right="-15"/>
              <w:rPr>
                <w:sz w:val="21"/>
              </w:rPr>
            </w:pPr>
            <w:r>
              <w:rPr>
                <w:spacing w:val="-9"/>
                <w:sz w:val="21"/>
              </w:rPr>
              <w:t>表人、实际控制</w:t>
            </w:r>
            <w:r>
              <w:rPr>
                <w:spacing w:val="-23"/>
                <w:sz w:val="21"/>
              </w:rPr>
              <w:t>人、董事、监事、</w:t>
            </w:r>
          </w:p>
        </w:tc>
        <w:tc>
          <w:tcPr>
            <w:tcW w:w="10220" w:type="dxa"/>
          </w:tcPr>
          <w:p>
            <w:pPr>
              <w:pStyle w:val="8"/>
              <w:spacing w:line="244" w:lineRule="auto"/>
              <w:ind w:left="528" w:right="504"/>
              <w:rPr>
                <w:sz w:val="21"/>
              </w:rPr>
            </w:pPr>
            <w:r>
              <w:rPr>
                <w:b/>
                <w:sz w:val="21"/>
              </w:rPr>
              <w:t>1.《国务院关于印发社会信用体系建设规划纲要（2014—2020</w:t>
            </w:r>
            <w:r>
              <w:rPr>
                <w:b/>
                <w:spacing w:val="-30"/>
                <w:sz w:val="21"/>
              </w:rPr>
              <w:t xml:space="preserve"> 年</w:t>
            </w:r>
            <w:r>
              <w:rPr>
                <w:b/>
                <w:sz w:val="21"/>
              </w:rPr>
              <w:t>）的通知》（国发〔2014〕21</w:t>
            </w:r>
            <w:r>
              <w:rPr>
                <w:b/>
                <w:spacing w:val="-30"/>
                <w:sz w:val="21"/>
              </w:rPr>
              <w:t xml:space="preserve"> 号</w:t>
            </w:r>
            <w:r>
              <w:rPr>
                <w:b/>
                <w:sz w:val="21"/>
              </w:rPr>
              <w:t xml:space="preserve">） </w:t>
            </w:r>
            <w:r>
              <w:rPr>
                <w:sz w:val="21"/>
              </w:rPr>
              <w:t>第五部分第一条：</w:t>
            </w:r>
          </w:p>
          <w:p>
            <w:pPr>
              <w:pStyle w:val="8"/>
              <w:spacing w:line="265" w:lineRule="exact"/>
              <w:ind w:left="528"/>
              <w:rPr>
                <w:sz w:val="21"/>
              </w:rPr>
            </w:pPr>
            <w:r>
              <w:rPr>
                <w:sz w:val="21"/>
              </w:rPr>
              <w:t>完善以奖惩制度为重点的社会信用体系运行机制</w:t>
            </w:r>
          </w:p>
          <w:p>
            <w:pPr>
              <w:pStyle w:val="8"/>
              <w:spacing w:before="3" w:line="270" w:lineRule="atLeast"/>
              <w:ind w:left="108" w:right="96" w:firstLine="420"/>
              <w:rPr>
                <w:sz w:val="21"/>
              </w:rPr>
            </w:pPr>
            <w:r>
              <w:rPr>
                <w:spacing w:val="-4"/>
                <w:w w:val="95"/>
                <w:sz w:val="21"/>
              </w:rPr>
              <w:t>运行机制是保障社会信用体系各系统协调运行的制度基础。其中，守信激励和失信惩戒机制直接作用于各</w:t>
            </w:r>
            <w:r>
              <w:rPr>
                <w:spacing w:val="-4"/>
                <w:sz w:val="21"/>
              </w:rPr>
              <w:t>个社会主体信用行为，是社会信用体系运行的核心机制。</w:t>
            </w:r>
          </w:p>
        </w:tc>
        <w:tc>
          <w:tcPr>
            <w:tcW w:w="2081" w:type="dxa"/>
          </w:tcPr>
          <w:p>
            <w:pPr>
              <w:pStyle w:val="8"/>
              <w:rPr>
                <w:rFonts w:ascii="Times New Roman"/>
                <w:sz w:val="20"/>
              </w:rPr>
            </w:pPr>
          </w:p>
          <w:p>
            <w:pPr>
              <w:pStyle w:val="8"/>
              <w:spacing w:before="178" w:line="244" w:lineRule="auto"/>
              <w:ind w:left="107" w:right="492"/>
              <w:rPr>
                <w:sz w:val="21"/>
              </w:rPr>
            </w:pPr>
            <w:r>
              <w:rPr>
                <w:sz w:val="21"/>
              </w:rPr>
              <w:t>相关市场监管、行业主管部门</w:t>
            </w:r>
          </w:p>
        </w:tc>
      </w:tr>
    </w:tbl>
    <w:p>
      <w:pPr>
        <w:spacing w:after="0" w:line="244" w:lineRule="auto"/>
        <w:rPr>
          <w:sz w:val="21"/>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1626" w:type="dxa"/>
          </w:tcPr>
          <w:p>
            <w:pPr>
              <w:pStyle w:val="8"/>
              <w:spacing w:before="1" w:line="242" w:lineRule="auto"/>
              <w:ind w:left="106" w:right="98"/>
              <w:jc w:val="both"/>
              <w:rPr>
                <w:sz w:val="21"/>
              </w:rPr>
            </w:pPr>
            <w:r>
              <w:rPr>
                <w:spacing w:val="23"/>
                <w:sz w:val="21"/>
              </w:rPr>
              <w:t>高级管理人员</w:t>
            </w:r>
            <w:r>
              <w:rPr>
                <w:spacing w:val="-12"/>
                <w:sz w:val="21"/>
              </w:rPr>
              <w:t>的单位，作为重点监管对象，加</w:t>
            </w:r>
            <w:r>
              <w:rPr>
                <w:spacing w:val="23"/>
                <w:sz w:val="21"/>
              </w:rPr>
              <w:t>大日常监管力</w:t>
            </w:r>
            <w:r>
              <w:rPr>
                <w:spacing w:val="-12"/>
                <w:sz w:val="21"/>
              </w:rPr>
              <w:t>度，提高随机抽</w:t>
            </w:r>
            <w:r>
              <w:rPr>
                <w:spacing w:val="23"/>
                <w:sz w:val="21"/>
              </w:rPr>
              <w:t>查的比例和频</w:t>
            </w:r>
            <w:r>
              <w:rPr>
                <w:spacing w:val="-12"/>
                <w:sz w:val="21"/>
              </w:rPr>
              <w:t>次，并可依据相</w:t>
            </w:r>
            <w:r>
              <w:rPr>
                <w:spacing w:val="23"/>
                <w:sz w:val="21"/>
              </w:rPr>
              <w:t>关法律法规对其采取行政监</w:t>
            </w:r>
          </w:p>
          <w:p>
            <w:pPr>
              <w:pStyle w:val="8"/>
              <w:spacing w:before="5" w:line="251" w:lineRule="exact"/>
              <w:ind w:left="106"/>
              <w:rPr>
                <w:sz w:val="21"/>
              </w:rPr>
            </w:pPr>
            <w:r>
              <w:rPr>
                <w:sz w:val="21"/>
              </w:rPr>
              <w:t>管措施。</w:t>
            </w:r>
          </w:p>
        </w:tc>
        <w:tc>
          <w:tcPr>
            <w:tcW w:w="10220" w:type="dxa"/>
          </w:tcPr>
          <w:p>
            <w:pPr>
              <w:pStyle w:val="8"/>
              <w:spacing w:before="1"/>
              <w:ind w:left="528"/>
              <w:rPr>
                <w:b/>
                <w:sz w:val="21"/>
              </w:rPr>
            </w:pPr>
            <w:r>
              <w:rPr>
                <w:b/>
                <w:w w:val="95"/>
                <w:sz w:val="21"/>
              </w:rPr>
              <w:t>2.《国务院关于建立完善守信联合激励和失信联合惩戒制度加快推进社会诚信建设的指导意见》（国发</w:t>
            </w:r>
          </w:p>
          <w:p>
            <w:pPr>
              <w:pStyle w:val="8"/>
              <w:spacing w:before="3"/>
              <w:ind w:left="108"/>
              <w:rPr>
                <w:b/>
                <w:sz w:val="21"/>
              </w:rPr>
            </w:pPr>
            <w:r>
              <w:rPr>
                <w:b/>
                <w:sz w:val="21"/>
              </w:rPr>
              <w:t>〔2016〕33 号）</w:t>
            </w:r>
          </w:p>
          <w:p>
            <w:pPr>
              <w:pStyle w:val="8"/>
              <w:spacing w:before="2" w:line="242" w:lineRule="auto"/>
              <w:ind w:left="108" w:right="-15" w:firstLine="420"/>
              <w:rPr>
                <w:sz w:val="21"/>
              </w:rPr>
            </w:pPr>
            <w:r>
              <w:rPr>
                <w:sz w:val="21"/>
              </w:rPr>
              <w:t>（十</w:t>
            </w:r>
            <w:r>
              <w:rPr>
                <w:spacing w:val="-20"/>
                <w:sz w:val="21"/>
              </w:rPr>
              <w:t>）</w:t>
            </w:r>
            <w:r>
              <w:rPr>
                <w:spacing w:val="-3"/>
                <w:sz w:val="21"/>
              </w:rPr>
              <w:t>依法依规加强对失信行为的行政性约束和惩戒。对严重失信主体，各地区、各有关部门应将其列为</w:t>
            </w:r>
            <w:r>
              <w:rPr>
                <w:spacing w:val="-14"/>
                <w:w w:val="95"/>
                <w:sz w:val="21"/>
              </w:rPr>
              <w:t>重点监管对象，依法依规采取行政性约束和惩戒措施。从严审核行政许可审批项目，从严控制生产许可证发放，</w:t>
            </w:r>
            <w:r>
              <w:rPr>
                <w:spacing w:val="-15"/>
                <w:sz w:val="21"/>
              </w:rPr>
              <w:t>限制新增项目审批、核准，限制股票发行上市融资或发行债券，限制在全国股份转让系统挂牌、融资，限制发</w:t>
            </w:r>
            <w:r>
              <w:rPr>
                <w:spacing w:val="-18"/>
                <w:sz w:val="21"/>
              </w:rPr>
              <w:t>起设立或参股金融机构以及小额贷款公司、融资担保公司、创业投资公司、互联网融资平台等机构，限制从事</w:t>
            </w:r>
            <w:r>
              <w:rPr>
                <w:spacing w:val="-16"/>
                <w:sz w:val="21"/>
              </w:rPr>
              <w:t>互联网信息服务等。严格限制申请财政性资金项目，限制参与有关公共资源交易活动，限制参与基础设施和公</w:t>
            </w:r>
            <w:r>
              <w:rPr>
                <w:spacing w:val="-15"/>
                <w:sz w:val="21"/>
              </w:rPr>
              <w:t>用事业特许经营。对严重失信企业及其法定代表人、主要负责人和对失信行为负有直接责任的注册执业人员等</w:t>
            </w:r>
            <w:r>
              <w:rPr>
                <w:spacing w:val="-16"/>
                <w:sz w:val="21"/>
              </w:rPr>
              <w:t>实施市场和行业禁入措施。及时撤销严重失信企业及其法定代表人、负责人、高级管理人员和对失信行为负有</w:t>
            </w:r>
            <w:r>
              <w:rPr>
                <w:sz w:val="21"/>
              </w:rPr>
              <w:t>直接责任的董事、股东等人员的荣誉称号，取消参加评先评优资格。</w:t>
            </w:r>
          </w:p>
        </w:tc>
        <w:tc>
          <w:tcPr>
            <w:tcW w:w="208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6" w:hRule="atLeast"/>
        </w:trPr>
        <w:tc>
          <w:tcPr>
            <w:tcW w:w="1626"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9"/>
              <w:rPr>
                <w:rFonts w:ascii="Times New Roman"/>
                <w:sz w:val="22"/>
              </w:rPr>
            </w:pPr>
          </w:p>
          <w:p>
            <w:pPr>
              <w:pStyle w:val="8"/>
              <w:spacing w:before="1" w:line="242" w:lineRule="auto"/>
              <w:ind w:left="106" w:right="249"/>
              <w:jc w:val="both"/>
              <w:rPr>
                <w:sz w:val="21"/>
              </w:rPr>
            </w:pPr>
            <w:r>
              <w:rPr>
                <w:sz w:val="21"/>
              </w:rPr>
              <w:t>31. 通过主要新闻网站向社会公布失信责任主体信息。</w:t>
            </w:r>
          </w:p>
        </w:tc>
        <w:tc>
          <w:tcPr>
            <w:tcW w:w="10220" w:type="dxa"/>
          </w:tcPr>
          <w:p>
            <w:pPr>
              <w:pStyle w:val="8"/>
              <w:ind w:left="528"/>
              <w:rPr>
                <w:b/>
                <w:sz w:val="21"/>
              </w:rPr>
            </w:pPr>
            <w:r>
              <w:rPr>
                <w:b/>
                <w:sz w:val="21"/>
              </w:rPr>
              <w:t>1.《中华人民共和国政府信息公开条例》</w:t>
            </w:r>
          </w:p>
          <w:p>
            <w:pPr>
              <w:pStyle w:val="8"/>
              <w:spacing w:before="4"/>
              <w:ind w:left="528"/>
              <w:rPr>
                <w:sz w:val="21"/>
              </w:rPr>
            </w:pPr>
            <w:r>
              <w:rPr>
                <w:sz w:val="21"/>
              </w:rPr>
              <w:t>第九条 行政机关对符合下列基本要求之一的政府信息应当主动公开：</w:t>
            </w:r>
          </w:p>
          <w:p>
            <w:pPr>
              <w:pStyle w:val="8"/>
              <w:numPr>
                <w:ilvl w:val="0"/>
                <w:numId w:val="31"/>
              </w:numPr>
              <w:tabs>
                <w:tab w:val="left" w:pos="1053"/>
              </w:tabs>
              <w:spacing w:before="2" w:after="0" w:line="240" w:lineRule="auto"/>
              <w:ind w:left="1052" w:right="0" w:hanging="525"/>
              <w:jc w:val="left"/>
              <w:rPr>
                <w:sz w:val="21"/>
              </w:rPr>
            </w:pPr>
            <w:r>
              <w:rPr>
                <w:sz w:val="21"/>
              </w:rPr>
              <w:t>涉及公民、法人或者其他组织切身利益的；</w:t>
            </w:r>
          </w:p>
          <w:p>
            <w:pPr>
              <w:pStyle w:val="8"/>
              <w:numPr>
                <w:ilvl w:val="0"/>
                <w:numId w:val="31"/>
              </w:numPr>
              <w:tabs>
                <w:tab w:val="left" w:pos="1053"/>
              </w:tabs>
              <w:spacing w:before="5" w:after="0" w:line="240" w:lineRule="auto"/>
              <w:ind w:left="1052" w:right="0" w:hanging="525"/>
              <w:jc w:val="left"/>
              <w:rPr>
                <w:sz w:val="21"/>
              </w:rPr>
            </w:pPr>
            <w:r>
              <w:rPr>
                <w:sz w:val="21"/>
              </w:rPr>
              <w:t>需要社会公众广泛知晓或者参与的；</w:t>
            </w:r>
          </w:p>
          <w:p>
            <w:pPr>
              <w:pStyle w:val="8"/>
              <w:numPr>
                <w:ilvl w:val="0"/>
                <w:numId w:val="31"/>
              </w:numPr>
              <w:tabs>
                <w:tab w:val="left" w:pos="1053"/>
              </w:tabs>
              <w:spacing w:before="2" w:after="0" w:line="240" w:lineRule="auto"/>
              <w:ind w:left="1052" w:right="0" w:hanging="525"/>
              <w:jc w:val="left"/>
              <w:rPr>
                <w:sz w:val="21"/>
              </w:rPr>
            </w:pPr>
            <w:r>
              <w:rPr>
                <w:sz w:val="21"/>
              </w:rPr>
              <w:t>反映本行政机关机构设置、职能、办事程序等情况的；</w:t>
            </w:r>
          </w:p>
          <w:p>
            <w:pPr>
              <w:pStyle w:val="8"/>
              <w:numPr>
                <w:ilvl w:val="0"/>
                <w:numId w:val="31"/>
              </w:numPr>
              <w:tabs>
                <w:tab w:val="left" w:pos="1053"/>
              </w:tabs>
              <w:spacing w:before="5" w:after="0" w:line="242" w:lineRule="auto"/>
              <w:ind w:left="528" w:right="4116" w:firstLine="0"/>
              <w:jc w:val="left"/>
              <w:rPr>
                <w:b/>
                <w:sz w:val="21"/>
              </w:rPr>
            </w:pPr>
            <w:r>
              <w:rPr>
                <w:w w:val="95"/>
                <w:sz w:val="21"/>
              </w:rPr>
              <w:t xml:space="preserve">其他依照法律、法规和国家有关规定应当主动公开的。 </w:t>
            </w:r>
            <w:r>
              <w:rPr>
                <w:b/>
                <w:sz w:val="21"/>
              </w:rPr>
              <w:t>2.《互联网新闻信息服务管理规定》</w:t>
            </w:r>
          </w:p>
          <w:p>
            <w:pPr>
              <w:pStyle w:val="8"/>
              <w:spacing w:before="1" w:line="242" w:lineRule="auto"/>
              <w:ind w:left="108" w:right="96" w:firstLine="420"/>
              <w:rPr>
                <w:sz w:val="21"/>
              </w:rPr>
            </w:pPr>
            <w:r>
              <w:rPr>
                <w:sz w:val="21"/>
              </w:rPr>
              <w:t>第三条 互联网新闻信息服务单位从事互联网新闻信息服务，应当遵守宪法、法律和法规，坚持为人民服务、为社会主义服务的方向，坚持正确的舆论导向，维护国家利益和公共利益。</w:t>
            </w:r>
          </w:p>
          <w:p>
            <w:pPr>
              <w:pStyle w:val="8"/>
              <w:spacing w:before="1"/>
              <w:ind w:left="528"/>
              <w:rPr>
                <w:sz w:val="21"/>
              </w:rPr>
            </w:pPr>
            <w:r>
              <w:rPr>
                <w:sz w:val="21"/>
              </w:rPr>
              <w:t>国家鼓励互联网新闻信息服务单位传播有益于提高民族素质、推动经济发展、促进社会进步的健康、文明</w:t>
            </w:r>
          </w:p>
          <w:p>
            <w:pPr>
              <w:pStyle w:val="8"/>
              <w:spacing w:before="2" w:line="252" w:lineRule="exact"/>
              <w:ind w:left="108"/>
              <w:rPr>
                <w:sz w:val="21"/>
              </w:rPr>
            </w:pPr>
            <w:r>
              <w:rPr>
                <w:sz w:val="21"/>
              </w:rPr>
              <w:t>的新闻信息。</w:t>
            </w:r>
          </w:p>
        </w:tc>
        <w:tc>
          <w:tcPr>
            <w:tcW w:w="2081"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6"/>
              <w:rPr>
                <w:rFonts w:ascii="Times New Roman"/>
                <w:sz w:val="18"/>
              </w:rPr>
            </w:pPr>
          </w:p>
          <w:p>
            <w:pPr>
              <w:pStyle w:val="8"/>
              <w:ind w:left="107"/>
              <w:rPr>
                <w:sz w:val="21"/>
              </w:rPr>
            </w:pPr>
            <w:r>
              <w:rPr>
                <w:sz w:val="21"/>
              </w:rPr>
              <w:t>中央网信办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1626" w:type="dxa"/>
          </w:tcPr>
          <w:p>
            <w:pPr>
              <w:pStyle w:val="8"/>
              <w:spacing w:before="1" w:line="242" w:lineRule="auto"/>
              <w:ind w:left="106" w:right="38"/>
              <w:jc w:val="both"/>
              <w:rPr>
                <w:sz w:val="21"/>
              </w:rPr>
            </w:pPr>
            <w:r>
              <w:rPr>
                <w:spacing w:val="3"/>
                <w:sz w:val="21"/>
              </w:rPr>
              <w:t>32</w:t>
            </w:r>
            <w:r>
              <w:rPr>
                <w:spacing w:val="6"/>
                <w:sz w:val="21"/>
              </w:rPr>
              <w:t>.对于机关、</w:t>
            </w:r>
            <w:r>
              <w:rPr>
                <w:spacing w:val="-6"/>
                <w:sz w:val="21"/>
              </w:rPr>
              <w:t>企事业单位、社</w:t>
            </w:r>
            <w:r>
              <w:rPr>
                <w:spacing w:val="25"/>
                <w:sz w:val="21"/>
              </w:rPr>
              <w:t>会团体或其领导成员为失信</w:t>
            </w:r>
            <w:r>
              <w:rPr>
                <w:spacing w:val="19"/>
                <w:sz w:val="21"/>
              </w:rPr>
              <w:t>单位或个人的，</w:t>
            </w:r>
            <w:r>
              <w:rPr>
                <w:spacing w:val="25"/>
                <w:sz w:val="21"/>
              </w:rPr>
              <w:t>不得参加文明</w:t>
            </w:r>
            <w:r>
              <w:rPr>
                <w:spacing w:val="-3"/>
                <w:sz w:val="21"/>
              </w:rPr>
              <w:t>单位、道德模范</w:t>
            </w:r>
            <w:r>
              <w:rPr>
                <w:spacing w:val="25"/>
                <w:w w:val="95"/>
                <w:sz w:val="21"/>
              </w:rPr>
              <w:t>等各类评选表</w:t>
            </w:r>
          </w:p>
        </w:tc>
        <w:tc>
          <w:tcPr>
            <w:tcW w:w="10220" w:type="dxa"/>
          </w:tcPr>
          <w:p>
            <w:pPr>
              <w:pStyle w:val="8"/>
              <w:numPr>
                <w:ilvl w:val="0"/>
                <w:numId w:val="32"/>
              </w:numPr>
              <w:tabs>
                <w:tab w:val="left" w:pos="740"/>
              </w:tabs>
              <w:spacing w:before="1" w:after="0" w:line="242" w:lineRule="auto"/>
              <w:ind w:left="528" w:right="504" w:firstLine="0"/>
              <w:jc w:val="left"/>
              <w:rPr>
                <w:sz w:val="21"/>
              </w:rPr>
            </w:pPr>
            <w:r>
              <w:rPr>
                <w:b/>
                <w:sz w:val="21"/>
              </w:rPr>
              <w:t>《国务院关于印发社会信用体系建设规划纲要（2014—2020</w:t>
            </w:r>
            <w:r>
              <w:rPr>
                <w:b/>
                <w:spacing w:val="-30"/>
                <w:sz w:val="21"/>
              </w:rPr>
              <w:t xml:space="preserve"> 年</w:t>
            </w:r>
            <w:r>
              <w:rPr>
                <w:b/>
                <w:sz w:val="21"/>
              </w:rPr>
              <w:t>）的通知》（国发〔2014〕21</w:t>
            </w:r>
            <w:r>
              <w:rPr>
                <w:b/>
                <w:spacing w:val="-30"/>
                <w:sz w:val="21"/>
              </w:rPr>
              <w:t xml:space="preserve"> 号</w:t>
            </w:r>
            <w:r>
              <w:rPr>
                <w:b/>
                <w:sz w:val="21"/>
              </w:rPr>
              <w:t xml:space="preserve">） </w:t>
            </w:r>
            <w:r>
              <w:rPr>
                <w:sz w:val="21"/>
              </w:rPr>
              <w:t>第五部分第一条：</w:t>
            </w:r>
          </w:p>
          <w:p>
            <w:pPr>
              <w:pStyle w:val="8"/>
              <w:spacing w:before="1"/>
              <w:ind w:left="528"/>
              <w:rPr>
                <w:sz w:val="21"/>
              </w:rPr>
            </w:pPr>
            <w:r>
              <w:rPr>
                <w:sz w:val="21"/>
              </w:rPr>
              <w:t>完善以奖惩制度为重点的社会信用体系运行机制</w:t>
            </w:r>
          </w:p>
          <w:p>
            <w:pPr>
              <w:pStyle w:val="8"/>
              <w:spacing w:before="2" w:line="244" w:lineRule="auto"/>
              <w:ind w:left="108" w:right="96" w:firstLine="420"/>
              <w:rPr>
                <w:sz w:val="21"/>
              </w:rPr>
            </w:pPr>
            <w:r>
              <w:rPr>
                <w:spacing w:val="-4"/>
                <w:w w:val="95"/>
                <w:sz w:val="21"/>
              </w:rPr>
              <w:t>运行机制是保障社会信用体系各系统协调运行的制度基础。其中，守信激励和失信惩戒机制直接作用于各</w:t>
            </w:r>
            <w:r>
              <w:rPr>
                <w:spacing w:val="-4"/>
                <w:sz w:val="21"/>
              </w:rPr>
              <w:t>个社会主体信用行为，是社会信用体系运行的核心机制。</w:t>
            </w:r>
          </w:p>
          <w:p>
            <w:pPr>
              <w:pStyle w:val="8"/>
              <w:numPr>
                <w:ilvl w:val="0"/>
                <w:numId w:val="32"/>
              </w:numPr>
              <w:tabs>
                <w:tab w:val="left" w:pos="745"/>
              </w:tabs>
              <w:spacing w:before="0" w:after="0" w:line="265" w:lineRule="exact"/>
              <w:ind w:left="744" w:right="0" w:hanging="217"/>
              <w:jc w:val="left"/>
              <w:rPr>
                <w:b/>
                <w:sz w:val="21"/>
              </w:rPr>
            </w:pPr>
            <w:r>
              <w:rPr>
                <w:b/>
                <w:spacing w:val="4"/>
                <w:w w:val="95"/>
                <w:sz w:val="21"/>
              </w:rPr>
              <w:t>《国务院关于建立完善守信联合激励和失信联合惩戒制度加快推进社会诚信建设的指导意见》</w:t>
            </w:r>
            <w:r>
              <w:rPr>
                <w:b/>
                <w:spacing w:val="7"/>
                <w:w w:val="95"/>
                <w:sz w:val="21"/>
              </w:rPr>
              <w:t>（</w:t>
            </w:r>
            <w:r>
              <w:rPr>
                <w:b/>
                <w:spacing w:val="3"/>
                <w:w w:val="95"/>
                <w:sz w:val="21"/>
              </w:rPr>
              <w:t>国发</w:t>
            </w:r>
          </w:p>
          <w:p>
            <w:pPr>
              <w:pStyle w:val="8"/>
              <w:spacing w:before="5"/>
              <w:ind w:left="108"/>
              <w:rPr>
                <w:b/>
                <w:sz w:val="21"/>
              </w:rPr>
            </w:pPr>
            <w:r>
              <w:rPr>
                <w:b/>
                <w:sz w:val="21"/>
              </w:rPr>
              <w:t>〔2016〕33 号）</w:t>
            </w:r>
          </w:p>
          <w:p>
            <w:pPr>
              <w:pStyle w:val="8"/>
              <w:spacing w:before="2" w:line="260" w:lineRule="exact"/>
              <w:ind w:left="528"/>
              <w:rPr>
                <w:sz w:val="21"/>
              </w:rPr>
            </w:pPr>
            <w:r>
              <w:rPr>
                <w:sz w:val="21"/>
              </w:rPr>
              <w:t>（十）依法依规加强对失信行为的行政性约束和惩戒。对严重失信主体，各地区、各有关部门应将其列为</w:t>
            </w:r>
          </w:p>
        </w:tc>
        <w:tc>
          <w:tcPr>
            <w:tcW w:w="2081"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27" w:line="242" w:lineRule="auto"/>
              <w:ind w:left="107" w:right="703"/>
              <w:rPr>
                <w:sz w:val="21"/>
              </w:rPr>
            </w:pPr>
            <w:r>
              <w:rPr>
                <w:sz w:val="21"/>
              </w:rPr>
              <w:t>中央宣传部、中央文明办</w:t>
            </w:r>
          </w:p>
        </w:tc>
      </w:tr>
    </w:tbl>
    <w:p>
      <w:pPr>
        <w:spacing w:after="0" w:line="242" w:lineRule="auto"/>
        <w:rPr>
          <w:sz w:val="21"/>
        </w:rPr>
        <w:sectPr>
          <w:pgSz w:w="16840" w:h="11910" w:orient="landscape"/>
          <w:pgMar w:top="1100" w:right="1280" w:bottom="1380" w:left="1400" w:header="0" w:footer="120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1022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626" w:type="dxa"/>
            <w:tcBorders>
              <w:bottom w:val="nil"/>
            </w:tcBorders>
          </w:tcPr>
          <w:p>
            <w:pPr>
              <w:pStyle w:val="8"/>
              <w:spacing w:before="1" w:line="245" w:lineRule="exact"/>
              <w:ind w:left="106"/>
              <w:rPr>
                <w:sz w:val="21"/>
              </w:rPr>
            </w:pPr>
            <w:r>
              <w:rPr>
                <w:sz w:val="21"/>
              </w:rPr>
              <w:t>彰，已经取得荣</w:t>
            </w:r>
          </w:p>
        </w:tc>
        <w:tc>
          <w:tcPr>
            <w:tcW w:w="10220" w:type="dxa"/>
            <w:tcBorders>
              <w:bottom w:val="nil"/>
            </w:tcBorders>
          </w:tcPr>
          <w:p>
            <w:pPr>
              <w:pStyle w:val="8"/>
              <w:spacing w:before="1" w:line="245" w:lineRule="exact"/>
              <w:ind w:left="108" w:right="-15"/>
              <w:jc w:val="both"/>
              <w:rPr>
                <w:sz w:val="21"/>
              </w:rPr>
            </w:pPr>
            <w:r>
              <w:rPr>
                <w:spacing w:val="-13"/>
                <w:w w:val="95"/>
                <w:sz w:val="21"/>
              </w:rPr>
              <w:t>重点监管对象，依法依规采取行政性约束和惩戒措施。从严审核行政许可审批项目，从严控制生产许可证发放，</w:t>
            </w:r>
            <w:bookmarkStart w:id="0" w:name="_GoBack"/>
            <w:bookmarkEnd w:id="0"/>
          </w:p>
        </w:tc>
        <w:tc>
          <w:tcPr>
            <w:tcW w:w="2081" w:type="dxa"/>
            <w:vMerge w:val="restart"/>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1626" w:type="dxa"/>
            <w:tcBorders>
              <w:top w:val="nil"/>
              <w:bottom w:val="nil"/>
            </w:tcBorders>
          </w:tcPr>
          <w:p>
            <w:pPr>
              <w:pStyle w:val="8"/>
              <w:spacing w:line="241" w:lineRule="exact"/>
              <w:ind w:left="106"/>
              <w:rPr>
                <w:sz w:val="21"/>
              </w:rPr>
            </w:pPr>
            <w:r>
              <w:rPr>
                <w:sz w:val="21"/>
              </w:rPr>
              <w:t>誉称号的予以</w:t>
            </w:r>
          </w:p>
        </w:tc>
        <w:tc>
          <w:tcPr>
            <w:tcW w:w="10220" w:type="dxa"/>
            <w:tcBorders>
              <w:top w:val="nil"/>
              <w:bottom w:val="nil"/>
            </w:tcBorders>
          </w:tcPr>
          <w:p>
            <w:pPr>
              <w:pStyle w:val="8"/>
              <w:spacing w:line="241" w:lineRule="exact"/>
              <w:ind w:left="108"/>
              <w:rPr>
                <w:sz w:val="21"/>
              </w:rPr>
            </w:pPr>
            <w:r>
              <w:rPr>
                <w:sz w:val="21"/>
              </w:rPr>
              <w:t>限制新增项目审批、核准，限制股票发行上市融资或发行债券，限制在全国股份转让系统挂牌、融资，限制发</w:t>
            </w:r>
          </w:p>
        </w:tc>
        <w:tc>
          <w:tcPr>
            <w:tcW w:w="208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626" w:type="dxa"/>
            <w:tcBorders>
              <w:top w:val="nil"/>
              <w:bottom w:val="nil"/>
            </w:tcBorders>
          </w:tcPr>
          <w:p>
            <w:pPr>
              <w:pStyle w:val="8"/>
              <w:spacing w:line="242" w:lineRule="exact"/>
              <w:ind w:left="106"/>
              <w:rPr>
                <w:sz w:val="21"/>
              </w:rPr>
            </w:pPr>
            <w:r>
              <w:rPr>
                <w:sz w:val="21"/>
              </w:rPr>
              <w:t>撤销。</w:t>
            </w:r>
          </w:p>
        </w:tc>
        <w:tc>
          <w:tcPr>
            <w:tcW w:w="10220" w:type="dxa"/>
            <w:tcBorders>
              <w:top w:val="nil"/>
              <w:bottom w:val="nil"/>
            </w:tcBorders>
          </w:tcPr>
          <w:p>
            <w:pPr>
              <w:pStyle w:val="8"/>
              <w:spacing w:line="242" w:lineRule="exact"/>
              <w:ind w:left="108"/>
              <w:rPr>
                <w:sz w:val="21"/>
              </w:rPr>
            </w:pPr>
            <w:r>
              <w:rPr>
                <w:sz w:val="21"/>
              </w:rPr>
              <w:t>起设立或参股金融机构以及小额贷款公司、融资担保公司、创业投资公司、互联网融资平台等机构，限制从事</w:t>
            </w:r>
          </w:p>
        </w:tc>
        <w:tc>
          <w:tcPr>
            <w:tcW w:w="208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626" w:type="dxa"/>
            <w:tcBorders>
              <w:top w:val="nil"/>
              <w:bottom w:val="nil"/>
            </w:tcBorders>
          </w:tcPr>
          <w:p>
            <w:pPr>
              <w:pStyle w:val="8"/>
              <w:rPr>
                <w:rFonts w:ascii="Times New Roman"/>
                <w:sz w:val="18"/>
              </w:rPr>
            </w:pPr>
          </w:p>
        </w:tc>
        <w:tc>
          <w:tcPr>
            <w:tcW w:w="10220" w:type="dxa"/>
            <w:tcBorders>
              <w:top w:val="nil"/>
              <w:bottom w:val="nil"/>
            </w:tcBorders>
          </w:tcPr>
          <w:p>
            <w:pPr>
              <w:pStyle w:val="8"/>
              <w:spacing w:line="242" w:lineRule="exact"/>
              <w:ind w:left="108"/>
              <w:rPr>
                <w:sz w:val="21"/>
              </w:rPr>
            </w:pPr>
            <w:r>
              <w:rPr>
                <w:sz w:val="21"/>
              </w:rPr>
              <w:t>互联网信息服务等。严格限制申请财政性资金项目，限制参与有关公共资源交易活动，限制参与基础设施和公</w:t>
            </w:r>
          </w:p>
        </w:tc>
        <w:tc>
          <w:tcPr>
            <w:tcW w:w="208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626" w:type="dxa"/>
            <w:tcBorders>
              <w:top w:val="nil"/>
              <w:bottom w:val="nil"/>
            </w:tcBorders>
          </w:tcPr>
          <w:p>
            <w:pPr>
              <w:pStyle w:val="8"/>
              <w:rPr>
                <w:rFonts w:ascii="Times New Roman"/>
                <w:sz w:val="18"/>
              </w:rPr>
            </w:pPr>
          </w:p>
        </w:tc>
        <w:tc>
          <w:tcPr>
            <w:tcW w:w="10220" w:type="dxa"/>
            <w:tcBorders>
              <w:top w:val="nil"/>
              <w:bottom w:val="nil"/>
            </w:tcBorders>
          </w:tcPr>
          <w:p>
            <w:pPr>
              <w:pStyle w:val="8"/>
              <w:spacing w:line="242" w:lineRule="exact"/>
              <w:ind w:left="108"/>
              <w:rPr>
                <w:sz w:val="21"/>
              </w:rPr>
            </w:pPr>
            <w:r>
              <w:rPr>
                <w:sz w:val="21"/>
              </w:rPr>
              <w:t>用事业特许经营。对严重失信企业及其法定代表人、主要负责人和对失信行为负有直接责任的注册执业人员等</w:t>
            </w:r>
          </w:p>
        </w:tc>
        <w:tc>
          <w:tcPr>
            <w:tcW w:w="208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1626" w:type="dxa"/>
            <w:tcBorders>
              <w:top w:val="nil"/>
              <w:bottom w:val="nil"/>
            </w:tcBorders>
          </w:tcPr>
          <w:p>
            <w:pPr>
              <w:pStyle w:val="8"/>
              <w:rPr>
                <w:rFonts w:ascii="Times New Roman"/>
                <w:sz w:val="18"/>
              </w:rPr>
            </w:pPr>
          </w:p>
        </w:tc>
        <w:tc>
          <w:tcPr>
            <w:tcW w:w="10220" w:type="dxa"/>
            <w:tcBorders>
              <w:top w:val="nil"/>
              <w:bottom w:val="nil"/>
            </w:tcBorders>
          </w:tcPr>
          <w:p>
            <w:pPr>
              <w:pStyle w:val="8"/>
              <w:spacing w:line="244" w:lineRule="exact"/>
              <w:ind w:left="108"/>
              <w:rPr>
                <w:sz w:val="21"/>
              </w:rPr>
            </w:pPr>
            <w:r>
              <w:rPr>
                <w:sz w:val="21"/>
              </w:rPr>
              <w:t>实施市场和行业禁入措施。及时撤销严重失信企业及其法定代表人、负责人、高级管理人员和对失信行为负有</w:t>
            </w:r>
          </w:p>
        </w:tc>
        <w:tc>
          <w:tcPr>
            <w:tcW w:w="208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626" w:type="dxa"/>
            <w:tcBorders>
              <w:top w:val="nil"/>
            </w:tcBorders>
          </w:tcPr>
          <w:p>
            <w:pPr>
              <w:pStyle w:val="8"/>
              <w:rPr>
                <w:rFonts w:ascii="Times New Roman"/>
                <w:sz w:val="18"/>
              </w:rPr>
            </w:pPr>
          </w:p>
        </w:tc>
        <w:tc>
          <w:tcPr>
            <w:tcW w:w="10220" w:type="dxa"/>
            <w:tcBorders>
              <w:top w:val="nil"/>
            </w:tcBorders>
          </w:tcPr>
          <w:p>
            <w:pPr>
              <w:pStyle w:val="8"/>
              <w:spacing w:line="247" w:lineRule="exact"/>
              <w:ind w:left="108"/>
              <w:rPr>
                <w:sz w:val="21"/>
              </w:rPr>
            </w:pPr>
            <w:r>
              <w:rPr>
                <w:sz w:val="21"/>
              </w:rPr>
              <w:t>直接责任的董事、股东等人员的荣誉称号，取消参加评先评优资格。</w:t>
            </w:r>
          </w:p>
        </w:tc>
        <w:tc>
          <w:tcPr>
            <w:tcW w:w="2081" w:type="dxa"/>
            <w:vMerge w:val="continue"/>
            <w:tcBorders>
              <w:top w:val="nil"/>
            </w:tcBorders>
          </w:tcPr>
          <w:p>
            <w:pPr>
              <w:rPr>
                <w:sz w:val="2"/>
                <w:szCs w:val="2"/>
              </w:rPr>
            </w:pPr>
          </w:p>
        </w:tc>
      </w:tr>
    </w:tbl>
    <w:p/>
    <w:sectPr>
      <w:pgSz w:w="16840" w:h="11910" w:orient="landscape"/>
      <w:pgMar w:top="1100" w:right="1280" w:bottom="1380" w:left="1400" w:header="0" w:footer="120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9643008" behindDoc="1" locked="0" layoutInCell="1" allowOverlap="1">
              <wp:simplePos x="0" y="0"/>
              <wp:positionH relativeFrom="page">
                <wp:posOffset>3716020</wp:posOffset>
              </wp:positionH>
              <wp:positionV relativeFrom="page">
                <wp:posOffset>9432925</wp:posOffset>
              </wp:positionV>
              <wp:extent cx="127000" cy="1943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2.6pt;margin-top:742.75pt;height:15.3pt;width:10pt;mso-position-horizontal-relative:page;mso-position-vertical-relative:page;z-index:-253673472;mso-width-relative:page;mso-height-relative:page;" filled="f" stroked="f" coordsize="21600,21600" o:gfxdata="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hmuxdkAAAANAQAADwAAAAAAAAAB&#10;ACAAAAAiAAAAZHJzL2Rvd25yZXYueG1sUEsBAhQAFAAAAAgAh07iQEUX9fCdAQAAIwMAAA4AAAAA&#10;AAAAAQAgAAAAKAEAAGRycy9lMm9Eb2MueG1sUEsFBgAAAAAGAAYAWQEAADcFA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9644032" behindDoc="1" locked="0" layoutInCell="1" allowOverlap="1">
              <wp:simplePos x="0" y="0"/>
              <wp:positionH relativeFrom="page">
                <wp:posOffset>5282565</wp:posOffset>
              </wp:positionH>
              <wp:positionV relativeFrom="page">
                <wp:posOffset>6607810</wp:posOffset>
              </wp:positionV>
              <wp:extent cx="127000" cy="1943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5.95pt;margin-top:520.3pt;height:15.3pt;width:10pt;mso-position-horizontal-relative:page;mso-position-vertical-relative:page;z-index:-253672448;mso-width-relative:page;mso-height-relative:page;" filled="f" stroked="f" coordsize="21600,21600" o:gfxdata="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A2JMD/ZAAAADQEAAA8AAAAAAAAA&#10;AQAgAAAAIgAAAGRycy9kb3ducmV2LnhtbFBLAQIUABQAAAAIAIdO4kAbA/7OngEAACMDAAAOAAAA&#10;AAAAAAEAIAAAACgBAABkcnMvZTJvRG9jLnhtbFBLBQYAAAAABgAGAFkBAAA4BQ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9645056" behindDoc="1" locked="0" layoutInCell="1" allowOverlap="1">
              <wp:simplePos x="0" y="0"/>
              <wp:positionH relativeFrom="page">
                <wp:posOffset>5244465</wp:posOffset>
              </wp:positionH>
              <wp:positionV relativeFrom="page">
                <wp:posOffset>6607810</wp:posOffset>
              </wp:positionV>
              <wp:extent cx="203200" cy="1943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2.95pt;margin-top:520.3pt;height:15.3pt;width:16pt;mso-position-horizontal-relative:page;mso-position-vertical-relative:page;z-index:-253671424;mso-width-relative:page;mso-height-relative:page;" filled="f" stroked="f" coordsize="21600,21600" o:gfxdata="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DbLBi2gAAAA0BAAAPAAAAAAAA&#10;AAEAIAAAACIAAABkcnMvZG93bnJldi54bWxQSwECFAAUAAAACACHTuJALn22pZ4BAAAjAwAADgAA&#10;AAAAAAABACAAAAApAQAAZHJzL2Uyb0RvYy54bWxQSwUGAAAAAAYABgBZAQAAOQU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9646080" behindDoc="1" locked="0" layoutInCell="1" allowOverlap="1">
              <wp:simplePos x="0" y="0"/>
              <wp:positionH relativeFrom="page">
                <wp:posOffset>5244465</wp:posOffset>
              </wp:positionH>
              <wp:positionV relativeFrom="page">
                <wp:posOffset>6607810</wp:posOffset>
              </wp:positionV>
              <wp:extent cx="203200" cy="1943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2.95pt;margin-top:520.3pt;height:15.3pt;width:16pt;mso-position-horizontal-relative:page;mso-position-vertical-relative:page;z-index:-253670400;mso-width-relative:page;mso-height-relative:page;" filled="f" stroked="f" coordsize="21600,21600" o:gfxdata="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DbLBi2gAAAA0BAAAPAAAAAAAA&#10;AAEAIAAAACIAAABkcnMvZG93bnJldi54bWxQSwECFAAUAAAACACHTuJAZ6SJep4BAAAjAwAADgAA&#10;AAAAAAABACAAAAApAQAAZHJzL2Uyb0RvYy54bWxQSwUGAAAAAAYABgBZAQAAOQU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9647104" behindDoc="1" locked="0" layoutInCell="1" allowOverlap="1">
              <wp:simplePos x="0" y="0"/>
              <wp:positionH relativeFrom="page">
                <wp:posOffset>5244465</wp:posOffset>
              </wp:positionH>
              <wp:positionV relativeFrom="page">
                <wp:posOffset>6607810</wp:posOffset>
              </wp:positionV>
              <wp:extent cx="203200" cy="19431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2.95pt;margin-top:520.3pt;height:15.3pt;width:16pt;mso-position-horizontal-relative:page;mso-position-vertical-relative:page;z-index:-253669376;mso-width-relative:page;mso-height-relative:page;" filled="f" stroked="f" coordsize="21600,21600" o:gfxdata="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2ywYtoAAAANAQAADwAAAAAA&#10;AAABACAAAAAiAAAAZHJzL2Rvd25yZXYueG1sUEsBAhQAFAAAAAgAh07iQJJVoNmfAQAAIwMAAA4A&#10;AAAAAAAAAQAgAAAAKQEAAGRycy9lMm9Eb2MueG1sUEsFBgAAAAAGAAYAWQEAADoFA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2"/>
      <w:numFmt w:val="decimal"/>
      <w:lvlText w:val="（%1）"/>
      <w:lvlJc w:val="left"/>
      <w:pPr>
        <w:ind w:left="1263"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55" w:hanging="527"/>
      </w:pPr>
      <w:rPr>
        <w:rFonts w:hint="default"/>
        <w:lang w:val="zh-CN" w:eastAsia="zh-CN" w:bidi="zh-CN"/>
      </w:rPr>
    </w:lvl>
    <w:lvl w:ilvl="2" w:tentative="0">
      <w:start w:val="0"/>
      <w:numFmt w:val="bullet"/>
      <w:lvlText w:val="•"/>
      <w:lvlJc w:val="left"/>
      <w:pPr>
        <w:ind w:left="3050" w:hanging="527"/>
      </w:pPr>
      <w:rPr>
        <w:rFonts w:hint="default"/>
        <w:lang w:val="zh-CN" w:eastAsia="zh-CN" w:bidi="zh-CN"/>
      </w:rPr>
    </w:lvl>
    <w:lvl w:ilvl="3" w:tentative="0">
      <w:start w:val="0"/>
      <w:numFmt w:val="bullet"/>
      <w:lvlText w:val="•"/>
      <w:lvlJc w:val="left"/>
      <w:pPr>
        <w:ind w:left="3945" w:hanging="527"/>
      </w:pPr>
      <w:rPr>
        <w:rFonts w:hint="default"/>
        <w:lang w:val="zh-CN" w:eastAsia="zh-CN" w:bidi="zh-CN"/>
      </w:rPr>
    </w:lvl>
    <w:lvl w:ilvl="4" w:tentative="0">
      <w:start w:val="0"/>
      <w:numFmt w:val="bullet"/>
      <w:lvlText w:val="•"/>
      <w:lvlJc w:val="left"/>
      <w:pPr>
        <w:ind w:left="4840" w:hanging="527"/>
      </w:pPr>
      <w:rPr>
        <w:rFonts w:hint="default"/>
        <w:lang w:val="zh-CN" w:eastAsia="zh-CN" w:bidi="zh-CN"/>
      </w:rPr>
    </w:lvl>
    <w:lvl w:ilvl="5" w:tentative="0">
      <w:start w:val="0"/>
      <w:numFmt w:val="bullet"/>
      <w:lvlText w:val="•"/>
      <w:lvlJc w:val="left"/>
      <w:pPr>
        <w:ind w:left="5735" w:hanging="527"/>
      </w:pPr>
      <w:rPr>
        <w:rFonts w:hint="default"/>
        <w:lang w:val="zh-CN" w:eastAsia="zh-CN" w:bidi="zh-CN"/>
      </w:rPr>
    </w:lvl>
    <w:lvl w:ilvl="6" w:tentative="0">
      <w:start w:val="0"/>
      <w:numFmt w:val="bullet"/>
      <w:lvlText w:val="•"/>
      <w:lvlJc w:val="left"/>
      <w:pPr>
        <w:ind w:left="6630" w:hanging="527"/>
      </w:pPr>
      <w:rPr>
        <w:rFonts w:hint="default"/>
        <w:lang w:val="zh-CN" w:eastAsia="zh-CN" w:bidi="zh-CN"/>
      </w:rPr>
    </w:lvl>
    <w:lvl w:ilvl="7" w:tentative="0">
      <w:start w:val="0"/>
      <w:numFmt w:val="bullet"/>
      <w:lvlText w:val="•"/>
      <w:lvlJc w:val="left"/>
      <w:pPr>
        <w:ind w:left="7525" w:hanging="527"/>
      </w:pPr>
      <w:rPr>
        <w:rFonts w:hint="default"/>
        <w:lang w:val="zh-CN" w:eastAsia="zh-CN" w:bidi="zh-CN"/>
      </w:rPr>
    </w:lvl>
    <w:lvl w:ilvl="8" w:tentative="0">
      <w:start w:val="0"/>
      <w:numFmt w:val="bullet"/>
      <w:lvlText w:val="•"/>
      <w:lvlJc w:val="left"/>
      <w:pPr>
        <w:ind w:left="8420" w:hanging="527"/>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108" w:hanging="214"/>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1111" w:hanging="214"/>
      </w:pPr>
      <w:rPr>
        <w:rFonts w:hint="default"/>
        <w:lang w:val="zh-CN" w:eastAsia="zh-CN" w:bidi="zh-CN"/>
      </w:rPr>
    </w:lvl>
    <w:lvl w:ilvl="2" w:tentative="0">
      <w:start w:val="0"/>
      <w:numFmt w:val="bullet"/>
      <w:lvlText w:val="•"/>
      <w:lvlJc w:val="left"/>
      <w:pPr>
        <w:ind w:left="2122" w:hanging="214"/>
      </w:pPr>
      <w:rPr>
        <w:rFonts w:hint="default"/>
        <w:lang w:val="zh-CN" w:eastAsia="zh-CN" w:bidi="zh-CN"/>
      </w:rPr>
    </w:lvl>
    <w:lvl w:ilvl="3" w:tentative="0">
      <w:start w:val="0"/>
      <w:numFmt w:val="bullet"/>
      <w:lvlText w:val="•"/>
      <w:lvlJc w:val="left"/>
      <w:pPr>
        <w:ind w:left="3133" w:hanging="214"/>
      </w:pPr>
      <w:rPr>
        <w:rFonts w:hint="default"/>
        <w:lang w:val="zh-CN" w:eastAsia="zh-CN" w:bidi="zh-CN"/>
      </w:rPr>
    </w:lvl>
    <w:lvl w:ilvl="4" w:tentative="0">
      <w:start w:val="0"/>
      <w:numFmt w:val="bullet"/>
      <w:lvlText w:val="•"/>
      <w:lvlJc w:val="left"/>
      <w:pPr>
        <w:ind w:left="4144" w:hanging="214"/>
      </w:pPr>
      <w:rPr>
        <w:rFonts w:hint="default"/>
        <w:lang w:val="zh-CN" w:eastAsia="zh-CN" w:bidi="zh-CN"/>
      </w:rPr>
    </w:lvl>
    <w:lvl w:ilvl="5" w:tentative="0">
      <w:start w:val="0"/>
      <w:numFmt w:val="bullet"/>
      <w:lvlText w:val="•"/>
      <w:lvlJc w:val="left"/>
      <w:pPr>
        <w:ind w:left="5155" w:hanging="214"/>
      </w:pPr>
      <w:rPr>
        <w:rFonts w:hint="default"/>
        <w:lang w:val="zh-CN" w:eastAsia="zh-CN" w:bidi="zh-CN"/>
      </w:rPr>
    </w:lvl>
    <w:lvl w:ilvl="6" w:tentative="0">
      <w:start w:val="0"/>
      <w:numFmt w:val="bullet"/>
      <w:lvlText w:val="•"/>
      <w:lvlJc w:val="left"/>
      <w:pPr>
        <w:ind w:left="6166" w:hanging="214"/>
      </w:pPr>
      <w:rPr>
        <w:rFonts w:hint="default"/>
        <w:lang w:val="zh-CN" w:eastAsia="zh-CN" w:bidi="zh-CN"/>
      </w:rPr>
    </w:lvl>
    <w:lvl w:ilvl="7" w:tentative="0">
      <w:start w:val="0"/>
      <w:numFmt w:val="bullet"/>
      <w:lvlText w:val="•"/>
      <w:lvlJc w:val="left"/>
      <w:pPr>
        <w:ind w:left="7177" w:hanging="214"/>
      </w:pPr>
      <w:rPr>
        <w:rFonts w:hint="default"/>
        <w:lang w:val="zh-CN" w:eastAsia="zh-CN" w:bidi="zh-CN"/>
      </w:rPr>
    </w:lvl>
    <w:lvl w:ilvl="8" w:tentative="0">
      <w:start w:val="0"/>
      <w:numFmt w:val="bullet"/>
      <w:lvlText w:val="•"/>
      <w:lvlJc w:val="left"/>
      <w:pPr>
        <w:ind w:left="8188" w:hanging="214"/>
      </w:pPr>
      <w:rPr>
        <w:rFonts w:hint="default"/>
        <w:lang w:val="zh-CN" w:eastAsia="zh-CN" w:bidi="zh-CN"/>
      </w:rPr>
    </w:lvl>
  </w:abstractNum>
  <w:abstractNum w:abstractNumId="2">
    <w:nsid w:val="9C8AC8EF"/>
    <w:multiLevelType w:val="multilevel"/>
    <w:tmpl w:val="9C8AC8EF"/>
    <w:lvl w:ilvl="0" w:tentative="0">
      <w:start w:val="2"/>
      <w:numFmt w:val="decimal"/>
      <w:lvlText w:val="%1."/>
      <w:lvlJc w:val="left"/>
      <w:pPr>
        <w:ind w:left="528"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1489" w:hanging="212"/>
      </w:pPr>
      <w:rPr>
        <w:rFonts w:hint="default"/>
        <w:lang w:val="zh-CN" w:eastAsia="zh-CN" w:bidi="zh-CN"/>
      </w:rPr>
    </w:lvl>
    <w:lvl w:ilvl="2" w:tentative="0">
      <w:start w:val="0"/>
      <w:numFmt w:val="bullet"/>
      <w:lvlText w:val="•"/>
      <w:lvlJc w:val="left"/>
      <w:pPr>
        <w:ind w:left="2458" w:hanging="212"/>
      </w:pPr>
      <w:rPr>
        <w:rFonts w:hint="default"/>
        <w:lang w:val="zh-CN" w:eastAsia="zh-CN" w:bidi="zh-CN"/>
      </w:rPr>
    </w:lvl>
    <w:lvl w:ilvl="3" w:tentative="0">
      <w:start w:val="0"/>
      <w:numFmt w:val="bullet"/>
      <w:lvlText w:val="•"/>
      <w:lvlJc w:val="left"/>
      <w:pPr>
        <w:ind w:left="3427" w:hanging="212"/>
      </w:pPr>
      <w:rPr>
        <w:rFonts w:hint="default"/>
        <w:lang w:val="zh-CN" w:eastAsia="zh-CN" w:bidi="zh-CN"/>
      </w:rPr>
    </w:lvl>
    <w:lvl w:ilvl="4" w:tentative="0">
      <w:start w:val="0"/>
      <w:numFmt w:val="bullet"/>
      <w:lvlText w:val="•"/>
      <w:lvlJc w:val="left"/>
      <w:pPr>
        <w:ind w:left="4396" w:hanging="212"/>
      </w:pPr>
      <w:rPr>
        <w:rFonts w:hint="default"/>
        <w:lang w:val="zh-CN" w:eastAsia="zh-CN" w:bidi="zh-CN"/>
      </w:rPr>
    </w:lvl>
    <w:lvl w:ilvl="5" w:tentative="0">
      <w:start w:val="0"/>
      <w:numFmt w:val="bullet"/>
      <w:lvlText w:val="•"/>
      <w:lvlJc w:val="left"/>
      <w:pPr>
        <w:ind w:left="5365" w:hanging="212"/>
      </w:pPr>
      <w:rPr>
        <w:rFonts w:hint="default"/>
        <w:lang w:val="zh-CN" w:eastAsia="zh-CN" w:bidi="zh-CN"/>
      </w:rPr>
    </w:lvl>
    <w:lvl w:ilvl="6" w:tentative="0">
      <w:start w:val="0"/>
      <w:numFmt w:val="bullet"/>
      <w:lvlText w:val="•"/>
      <w:lvlJc w:val="left"/>
      <w:pPr>
        <w:ind w:left="6334" w:hanging="212"/>
      </w:pPr>
      <w:rPr>
        <w:rFonts w:hint="default"/>
        <w:lang w:val="zh-CN" w:eastAsia="zh-CN" w:bidi="zh-CN"/>
      </w:rPr>
    </w:lvl>
    <w:lvl w:ilvl="7" w:tentative="0">
      <w:start w:val="0"/>
      <w:numFmt w:val="bullet"/>
      <w:lvlText w:val="•"/>
      <w:lvlJc w:val="left"/>
      <w:pPr>
        <w:ind w:left="7303" w:hanging="212"/>
      </w:pPr>
      <w:rPr>
        <w:rFonts w:hint="default"/>
        <w:lang w:val="zh-CN" w:eastAsia="zh-CN" w:bidi="zh-CN"/>
      </w:rPr>
    </w:lvl>
    <w:lvl w:ilvl="8" w:tentative="0">
      <w:start w:val="0"/>
      <w:numFmt w:val="bullet"/>
      <w:lvlText w:val="•"/>
      <w:lvlJc w:val="left"/>
      <w:pPr>
        <w:ind w:left="8272" w:hanging="212"/>
      </w:pPr>
      <w:rPr>
        <w:rFonts w:hint="default"/>
        <w:lang w:val="zh-CN" w:eastAsia="zh-CN" w:bidi="zh-CN"/>
      </w:rPr>
    </w:lvl>
  </w:abstractNum>
  <w:abstractNum w:abstractNumId="3">
    <w:nsid w:val="B0F1ACD9"/>
    <w:multiLevelType w:val="multilevel"/>
    <w:tmpl w:val="B0F1ACD9"/>
    <w:lvl w:ilvl="0" w:tentative="0">
      <w:start w:val="1"/>
      <w:numFmt w:val="decimal"/>
      <w:lvlText w:val="（%1）"/>
      <w:lvlJc w:val="left"/>
      <w:pPr>
        <w:ind w:left="105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75" w:hanging="525"/>
      </w:pPr>
      <w:rPr>
        <w:rFonts w:hint="default"/>
        <w:lang w:val="zh-CN" w:eastAsia="zh-CN" w:bidi="zh-CN"/>
      </w:rPr>
    </w:lvl>
    <w:lvl w:ilvl="2" w:tentative="0">
      <w:start w:val="0"/>
      <w:numFmt w:val="bullet"/>
      <w:lvlText w:val="•"/>
      <w:lvlJc w:val="left"/>
      <w:pPr>
        <w:ind w:left="2890" w:hanging="525"/>
      </w:pPr>
      <w:rPr>
        <w:rFonts w:hint="default"/>
        <w:lang w:val="zh-CN" w:eastAsia="zh-CN" w:bidi="zh-CN"/>
      </w:rPr>
    </w:lvl>
    <w:lvl w:ilvl="3" w:tentative="0">
      <w:start w:val="0"/>
      <w:numFmt w:val="bullet"/>
      <w:lvlText w:val="•"/>
      <w:lvlJc w:val="left"/>
      <w:pPr>
        <w:ind w:left="3805" w:hanging="525"/>
      </w:pPr>
      <w:rPr>
        <w:rFonts w:hint="default"/>
        <w:lang w:val="zh-CN" w:eastAsia="zh-CN" w:bidi="zh-CN"/>
      </w:rPr>
    </w:lvl>
    <w:lvl w:ilvl="4" w:tentative="0">
      <w:start w:val="0"/>
      <w:numFmt w:val="bullet"/>
      <w:lvlText w:val="•"/>
      <w:lvlJc w:val="left"/>
      <w:pPr>
        <w:ind w:left="4720" w:hanging="525"/>
      </w:pPr>
      <w:rPr>
        <w:rFonts w:hint="default"/>
        <w:lang w:val="zh-CN" w:eastAsia="zh-CN" w:bidi="zh-CN"/>
      </w:rPr>
    </w:lvl>
    <w:lvl w:ilvl="5" w:tentative="0">
      <w:start w:val="0"/>
      <w:numFmt w:val="bullet"/>
      <w:lvlText w:val="•"/>
      <w:lvlJc w:val="left"/>
      <w:pPr>
        <w:ind w:left="5635" w:hanging="525"/>
      </w:pPr>
      <w:rPr>
        <w:rFonts w:hint="default"/>
        <w:lang w:val="zh-CN" w:eastAsia="zh-CN" w:bidi="zh-CN"/>
      </w:rPr>
    </w:lvl>
    <w:lvl w:ilvl="6" w:tentative="0">
      <w:start w:val="0"/>
      <w:numFmt w:val="bullet"/>
      <w:lvlText w:val="•"/>
      <w:lvlJc w:val="left"/>
      <w:pPr>
        <w:ind w:left="6550" w:hanging="525"/>
      </w:pPr>
      <w:rPr>
        <w:rFonts w:hint="default"/>
        <w:lang w:val="zh-CN" w:eastAsia="zh-CN" w:bidi="zh-CN"/>
      </w:rPr>
    </w:lvl>
    <w:lvl w:ilvl="7" w:tentative="0">
      <w:start w:val="0"/>
      <w:numFmt w:val="bullet"/>
      <w:lvlText w:val="•"/>
      <w:lvlJc w:val="left"/>
      <w:pPr>
        <w:ind w:left="7465" w:hanging="525"/>
      </w:pPr>
      <w:rPr>
        <w:rFonts w:hint="default"/>
        <w:lang w:val="zh-CN" w:eastAsia="zh-CN" w:bidi="zh-CN"/>
      </w:rPr>
    </w:lvl>
    <w:lvl w:ilvl="8" w:tentative="0">
      <w:start w:val="0"/>
      <w:numFmt w:val="bullet"/>
      <w:lvlText w:val="•"/>
      <w:lvlJc w:val="left"/>
      <w:pPr>
        <w:ind w:left="8380" w:hanging="525"/>
      </w:pPr>
      <w:rPr>
        <w:rFonts w:hint="default"/>
        <w:lang w:val="zh-CN" w:eastAsia="zh-CN" w:bidi="zh-CN"/>
      </w:rPr>
    </w:lvl>
  </w:abstractNum>
  <w:abstractNum w:abstractNumId="4">
    <w:nsid w:val="B5E306ED"/>
    <w:multiLevelType w:val="multilevel"/>
    <w:tmpl w:val="B5E306ED"/>
    <w:lvl w:ilvl="0" w:tentative="0">
      <w:start w:val="1"/>
      <w:numFmt w:val="decimal"/>
      <w:lvlText w:val="（%1）"/>
      <w:lvlJc w:val="left"/>
      <w:pPr>
        <w:ind w:left="105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75" w:hanging="525"/>
      </w:pPr>
      <w:rPr>
        <w:rFonts w:hint="default"/>
        <w:lang w:val="zh-CN" w:eastAsia="zh-CN" w:bidi="zh-CN"/>
      </w:rPr>
    </w:lvl>
    <w:lvl w:ilvl="2" w:tentative="0">
      <w:start w:val="0"/>
      <w:numFmt w:val="bullet"/>
      <w:lvlText w:val="•"/>
      <w:lvlJc w:val="left"/>
      <w:pPr>
        <w:ind w:left="2890" w:hanging="525"/>
      </w:pPr>
      <w:rPr>
        <w:rFonts w:hint="default"/>
        <w:lang w:val="zh-CN" w:eastAsia="zh-CN" w:bidi="zh-CN"/>
      </w:rPr>
    </w:lvl>
    <w:lvl w:ilvl="3" w:tentative="0">
      <w:start w:val="0"/>
      <w:numFmt w:val="bullet"/>
      <w:lvlText w:val="•"/>
      <w:lvlJc w:val="left"/>
      <w:pPr>
        <w:ind w:left="3805" w:hanging="525"/>
      </w:pPr>
      <w:rPr>
        <w:rFonts w:hint="default"/>
        <w:lang w:val="zh-CN" w:eastAsia="zh-CN" w:bidi="zh-CN"/>
      </w:rPr>
    </w:lvl>
    <w:lvl w:ilvl="4" w:tentative="0">
      <w:start w:val="0"/>
      <w:numFmt w:val="bullet"/>
      <w:lvlText w:val="•"/>
      <w:lvlJc w:val="left"/>
      <w:pPr>
        <w:ind w:left="4720" w:hanging="525"/>
      </w:pPr>
      <w:rPr>
        <w:rFonts w:hint="default"/>
        <w:lang w:val="zh-CN" w:eastAsia="zh-CN" w:bidi="zh-CN"/>
      </w:rPr>
    </w:lvl>
    <w:lvl w:ilvl="5" w:tentative="0">
      <w:start w:val="0"/>
      <w:numFmt w:val="bullet"/>
      <w:lvlText w:val="•"/>
      <w:lvlJc w:val="left"/>
      <w:pPr>
        <w:ind w:left="5635" w:hanging="525"/>
      </w:pPr>
      <w:rPr>
        <w:rFonts w:hint="default"/>
        <w:lang w:val="zh-CN" w:eastAsia="zh-CN" w:bidi="zh-CN"/>
      </w:rPr>
    </w:lvl>
    <w:lvl w:ilvl="6" w:tentative="0">
      <w:start w:val="0"/>
      <w:numFmt w:val="bullet"/>
      <w:lvlText w:val="•"/>
      <w:lvlJc w:val="left"/>
      <w:pPr>
        <w:ind w:left="6550" w:hanging="525"/>
      </w:pPr>
      <w:rPr>
        <w:rFonts w:hint="default"/>
        <w:lang w:val="zh-CN" w:eastAsia="zh-CN" w:bidi="zh-CN"/>
      </w:rPr>
    </w:lvl>
    <w:lvl w:ilvl="7" w:tentative="0">
      <w:start w:val="0"/>
      <w:numFmt w:val="bullet"/>
      <w:lvlText w:val="•"/>
      <w:lvlJc w:val="left"/>
      <w:pPr>
        <w:ind w:left="7465" w:hanging="525"/>
      </w:pPr>
      <w:rPr>
        <w:rFonts w:hint="default"/>
        <w:lang w:val="zh-CN" w:eastAsia="zh-CN" w:bidi="zh-CN"/>
      </w:rPr>
    </w:lvl>
    <w:lvl w:ilvl="8" w:tentative="0">
      <w:start w:val="0"/>
      <w:numFmt w:val="bullet"/>
      <w:lvlText w:val="•"/>
      <w:lvlJc w:val="left"/>
      <w:pPr>
        <w:ind w:left="8380" w:hanging="525"/>
      </w:pPr>
      <w:rPr>
        <w:rFonts w:hint="default"/>
        <w:lang w:val="zh-CN" w:eastAsia="zh-CN" w:bidi="zh-CN"/>
      </w:rPr>
    </w:lvl>
  </w:abstractNum>
  <w:abstractNum w:abstractNumId="5">
    <w:nsid w:val="BE923771"/>
    <w:multiLevelType w:val="multilevel"/>
    <w:tmpl w:val="BE923771"/>
    <w:lvl w:ilvl="0" w:tentative="0">
      <w:start w:val="1"/>
      <w:numFmt w:val="decimal"/>
      <w:lvlText w:val="%1."/>
      <w:lvlJc w:val="left"/>
      <w:pPr>
        <w:ind w:left="739"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1687" w:hanging="212"/>
      </w:pPr>
      <w:rPr>
        <w:rFonts w:hint="default"/>
        <w:lang w:val="zh-CN" w:eastAsia="zh-CN" w:bidi="zh-CN"/>
      </w:rPr>
    </w:lvl>
    <w:lvl w:ilvl="2" w:tentative="0">
      <w:start w:val="0"/>
      <w:numFmt w:val="bullet"/>
      <w:lvlText w:val="•"/>
      <w:lvlJc w:val="left"/>
      <w:pPr>
        <w:ind w:left="2634" w:hanging="212"/>
      </w:pPr>
      <w:rPr>
        <w:rFonts w:hint="default"/>
        <w:lang w:val="zh-CN" w:eastAsia="zh-CN" w:bidi="zh-CN"/>
      </w:rPr>
    </w:lvl>
    <w:lvl w:ilvl="3" w:tentative="0">
      <w:start w:val="0"/>
      <w:numFmt w:val="bullet"/>
      <w:lvlText w:val="•"/>
      <w:lvlJc w:val="left"/>
      <w:pPr>
        <w:ind w:left="3581" w:hanging="212"/>
      </w:pPr>
      <w:rPr>
        <w:rFonts w:hint="default"/>
        <w:lang w:val="zh-CN" w:eastAsia="zh-CN" w:bidi="zh-CN"/>
      </w:rPr>
    </w:lvl>
    <w:lvl w:ilvl="4" w:tentative="0">
      <w:start w:val="0"/>
      <w:numFmt w:val="bullet"/>
      <w:lvlText w:val="•"/>
      <w:lvlJc w:val="left"/>
      <w:pPr>
        <w:ind w:left="4528" w:hanging="212"/>
      </w:pPr>
      <w:rPr>
        <w:rFonts w:hint="default"/>
        <w:lang w:val="zh-CN" w:eastAsia="zh-CN" w:bidi="zh-CN"/>
      </w:rPr>
    </w:lvl>
    <w:lvl w:ilvl="5" w:tentative="0">
      <w:start w:val="0"/>
      <w:numFmt w:val="bullet"/>
      <w:lvlText w:val="•"/>
      <w:lvlJc w:val="left"/>
      <w:pPr>
        <w:ind w:left="5475" w:hanging="212"/>
      </w:pPr>
      <w:rPr>
        <w:rFonts w:hint="default"/>
        <w:lang w:val="zh-CN" w:eastAsia="zh-CN" w:bidi="zh-CN"/>
      </w:rPr>
    </w:lvl>
    <w:lvl w:ilvl="6" w:tentative="0">
      <w:start w:val="0"/>
      <w:numFmt w:val="bullet"/>
      <w:lvlText w:val="•"/>
      <w:lvlJc w:val="left"/>
      <w:pPr>
        <w:ind w:left="6422" w:hanging="212"/>
      </w:pPr>
      <w:rPr>
        <w:rFonts w:hint="default"/>
        <w:lang w:val="zh-CN" w:eastAsia="zh-CN" w:bidi="zh-CN"/>
      </w:rPr>
    </w:lvl>
    <w:lvl w:ilvl="7" w:tentative="0">
      <w:start w:val="0"/>
      <w:numFmt w:val="bullet"/>
      <w:lvlText w:val="•"/>
      <w:lvlJc w:val="left"/>
      <w:pPr>
        <w:ind w:left="7369" w:hanging="212"/>
      </w:pPr>
      <w:rPr>
        <w:rFonts w:hint="default"/>
        <w:lang w:val="zh-CN" w:eastAsia="zh-CN" w:bidi="zh-CN"/>
      </w:rPr>
    </w:lvl>
    <w:lvl w:ilvl="8" w:tentative="0">
      <w:start w:val="0"/>
      <w:numFmt w:val="bullet"/>
      <w:lvlText w:val="•"/>
      <w:lvlJc w:val="left"/>
      <w:pPr>
        <w:ind w:left="8316" w:hanging="212"/>
      </w:pPr>
      <w:rPr>
        <w:rFonts w:hint="default"/>
        <w:lang w:val="zh-CN" w:eastAsia="zh-CN" w:bidi="zh-CN"/>
      </w:rPr>
    </w:lvl>
  </w:abstractNum>
  <w:abstractNum w:abstractNumId="6">
    <w:nsid w:val="BF205925"/>
    <w:multiLevelType w:val="multilevel"/>
    <w:tmpl w:val="BF205925"/>
    <w:lvl w:ilvl="0" w:tentative="0">
      <w:start w:val="1"/>
      <w:numFmt w:val="decimal"/>
      <w:lvlText w:val="%1."/>
      <w:lvlJc w:val="left"/>
      <w:pPr>
        <w:ind w:left="729"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1669" w:hanging="212"/>
      </w:pPr>
      <w:rPr>
        <w:rFonts w:hint="default"/>
        <w:lang w:val="zh-CN" w:eastAsia="zh-CN" w:bidi="zh-CN"/>
      </w:rPr>
    </w:lvl>
    <w:lvl w:ilvl="2" w:tentative="0">
      <w:start w:val="0"/>
      <w:numFmt w:val="bullet"/>
      <w:lvlText w:val="•"/>
      <w:lvlJc w:val="left"/>
      <w:pPr>
        <w:ind w:left="2618" w:hanging="212"/>
      </w:pPr>
      <w:rPr>
        <w:rFonts w:hint="default"/>
        <w:lang w:val="zh-CN" w:eastAsia="zh-CN" w:bidi="zh-CN"/>
      </w:rPr>
    </w:lvl>
    <w:lvl w:ilvl="3" w:tentative="0">
      <w:start w:val="0"/>
      <w:numFmt w:val="bullet"/>
      <w:lvlText w:val="•"/>
      <w:lvlJc w:val="left"/>
      <w:pPr>
        <w:ind w:left="3567" w:hanging="212"/>
      </w:pPr>
      <w:rPr>
        <w:rFonts w:hint="default"/>
        <w:lang w:val="zh-CN" w:eastAsia="zh-CN" w:bidi="zh-CN"/>
      </w:rPr>
    </w:lvl>
    <w:lvl w:ilvl="4" w:tentative="0">
      <w:start w:val="0"/>
      <w:numFmt w:val="bullet"/>
      <w:lvlText w:val="•"/>
      <w:lvlJc w:val="left"/>
      <w:pPr>
        <w:ind w:left="4516" w:hanging="212"/>
      </w:pPr>
      <w:rPr>
        <w:rFonts w:hint="default"/>
        <w:lang w:val="zh-CN" w:eastAsia="zh-CN" w:bidi="zh-CN"/>
      </w:rPr>
    </w:lvl>
    <w:lvl w:ilvl="5" w:tentative="0">
      <w:start w:val="0"/>
      <w:numFmt w:val="bullet"/>
      <w:lvlText w:val="•"/>
      <w:lvlJc w:val="left"/>
      <w:pPr>
        <w:ind w:left="5465" w:hanging="212"/>
      </w:pPr>
      <w:rPr>
        <w:rFonts w:hint="default"/>
        <w:lang w:val="zh-CN" w:eastAsia="zh-CN" w:bidi="zh-CN"/>
      </w:rPr>
    </w:lvl>
    <w:lvl w:ilvl="6" w:tentative="0">
      <w:start w:val="0"/>
      <w:numFmt w:val="bullet"/>
      <w:lvlText w:val="•"/>
      <w:lvlJc w:val="left"/>
      <w:pPr>
        <w:ind w:left="6414" w:hanging="212"/>
      </w:pPr>
      <w:rPr>
        <w:rFonts w:hint="default"/>
        <w:lang w:val="zh-CN" w:eastAsia="zh-CN" w:bidi="zh-CN"/>
      </w:rPr>
    </w:lvl>
    <w:lvl w:ilvl="7" w:tentative="0">
      <w:start w:val="0"/>
      <w:numFmt w:val="bullet"/>
      <w:lvlText w:val="•"/>
      <w:lvlJc w:val="left"/>
      <w:pPr>
        <w:ind w:left="7363" w:hanging="212"/>
      </w:pPr>
      <w:rPr>
        <w:rFonts w:hint="default"/>
        <w:lang w:val="zh-CN" w:eastAsia="zh-CN" w:bidi="zh-CN"/>
      </w:rPr>
    </w:lvl>
    <w:lvl w:ilvl="8" w:tentative="0">
      <w:start w:val="0"/>
      <w:numFmt w:val="bullet"/>
      <w:lvlText w:val="•"/>
      <w:lvlJc w:val="left"/>
      <w:pPr>
        <w:ind w:left="8312" w:hanging="212"/>
      </w:pPr>
      <w:rPr>
        <w:rFonts w:hint="default"/>
        <w:lang w:val="zh-CN" w:eastAsia="zh-CN" w:bidi="zh-CN"/>
      </w:rPr>
    </w:lvl>
  </w:abstractNum>
  <w:abstractNum w:abstractNumId="7">
    <w:nsid w:val="C8879AEF"/>
    <w:multiLevelType w:val="multilevel"/>
    <w:tmpl w:val="C8879AEF"/>
    <w:lvl w:ilvl="0" w:tentative="0">
      <w:start w:val="3"/>
      <w:numFmt w:val="decimal"/>
      <w:lvlText w:val="%1."/>
      <w:lvlJc w:val="left"/>
      <w:pPr>
        <w:ind w:left="843" w:hanging="316"/>
        <w:jc w:val="left"/>
      </w:pPr>
      <w:rPr>
        <w:rFonts w:hint="default" w:ascii="宋体" w:hAnsi="宋体" w:eastAsia="宋体" w:cs="宋体"/>
        <w:b/>
        <w:bCs/>
        <w:spacing w:val="-104"/>
        <w:w w:val="98"/>
        <w:sz w:val="19"/>
        <w:szCs w:val="19"/>
        <w:lang w:val="zh-CN" w:eastAsia="zh-CN" w:bidi="zh-CN"/>
      </w:rPr>
    </w:lvl>
    <w:lvl w:ilvl="1" w:tentative="0">
      <w:start w:val="0"/>
      <w:numFmt w:val="bullet"/>
      <w:lvlText w:val="•"/>
      <w:lvlJc w:val="left"/>
      <w:pPr>
        <w:ind w:left="1777" w:hanging="316"/>
      </w:pPr>
      <w:rPr>
        <w:rFonts w:hint="default"/>
        <w:lang w:val="zh-CN" w:eastAsia="zh-CN" w:bidi="zh-CN"/>
      </w:rPr>
    </w:lvl>
    <w:lvl w:ilvl="2" w:tentative="0">
      <w:start w:val="0"/>
      <w:numFmt w:val="bullet"/>
      <w:lvlText w:val="•"/>
      <w:lvlJc w:val="left"/>
      <w:pPr>
        <w:ind w:left="2714" w:hanging="316"/>
      </w:pPr>
      <w:rPr>
        <w:rFonts w:hint="default"/>
        <w:lang w:val="zh-CN" w:eastAsia="zh-CN" w:bidi="zh-CN"/>
      </w:rPr>
    </w:lvl>
    <w:lvl w:ilvl="3" w:tentative="0">
      <w:start w:val="0"/>
      <w:numFmt w:val="bullet"/>
      <w:lvlText w:val="•"/>
      <w:lvlJc w:val="left"/>
      <w:pPr>
        <w:ind w:left="3651" w:hanging="316"/>
      </w:pPr>
      <w:rPr>
        <w:rFonts w:hint="default"/>
        <w:lang w:val="zh-CN" w:eastAsia="zh-CN" w:bidi="zh-CN"/>
      </w:rPr>
    </w:lvl>
    <w:lvl w:ilvl="4" w:tentative="0">
      <w:start w:val="0"/>
      <w:numFmt w:val="bullet"/>
      <w:lvlText w:val="•"/>
      <w:lvlJc w:val="left"/>
      <w:pPr>
        <w:ind w:left="4588" w:hanging="316"/>
      </w:pPr>
      <w:rPr>
        <w:rFonts w:hint="default"/>
        <w:lang w:val="zh-CN" w:eastAsia="zh-CN" w:bidi="zh-CN"/>
      </w:rPr>
    </w:lvl>
    <w:lvl w:ilvl="5" w:tentative="0">
      <w:start w:val="0"/>
      <w:numFmt w:val="bullet"/>
      <w:lvlText w:val="•"/>
      <w:lvlJc w:val="left"/>
      <w:pPr>
        <w:ind w:left="5525" w:hanging="316"/>
      </w:pPr>
      <w:rPr>
        <w:rFonts w:hint="default"/>
        <w:lang w:val="zh-CN" w:eastAsia="zh-CN" w:bidi="zh-CN"/>
      </w:rPr>
    </w:lvl>
    <w:lvl w:ilvl="6" w:tentative="0">
      <w:start w:val="0"/>
      <w:numFmt w:val="bullet"/>
      <w:lvlText w:val="•"/>
      <w:lvlJc w:val="left"/>
      <w:pPr>
        <w:ind w:left="6462" w:hanging="316"/>
      </w:pPr>
      <w:rPr>
        <w:rFonts w:hint="default"/>
        <w:lang w:val="zh-CN" w:eastAsia="zh-CN" w:bidi="zh-CN"/>
      </w:rPr>
    </w:lvl>
    <w:lvl w:ilvl="7" w:tentative="0">
      <w:start w:val="0"/>
      <w:numFmt w:val="bullet"/>
      <w:lvlText w:val="•"/>
      <w:lvlJc w:val="left"/>
      <w:pPr>
        <w:ind w:left="7399" w:hanging="316"/>
      </w:pPr>
      <w:rPr>
        <w:rFonts w:hint="default"/>
        <w:lang w:val="zh-CN" w:eastAsia="zh-CN" w:bidi="zh-CN"/>
      </w:rPr>
    </w:lvl>
    <w:lvl w:ilvl="8" w:tentative="0">
      <w:start w:val="0"/>
      <w:numFmt w:val="bullet"/>
      <w:lvlText w:val="•"/>
      <w:lvlJc w:val="left"/>
      <w:pPr>
        <w:ind w:left="8336" w:hanging="316"/>
      </w:pPr>
      <w:rPr>
        <w:rFonts w:hint="default"/>
        <w:lang w:val="zh-CN" w:eastAsia="zh-CN" w:bidi="zh-CN"/>
      </w:rPr>
    </w:lvl>
  </w:abstractNum>
  <w:abstractNum w:abstractNumId="8">
    <w:nsid w:val="CF092B84"/>
    <w:multiLevelType w:val="multilevel"/>
    <w:tmpl w:val="CF092B84"/>
    <w:lvl w:ilvl="0" w:tentative="0">
      <w:start w:val="3"/>
      <w:numFmt w:val="decimal"/>
      <w:lvlText w:val="%1."/>
      <w:lvlJc w:val="left"/>
      <w:pPr>
        <w:ind w:left="736" w:hanging="219"/>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1687" w:hanging="219"/>
      </w:pPr>
      <w:rPr>
        <w:rFonts w:hint="default"/>
        <w:lang w:val="zh-CN" w:eastAsia="zh-CN" w:bidi="zh-CN"/>
      </w:rPr>
    </w:lvl>
    <w:lvl w:ilvl="2" w:tentative="0">
      <w:start w:val="0"/>
      <w:numFmt w:val="bullet"/>
      <w:lvlText w:val="•"/>
      <w:lvlJc w:val="left"/>
      <w:pPr>
        <w:ind w:left="2634" w:hanging="219"/>
      </w:pPr>
      <w:rPr>
        <w:rFonts w:hint="default"/>
        <w:lang w:val="zh-CN" w:eastAsia="zh-CN" w:bidi="zh-CN"/>
      </w:rPr>
    </w:lvl>
    <w:lvl w:ilvl="3" w:tentative="0">
      <w:start w:val="0"/>
      <w:numFmt w:val="bullet"/>
      <w:lvlText w:val="•"/>
      <w:lvlJc w:val="left"/>
      <w:pPr>
        <w:ind w:left="3581" w:hanging="219"/>
      </w:pPr>
      <w:rPr>
        <w:rFonts w:hint="default"/>
        <w:lang w:val="zh-CN" w:eastAsia="zh-CN" w:bidi="zh-CN"/>
      </w:rPr>
    </w:lvl>
    <w:lvl w:ilvl="4" w:tentative="0">
      <w:start w:val="0"/>
      <w:numFmt w:val="bullet"/>
      <w:lvlText w:val="•"/>
      <w:lvlJc w:val="left"/>
      <w:pPr>
        <w:ind w:left="4528" w:hanging="219"/>
      </w:pPr>
      <w:rPr>
        <w:rFonts w:hint="default"/>
        <w:lang w:val="zh-CN" w:eastAsia="zh-CN" w:bidi="zh-CN"/>
      </w:rPr>
    </w:lvl>
    <w:lvl w:ilvl="5" w:tentative="0">
      <w:start w:val="0"/>
      <w:numFmt w:val="bullet"/>
      <w:lvlText w:val="•"/>
      <w:lvlJc w:val="left"/>
      <w:pPr>
        <w:ind w:left="5475" w:hanging="219"/>
      </w:pPr>
      <w:rPr>
        <w:rFonts w:hint="default"/>
        <w:lang w:val="zh-CN" w:eastAsia="zh-CN" w:bidi="zh-CN"/>
      </w:rPr>
    </w:lvl>
    <w:lvl w:ilvl="6" w:tentative="0">
      <w:start w:val="0"/>
      <w:numFmt w:val="bullet"/>
      <w:lvlText w:val="•"/>
      <w:lvlJc w:val="left"/>
      <w:pPr>
        <w:ind w:left="6422" w:hanging="219"/>
      </w:pPr>
      <w:rPr>
        <w:rFonts w:hint="default"/>
        <w:lang w:val="zh-CN" w:eastAsia="zh-CN" w:bidi="zh-CN"/>
      </w:rPr>
    </w:lvl>
    <w:lvl w:ilvl="7" w:tentative="0">
      <w:start w:val="0"/>
      <w:numFmt w:val="bullet"/>
      <w:lvlText w:val="•"/>
      <w:lvlJc w:val="left"/>
      <w:pPr>
        <w:ind w:left="7369" w:hanging="219"/>
      </w:pPr>
      <w:rPr>
        <w:rFonts w:hint="default"/>
        <w:lang w:val="zh-CN" w:eastAsia="zh-CN" w:bidi="zh-CN"/>
      </w:rPr>
    </w:lvl>
    <w:lvl w:ilvl="8" w:tentative="0">
      <w:start w:val="0"/>
      <w:numFmt w:val="bullet"/>
      <w:lvlText w:val="•"/>
      <w:lvlJc w:val="left"/>
      <w:pPr>
        <w:ind w:left="8316" w:hanging="219"/>
      </w:pPr>
      <w:rPr>
        <w:rFonts w:hint="default"/>
        <w:lang w:val="zh-CN" w:eastAsia="zh-CN" w:bidi="zh-CN"/>
      </w:rPr>
    </w:lvl>
  </w:abstractNum>
  <w:abstractNum w:abstractNumId="9">
    <w:nsid w:val="D7F9FE59"/>
    <w:multiLevelType w:val="multilevel"/>
    <w:tmpl w:val="D7F9FE59"/>
    <w:lvl w:ilvl="0" w:tentative="0">
      <w:start w:val="1"/>
      <w:numFmt w:val="decimal"/>
      <w:lvlText w:val="（%1）"/>
      <w:lvlJc w:val="left"/>
      <w:pPr>
        <w:ind w:left="105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75" w:hanging="525"/>
      </w:pPr>
      <w:rPr>
        <w:rFonts w:hint="default"/>
        <w:lang w:val="zh-CN" w:eastAsia="zh-CN" w:bidi="zh-CN"/>
      </w:rPr>
    </w:lvl>
    <w:lvl w:ilvl="2" w:tentative="0">
      <w:start w:val="0"/>
      <w:numFmt w:val="bullet"/>
      <w:lvlText w:val="•"/>
      <w:lvlJc w:val="left"/>
      <w:pPr>
        <w:ind w:left="2890" w:hanging="525"/>
      </w:pPr>
      <w:rPr>
        <w:rFonts w:hint="default"/>
        <w:lang w:val="zh-CN" w:eastAsia="zh-CN" w:bidi="zh-CN"/>
      </w:rPr>
    </w:lvl>
    <w:lvl w:ilvl="3" w:tentative="0">
      <w:start w:val="0"/>
      <w:numFmt w:val="bullet"/>
      <w:lvlText w:val="•"/>
      <w:lvlJc w:val="left"/>
      <w:pPr>
        <w:ind w:left="3805" w:hanging="525"/>
      </w:pPr>
      <w:rPr>
        <w:rFonts w:hint="default"/>
        <w:lang w:val="zh-CN" w:eastAsia="zh-CN" w:bidi="zh-CN"/>
      </w:rPr>
    </w:lvl>
    <w:lvl w:ilvl="4" w:tentative="0">
      <w:start w:val="0"/>
      <w:numFmt w:val="bullet"/>
      <w:lvlText w:val="•"/>
      <w:lvlJc w:val="left"/>
      <w:pPr>
        <w:ind w:left="4720" w:hanging="525"/>
      </w:pPr>
      <w:rPr>
        <w:rFonts w:hint="default"/>
        <w:lang w:val="zh-CN" w:eastAsia="zh-CN" w:bidi="zh-CN"/>
      </w:rPr>
    </w:lvl>
    <w:lvl w:ilvl="5" w:tentative="0">
      <w:start w:val="0"/>
      <w:numFmt w:val="bullet"/>
      <w:lvlText w:val="•"/>
      <w:lvlJc w:val="left"/>
      <w:pPr>
        <w:ind w:left="5635" w:hanging="525"/>
      </w:pPr>
      <w:rPr>
        <w:rFonts w:hint="default"/>
        <w:lang w:val="zh-CN" w:eastAsia="zh-CN" w:bidi="zh-CN"/>
      </w:rPr>
    </w:lvl>
    <w:lvl w:ilvl="6" w:tentative="0">
      <w:start w:val="0"/>
      <w:numFmt w:val="bullet"/>
      <w:lvlText w:val="•"/>
      <w:lvlJc w:val="left"/>
      <w:pPr>
        <w:ind w:left="6550" w:hanging="525"/>
      </w:pPr>
      <w:rPr>
        <w:rFonts w:hint="default"/>
        <w:lang w:val="zh-CN" w:eastAsia="zh-CN" w:bidi="zh-CN"/>
      </w:rPr>
    </w:lvl>
    <w:lvl w:ilvl="7" w:tentative="0">
      <w:start w:val="0"/>
      <w:numFmt w:val="bullet"/>
      <w:lvlText w:val="•"/>
      <w:lvlJc w:val="left"/>
      <w:pPr>
        <w:ind w:left="7465" w:hanging="525"/>
      </w:pPr>
      <w:rPr>
        <w:rFonts w:hint="default"/>
        <w:lang w:val="zh-CN" w:eastAsia="zh-CN" w:bidi="zh-CN"/>
      </w:rPr>
    </w:lvl>
    <w:lvl w:ilvl="8" w:tentative="0">
      <w:start w:val="0"/>
      <w:numFmt w:val="bullet"/>
      <w:lvlText w:val="•"/>
      <w:lvlJc w:val="left"/>
      <w:pPr>
        <w:ind w:left="8380" w:hanging="525"/>
      </w:pPr>
      <w:rPr>
        <w:rFonts w:hint="default"/>
        <w:lang w:val="zh-CN" w:eastAsia="zh-CN" w:bidi="zh-CN"/>
      </w:rPr>
    </w:lvl>
  </w:abstractNum>
  <w:abstractNum w:abstractNumId="10">
    <w:nsid w:val="DCBA6B53"/>
    <w:multiLevelType w:val="multilevel"/>
    <w:tmpl w:val="DCBA6B53"/>
    <w:lvl w:ilvl="0" w:tentative="0">
      <w:start w:val="1"/>
      <w:numFmt w:val="decimal"/>
      <w:lvlText w:val="（%1）"/>
      <w:lvlJc w:val="left"/>
      <w:pPr>
        <w:ind w:left="105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75" w:hanging="525"/>
      </w:pPr>
      <w:rPr>
        <w:rFonts w:hint="default"/>
        <w:lang w:val="zh-CN" w:eastAsia="zh-CN" w:bidi="zh-CN"/>
      </w:rPr>
    </w:lvl>
    <w:lvl w:ilvl="2" w:tentative="0">
      <w:start w:val="0"/>
      <w:numFmt w:val="bullet"/>
      <w:lvlText w:val="•"/>
      <w:lvlJc w:val="left"/>
      <w:pPr>
        <w:ind w:left="2890" w:hanging="525"/>
      </w:pPr>
      <w:rPr>
        <w:rFonts w:hint="default"/>
        <w:lang w:val="zh-CN" w:eastAsia="zh-CN" w:bidi="zh-CN"/>
      </w:rPr>
    </w:lvl>
    <w:lvl w:ilvl="3" w:tentative="0">
      <w:start w:val="0"/>
      <w:numFmt w:val="bullet"/>
      <w:lvlText w:val="•"/>
      <w:lvlJc w:val="left"/>
      <w:pPr>
        <w:ind w:left="3805" w:hanging="525"/>
      </w:pPr>
      <w:rPr>
        <w:rFonts w:hint="default"/>
        <w:lang w:val="zh-CN" w:eastAsia="zh-CN" w:bidi="zh-CN"/>
      </w:rPr>
    </w:lvl>
    <w:lvl w:ilvl="4" w:tentative="0">
      <w:start w:val="0"/>
      <w:numFmt w:val="bullet"/>
      <w:lvlText w:val="•"/>
      <w:lvlJc w:val="left"/>
      <w:pPr>
        <w:ind w:left="4720" w:hanging="525"/>
      </w:pPr>
      <w:rPr>
        <w:rFonts w:hint="default"/>
        <w:lang w:val="zh-CN" w:eastAsia="zh-CN" w:bidi="zh-CN"/>
      </w:rPr>
    </w:lvl>
    <w:lvl w:ilvl="5" w:tentative="0">
      <w:start w:val="0"/>
      <w:numFmt w:val="bullet"/>
      <w:lvlText w:val="•"/>
      <w:lvlJc w:val="left"/>
      <w:pPr>
        <w:ind w:left="5635" w:hanging="525"/>
      </w:pPr>
      <w:rPr>
        <w:rFonts w:hint="default"/>
        <w:lang w:val="zh-CN" w:eastAsia="zh-CN" w:bidi="zh-CN"/>
      </w:rPr>
    </w:lvl>
    <w:lvl w:ilvl="6" w:tentative="0">
      <w:start w:val="0"/>
      <w:numFmt w:val="bullet"/>
      <w:lvlText w:val="•"/>
      <w:lvlJc w:val="left"/>
      <w:pPr>
        <w:ind w:left="6550" w:hanging="525"/>
      </w:pPr>
      <w:rPr>
        <w:rFonts w:hint="default"/>
        <w:lang w:val="zh-CN" w:eastAsia="zh-CN" w:bidi="zh-CN"/>
      </w:rPr>
    </w:lvl>
    <w:lvl w:ilvl="7" w:tentative="0">
      <w:start w:val="0"/>
      <w:numFmt w:val="bullet"/>
      <w:lvlText w:val="•"/>
      <w:lvlJc w:val="left"/>
      <w:pPr>
        <w:ind w:left="7465" w:hanging="525"/>
      </w:pPr>
      <w:rPr>
        <w:rFonts w:hint="default"/>
        <w:lang w:val="zh-CN" w:eastAsia="zh-CN" w:bidi="zh-CN"/>
      </w:rPr>
    </w:lvl>
    <w:lvl w:ilvl="8" w:tentative="0">
      <w:start w:val="0"/>
      <w:numFmt w:val="bullet"/>
      <w:lvlText w:val="•"/>
      <w:lvlJc w:val="left"/>
      <w:pPr>
        <w:ind w:left="8380" w:hanging="525"/>
      </w:pPr>
      <w:rPr>
        <w:rFonts w:hint="default"/>
        <w:lang w:val="zh-CN" w:eastAsia="zh-CN" w:bidi="zh-CN"/>
      </w:rPr>
    </w:lvl>
  </w:abstractNum>
  <w:abstractNum w:abstractNumId="11">
    <w:nsid w:val="F4B5D9F5"/>
    <w:multiLevelType w:val="multilevel"/>
    <w:tmpl w:val="F4B5D9F5"/>
    <w:lvl w:ilvl="0" w:tentative="0">
      <w:start w:val="1"/>
      <w:numFmt w:val="decimal"/>
      <w:lvlText w:val="（%1）"/>
      <w:lvlJc w:val="left"/>
      <w:pPr>
        <w:ind w:left="105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75" w:hanging="525"/>
      </w:pPr>
      <w:rPr>
        <w:rFonts w:hint="default"/>
        <w:lang w:val="zh-CN" w:eastAsia="zh-CN" w:bidi="zh-CN"/>
      </w:rPr>
    </w:lvl>
    <w:lvl w:ilvl="2" w:tentative="0">
      <w:start w:val="0"/>
      <w:numFmt w:val="bullet"/>
      <w:lvlText w:val="•"/>
      <w:lvlJc w:val="left"/>
      <w:pPr>
        <w:ind w:left="2890" w:hanging="525"/>
      </w:pPr>
      <w:rPr>
        <w:rFonts w:hint="default"/>
        <w:lang w:val="zh-CN" w:eastAsia="zh-CN" w:bidi="zh-CN"/>
      </w:rPr>
    </w:lvl>
    <w:lvl w:ilvl="3" w:tentative="0">
      <w:start w:val="0"/>
      <w:numFmt w:val="bullet"/>
      <w:lvlText w:val="•"/>
      <w:lvlJc w:val="left"/>
      <w:pPr>
        <w:ind w:left="3805" w:hanging="525"/>
      </w:pPr>
      <w:rPr>
        <w:rFonts w:hint="default"/>
        <w:lang w:val="zh-CN" w:eastAsia="zh-CN" w:bidi="zh-CN"/>
      </w:rPr>
    </w:lvl>
    <w:lvl w:ilvl="4" w:tentative="0">
      <w:start w:val="0"/>
      <w:numFmt w:val="bullet"/>
      <w:lvlText w:val="•"/>
      <w:lvlJc w:val="left"/>
      <w:pPr>
        <w:ind w:left="4720" w:hanging="525"/>
      </w:pPr>
      <w:rPr>
        <w:rFonts w:hint="default"/>
        <w:lang w:val="zh-CN" w:eastAsia="zh-CN" w:bidi="zh-CN"/>
      </w:rPr>
    </w:lvl>
    <w:lvl w:ilvl="5" w:tentative="0">
      <w:start w:val="0"/>
      <w:numFmt w:val="bullet"/>
      <w:lvlText w:val="•"/>
      <w:lvlJc w:val="left"/>
      <w:pPr>
        <w:ind w:left="5635" w:hanging="525"/>
      </w:pPr>
      <w:rPr>
        <w:rFonts w:hint="default"/>
        <w:lang w:val="zh-CN" w:eastAsia="zh-CN" w:bidi="zh-CN"/>
      </w:rPr>
    </w:lvl>
    <w:lvl w:ilvl="6" w:tentative="0">
      <w:start w:val="0"/>
      <w:numFmt w:val="bullet"/>
      <w:lvlText w:val="•"/>
      <w:lvlJc w:val="left"/>
      <w:pPr>
        <w:ind w:left="6550" w:hanging="525"/>
      </w:pPr>
      <w:rPr>
        <w:rFonts w:hint="default"/>
        <w:lang w:val="zh-CN" w:eastAsia="zh-CN" w:bidi="zh-CN"/>
      </w:rPr>
    </w:lvl>
    <w:lvl w:ilvl="7" w:tentative="0">
      <w:start w:val="0"/>
      <w:numFmt w:val="bullet"/>
      <w:lvlText w:val="•"/>
      <w:lvlJc w:val="left"/>
      <w:pPr>
        <w:ind w:left="7465" w:hanging="525"/>
      </w:pPr>
      <w:rPr>
        <w:rFonts w:hint="default"/>
        <w:lang w:val="zh-CN" w:eastAsia="zh-CN" w:bidi="zh-CN"/>
      </w:rPr>
    </w:lvl>
    <w:lvl w:ilvl="8" w:tentative="0">
      <w:start w:val="0"/>
      <w:numFmt w:val="bullet"/>
      <w:lvlText w:val="•"/>
      <w:lvlJc w:val="left"/>
      <w:pPr>
        <w:ind w:left="8380" w:hanging="525"/>
      </w:pPr>
      <w:rPr>
        <w:rFonts w:hint="default"/>
        <w:lang w:val="zh-CN" w:eastAsia="zh-CN" w:bidi="zh-CN"/>
      </w:rPr>
    </w:lvl>
  </w:abstractNum>
  <w:abstractNum w:abstractNumId="12">
    <w:nsid w:val="0053208E"/>
    <w:multiLevelType w:val="multilevel"/>
    <w:tmpl w:val="0053208E"/>
    <w:lvl w:ilvl="0" w:tentative="0">
      <w:start w:val="1"/>
      <w:numFmt w:val="decimal"/>
      <w:lvlText w:val="%1."/>
      <w:lvlJc w:val="left"/>
      <w:pPr>
        <w:ind w:left="732" w:hanging="214"/>
        <w:jc w:val="left"/>
      </w:pPr>
      <w:rPr>
        <w:rFonts w:hint="default" w:ascii="宋体" w:hAnsi="宋体" w:eastAsia="宋体" w:cs="宋体"/>
        <w:b/>
        <w:bCs/>
        <w:spacing w:val="-2"/>
        <w:w w:val="98"/>
        <w:sz w:val="19"/>
        <w:szCs w:val="19"/>
        <w:lang w:val="zh-CN" w:eastAsia="zh-CN" w:bidi="zh-CN"/>
      </w:rPr>
    </w:lvl>
    <w:lvl w:ilvl="1" w:tentative="0">
      <w:start w:val="0"/>
      <w:numFmt w:val="bullet"/>
      <w:lvlText w:val="•"/>
      <w:lvlJc w:val="left"/>
      <w:pPr>
        <w:ind w:left="1687" w:hanging="214"/>
      </w:pPr>
      <w:rPr>
        <w:rFonts w:hint="default"/>
        <w:lang w:val="zh-CN" w:eastAsia="zh-CN" w:bidi="zh-CN"/>
      </w:rPr>
    </w:lvl>
    <w:lvl w:ilvl="2" w:tentative="0">
      <w:start w:val="0"/>
      <w:numFmt w:val="bullet"/>
      <w:lvlText w:val="•"/>
      <w:lvlJc w:val="left"/>
      <w:pPr>
        <w:ind w:left="2634" w:hanging="214"/>
      </w:pPr>
      <w:rPr>
        <w:rFonts w:hint="default"/>
        <w:lang w:val="zh-CN" w:eastAsia="zh-CN" w:bidi="zh-CN"/>
      </w:rPr>
    </w:lvl>
    <w:lvl w:ilvl="3" w:tentative="0">
      <w:start w:val="0"/>
      <w:numFmt w:val="bullet"/>
      <w:lvlText w:val="•"/>
      <w:lvlJc w:val="left"/>
      <w:pPr>
        <w:ind w:left="3581" w:hanging="214"/>
      </w:pPr>
      <w:rPr>
        <w:rFonts w:hint="default"/>
        <w:lang w:val="zh-CN" w:eastAsia="zh-CN" w:bidi="zh-CN"/>
      </w:rPr>
    </w:lvl>
    <w:lvl w:ilvl="4" w:tentative="0">
      <w:start w:val="0"/>
      <w:numFmt w:val="bullet"/>
      <w:lvlText w:val="•"/>
      <w:lvlJc w:val="left"/>
      <w:pPr>
        <w:ind w:left="4528" w:hanging="214"/>
      </w:pPr>
      <w:rPr>
        <w:rFonts w:hint="default"/>
        <w:lang w:val="zh-CN" w:eastAsia="zh-CN" w:bidi="zh-CN"/>
      </w:rPr>
    </w:lvl>
    <w:lvl w:ilvl="5" w:tentative="0">
      <w:start w:val="0"/>
      <w:numFmt w:val="bullet"/>
      <w:lvlText w:val="•"/>
      <w:lvlJc w:val="left"/>
      <w:pPr>
        <w:ind w:left="5475" w:hanging="214"/>
      </w:pPr>
      <w:rPr>
        <w:rFonts w:hint="default"/>
        <w:lang w:val="zh-CN" w:eastAsia="zh-CN" w:bidi="zh-CN"/>
      </w:rPr>
    </w:lvl>
    <w:lvl w:ilvl="6" w:tentative="0">
      <w:start w:val="0"/>
      <w:numFmt w:val="bullet"/>
      <w:lvlText w:val="•"/>
      <w:lvlJc w:val="left"/>
      <w:pPr>
        <w:ind w:left="6422" w:hanging="214"/>
      </w:pPr>
      <w:rPr>
        <w:rFonts w:hint="default"/>
        <w:lang w:val="zh-CN" w:eastAsia="zh-CN" w:bidi="zh-CN"/>
      </w:rPr>
    </w:lvl>
    <w:lvl w:ilvl="7" w:tentative="0">
      <w:start w:val="0"/>
      <w:numFmt w:val="bullet"/>
      <w:lvlText w:val="•"/>
      <w:lvlJc w:val="left"/>
      <w:pPr>
        <w:ind w:left="7369" w:hanging="214"/>
      </w:pPr>
      <w:rPr>
        <w:rFonts w:hint="default"/>
        <w:lang w:val="zh-CN" w:eastAsia="zh-CN" w:bidi="zh-CN"/>
      </w:rPr>
    </w:lvl>
    <w:lvl w:ilvl="8" w:tentative="0">
      <w:start w:val="0"/>
      <w:numFmt w:val="bullet"/>
      <w:lvlText w:val="•"/>
      <w:lvlJc w:val="left"/>
      <w:pPr>
        <w:ind w:left="8316" w:hanging="214"/>
      </w:pPr>
      <w:rPr>
        <w:rFonts w:hint="default"/>
        <w:lang w:val="zh-CN" w:eastAsia="zh-CN" w:bidi="zh-CN"/>
      </w:rPr>
    </w:lvl>
  </w:abstractNum>
  <w:abstractNum w:abstractNumId="13">
    <w:nsid w:val="0248C179"/>
    <w:multiLevelType w:val="multilevel"/>
    <w:tmpl w:val="0248C179"/>
    <w:lvl w:ilvl="0" w:tentative="0">
      <w:start w:val="1"/>
      <w:numFmt w:val="decimal"/>
      <w:lvlText w:val="（%1）"/>
      <w:lvlJc w:val="left"/>
      <w:pPr>
        <w:ind w:left="1052" w:hanging="525"/>
        <w:jc w:val="left"/>
      </w:pPr>
      <w:rPr>
        <w:rFonts w:hint="default" w:ascii="宋体" w:hAnsi="宋体" w:eastAsia="宋体" w:cs="宋体"/>
        <w:spacing w:val="-37"/>
        <w:w w:val="99"/>
        <w:sz w:val="19"/>
        <w:szCs w:val="19"/>
        <w:lang w:val="zh-CN" w:eastAsia="zh-CN" w:bidi="zh-CN"/>
      </w:rPr>
    </w:lvl>
    <w:lvl w:ilvl="1" w:tentative="0">
      <w:start w:val="0"/>
      <w:numFmt w:val="bullet"/>
      <w:lvlText w:val="•"/>
      <w:lvlJc w:val="left"/>
      <w:pPr>
        <w:ind w:left="1975" w:hanging="525"/>
      </w:pPr>
      <w:rPr>
        <w:rFonts w:hint="default"/>
        <w:lang w:val="zh-CN" w:eastAsia="zh-CN" w:bidi="zh-CN"/>
      </w:rPr>
    </w:lvl>
    <w:lvl w:ilvl="2" w:tentative="0">
      <w:start w:val="0"/>
      <w:numFmt w:val="bullet"/>
      <w:lvlText w:val="•"/>
      <w:lvlJc w:val="left"/>
      <w:pPr>
        <w:ind w:left="2890" w:hanging="525"/>
      </w:pPr>
      <w:rPr>
        <w:rFonts w:hint="default"/>
        <w:lang w:val="zh-CN" w:eastAsia="zh-CN" w:bidi="zh-CN"/>
      </w:rPr>
    </w:lvl>
    <w:lvl w:ilvl="3" w:tentative="0">
      <w:start w:val="0"/>
      <w:numFmt w:val="bullet"/>
      <w:lvlText w:val="•"/>
      <w:lvlJc w:val="left"/>
      <w:pPr>
        <w:ind w:left="3805" w:hanging="525"/>
      </w:pPr>
      <w:rPr>
        <w:rFonts w:hint="default"/>
        <w:lang w:val="zh-CN" w:eastAsia="zh-CN" w:bidi="zh-CN"/>
      </w:rPr>
    </w:lvl>
    <w:lvl w:ilvl="4" w:tentative="0">
      <w:start w:val="0"/>
      <w:numFmt w:val="bullet"/>
      <w:lvlText w:val="•"/>
      <w:lvlJc w:val="left"/>
      <w:pPr>
        <w:ind w:left="4720" w:hanging="525"/>
      </w:pPr>
      <w:rPr>
        <w:rFonts w:hint="default"/>
        <w:lang w:val="zh-CN" w:eastAsia="zh-CN" w:bidi="zh-CN"/>
      </w:rPr>
    </w:lvl>
    <w:lvl w:ilvl="5" w:tentative="0">
      <w:start w:val="0"/>
      <w:numFmt w:val="bullet"/>
      <w:lvlText w:val="•"/>
      <w:lvlJc w:val="left"/>
      <w:pPr>
        <w:ind w:left="5635" w:hanging="525"/>
      </w:pPr>
      <w:rPr>
        <w:rFonts w:hint="default"/>
        <w:lang w:val="zh-CN" w:eastAsia="zh-CN" w:bidi="zh-CN"/>
      </w:rPr>
    </w:lvl>
    <w:lvl w:ilvl="6" w:tentative="0">
      <w:start w:val="0"/>
      <w:numFmt w:val="bullet"/>
      <w:lvlText w:val="•"/>
      <w:lvlJc w:val="left"/>
      <w:pPr>
        <w:ind w:left="6550" w:hanging="525"/>
      </w:pPr>
      <w:rPr>
        <w:rFonts w:hint="default"/>
        <w:lang w:val="zh-CN" w:eastAsia="zh-CN" w:bidi="zh-CN"/>
      </w:rPr>
    </w:lvl>
    <w:lvl w:ilvl="7" w:tentative="0">
      <w:start w:val="0"/>
      <w:numFmt w:val="bullet"/>
      <w:lvlText w:val="•"/>
      <w:lvlJc w:val="left"/>
      <w:pPr>
        <w:ind w:left="7465" w:hanging="525"/>
      </w:pPr>
      <w:rPr>
        <w:rFonts w:hint="default"/>
        <w:lang w:val="zh-CN" w:eastAsia="zh-CN" w:bidi="zh-CN"/>
      </w:rPr>
    </w:lvl>
    <w:lvl w:ilvl="8" w:tentative="0">
      <w:start w:val="0"/>
      <w:numFmt w:val="bullet"/>
      <w:lvlText w:val="•"/>
      <w:lvlJc w:val="left"/>
      <w:pPr>
        <w:ind w:left="8380" w:hanging="525"/>
      </w:pPr>
      <w:rPr>
        <w:rFonts w:hint="default"/>
        <w:lang w:val="zh-CN" w:eastAsia="zh-CN" w:bidi="zh-CN"/>
      </w:rPr>
    </w:lvl>
  </w:abstractNum>
  <w:abstractNum w:abstractNumId="14">
    <w:nsid w:val="03D62ECE"/>
    <w:multiLevelType w:val="multilevel"/>
    <w:tmpl w:val="03D62ECE"/>
    <w:lvl w:ilvl="0" w:tentative="0">
      <w:start w:val="2"/>
      <w:numFmt w:val="decimal"/>
      <w:lvlText w:val="%1."/>
      <w:lvlJc w:val="left"/>
      <w:pPr>
        <w:ind w:left="108"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111" w:hanging="212"/>
      </w:pPr>
      <w:rPr>
        <w:rFonts w:hint="default"/>
        <w:lang w:val="zh-CN" w:eastAsia="zh-CN" w:bidi="zh-CN"/>
      </w:rPr>
    </w:lvl>
    <w:lvl w:ilvl="2" w:tentative="0">
      <w:start w:val="0"/>
      <w:numFmt w:val="bullet"/>
      <w:lvlText w:val="•"/>
      <w:lvlJc w:val="left"/>
      <w:pPr>
        <w:ind w:left="2122" w:hanging="212"/>
      </w:pPr>
      <w:rPr>
        <w:rFonts w:hint="default"/>
        <w:lang w:val="zh-CN" w:eastAsia="zh-CN" w:bidi="zh-CN"/>
      </w:rPr>
    </w:lvl>
    <w:lvl w:ilvl="3" w:tentative="0">
      <w:start w:val="0"/>
      <w:numFmt w:val="bullet"/>
      <w:lvlText w:val="•"/>
      <w:lvlJc w:val="left"/>
      <w:pPr>
        <w:ind w:left="3133" w:hanging="212"/>
      </w:pPr>
      <w:rPr>
        <w:rFonts w:hint="default"/>
        <w:lang w:val="zh-CN" w:eastAsia="zh-CN" w:bidi="zh-CN"/>
      </w:rPr>
    </w:lvl>
    <w:lvl w:ilvl="4" w:tentative="0">
      <w:start w:val="0"/>
      <w:numFmt w:val="bullet"/>
      <w:lvlText w:val="•"/>
      <w:lvlJc w:val="left"/>
      <w:pPr>
        <w:ind w:left="4144" w:hanging="212"/>
      </w:pPr>
      <w:rPr>
        <w:rFonts w:hint="default"/>
        <w:lang w:val="zh-CN" w:eastAsia="zh-CN" w:bidi="zh-CN"/>
      </w:rPr>
    </w:lvl>
    <w:lvl w:ilvl="5" w:tentative="0">
      <w:start w:val="0"/>
      <w:numFmt w:val="bullet"/>
      <w:lvlText w:val="•"/>
      <w:lvlJc w:val="left"/>
      <w:pPr>
        <w:ind w:left="5155" w:hanging="212"/>
      </w:pPr>
      <w:rPr>
        <w:rFonts w:hint="default"/>
        <w:lang w:val="zh-CN" w:eastAsia="zh-CN" w:bidi="zh-CN"/>
      </w:rPr>
    </w:lvl>
    <w:lvl w:ilvl="6" w:tentative="0">
      <w:start w:val="0"/>
      <w:numFmt w:val="bullet"/>
      <w:lvlText w:val="•"/>
      <w:lvlJc w:val="left"/>
      <w:pPr>
        <w:ind w:left="6166" w:hanging="212"/>
      </w:pPr>
      <w:rPr>
        <w:rFonts w:hint="default"/>
        <w:lang w:val="zh-CN" w:eastAsia="zh-CN" w:bidi="zh-CN"/>
      </w:rPr>
    </w:lvl>
    <w:lvl w:ilvl="7" w:tentative="0">
      <w:start w:val="0"/>
      <w:numFmt w:val="bullet"/>
      <w:lvlText w:val="•"/>
      <w:lvlJc w:val="left"/>
      <w:pPr>
        <w:ind w:left="7177" w:hanging="212"/>
      </w:pPr>
      <w:rPr>
        <w:rFonts w:hint="default"/>
        <w:lang w:val="zh-CN" w:eastAsia="zh-CN" w:bidi="zh-CN"/>
      </w:rPr>
    </w:lvl>
    <w:lvl w:ilvl="8" w:tentative="0">
      <w:start w:val="0"/>
      <w:numFmt w:val="bullet"/>
      <w:lvlText w:val="•"/>
      <w:lvlJc w:val="left"/>
      <w:pPr>
        <w:ind w:left="8188" w:hanging="212"/>
      </w:pPr>
      <w:rPr>
        <w:rFonts w:hint="default"/>
        <w:lang w:val="zh-CN" w:eastAsia="zh-CN" w:bidi="zh-CN"/>
      </w:rPr>
    </w:lvl>
  </w:abstractNum>
  <w:abstractNum w:abstractNumId="15">
    <w:nsid w:val="0E640482"/>
    <w:multiLevelType w:val="multilevel"/>
    <w:tmpl w:val="0E640482"/>
    <w:lvl w:ilvl="0" w:tentative="0">
      <w:start w:val="1"/>
      <w:numFmt w:val="decimal"/>
      <w:lvlText w:val="（%1）"/>
      <w:lvlJc w:val="left"/>
      <w:pPr>
        <w:ind w:left="105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75" w:hanging="525"/>
      </w:pPr>
      <w:rPr>
        <w:rFonts w:hint="default"/>
        <w:lang w:val="zh-CN" w:eastAsia="zh-CN" w:bidi="zh-CN"/>
      </w:rPr>
    </w:lvl>
    <w:lvl w:ilvl="2" w:tentative="0">
      <w:start w:val="0"/>
      <w:numFmt w:val="bullet"/>
      <w:lvlText w:val="•"/>
      <w:lvlJc w:val="left"/>
      <w:pPr>
        <w:ind w:left="2890" w:hanging="525"/>
      </w:pPr>
      <w:rPr>
        <w:rFonts w:hint="default"/>
        <w:lang w:val="zh-CN" w:eastAsia="zh-CN" w:bidi="zh-CN"/>
      </w:rPr>
    </w:lvl>
    <w:lvl w:ilvl="3" w:tentative="0">
      <w:start w:val="0"/>
      <w:numFmt w:val="bullet"/>
      <w:lvlText w:val="•"/>
      <w:lvlJc w:val="left"/>
      <w:pPr>
        <w:ind w:left="3805" w:hanging="525"/>
      </w:pPr>
      <w:rPr>
        <w:rFonts w:hint="default"/>
        <w:lang w:val="zh-CN" w:eastAsia="zh-CN" w:bidi="zh-CN"/>
      </w:rPr>
    </w:lvl>
    <w:lvl w:ilvl="4" w:tentative="0">
      <w:start w:val="0"/>
      <w:numFmt w:val="bullet"/>
      <w:lvlText w:val="•"/>
      <w:lvlJc w:val="left"/>
      <w:pPr>
        <w:ind w:left="4720" w:hanging="525"/>
      </w:pPr>
      <w:rPr>
        <w:rFonts w:hint="default"/>
        <w:lang w:val="zh-CN" w:eastAsia="zh-CN" w:bidi="zh-CN"/>
      </w:rPr>
    </w:lvl>
    <w:lvl w:ilvl="5" w:tentative="0">
      <w:start w:val="0"/>
      <w:numFmt w:val="bullet"/>
      <w:lvlText w:val="•"/>
      <w:lvlJc w:val="left"/>
      <w:pPr>
        <w:ind w:left="5635" w:hanging="525"/>
      </w:pPr>
      <w:rPr>
        <w:rFonts w:hint="default"/>
        <w:lang w:val="zh-CN" w:eastAsia="zh-CN" w:bidi="zh-CN"/>
      </w:rPr>
    </w:lvl>
    <w:lvl w:ilvl="6" w:tentative="0">
      <w:start w:val="0"/>
      <w:numFmt w:val="bullet"/>
      <w:lvlText w:val="•"/>
      <w:lvlJc w:val="left"/>
      <w:pPr>
        <w:ind w:left="6550" w:hanging="525"/>
      </w:pPr>
      <w:rPr>
        <w:rFonts w:hint="default"/>
        <w:lang w:val="zh-CN" w:eastAsia="zh-CN" w:bidi="zh-CN"/>
      </w:rPr>
    </w:lvl>
    <w:lvl w:ilvl="7" w:tentative="0">
      <w:start w:val="0"/>
      <w:numFmt w:val="bullet"/>
      <w:lvlText w:val="•"/>
      <w:lvlJc w:val="left"/>
      <w:pPr>
        <w:ind w:left="7465" w:hanging="525"/>
      </w:pPr>
      <w:rPr>
        <w:rFonts w:hint="default"/>
        <w:lang w:val="zh-CN" w:eastAsia="zh-CN" w:bidi="zh-CN"/>
      </w:rPr>
    </w:lvl>
    <w:lvl w:ilvl="8" w:tentative="0">
      <w:start w:val="0"/>
      <w:numFmt w:val="bullet"/>
      <w:lvlText w:val="•"/>
      <w:lvlJc w:val="left"/>
      <w:pPr>
        <w:ind w:left="8380" w:hanging="525"/>
      </w:pPr>
      <w:rPr>
        <w:rFonts w:hint="default"/>
        <w:lang w:val="zh-CN" w:eastAsia="zh-CN" w:bidi="zh-CN"/>
      </w:rPr>
    </w:lvl>
  </w:abstractNum>
  <w:abstractNum w:abstractNumId="16">
    <w:nsid w:val="2470EC97"/>
    <w:multiLevelType w:val="multilevel"/>
    <w:tmpl w:val="2470EC97"/>
    <w:lvl w:ilvl="0" w:tentative="0">
      <w:start w:val="3"/>
      <w:numFmt w:val="decimal"/>
      <w:lvlText w:val="（%1）"/>
      <w:lvlJc w:val="left"/>
      <w:pPr>
        <w:ind w:left="105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75" w:hanging="525"/>
      </w:pPr>
      <w:rPr>
        <w:rFonts w:hint="default"/>
        <w:lang w:val="zh-CN" w:eastAsia="zh-CN" w:bidi="zh-CN"/>
      </w:rPr>
    </w:lvl>
    <w:lvl w:ilvl="2" w:tentative="0">
      <w:start w:val="0"/>
      <w:numFmt w:val="bullet"/>
      <w:lvlText w:val="•"/>
      <w:lvlJc w:val="left"/>
      <w:pPr>
        <w:ind w:left="2890" w:hanging="525"/>
      </w:pPr>
      <w:rPr>
        <w:rFonts w:hint="default"/>
        <w:lang w:val="zh-CN" w:eastAsia="zh-CN" w:bidi="zh-CN"/>
      </w:rPr>
    </w:lvl>
    <w:lvl w:ilvl="3" w:tentative="0">
      <w:start w:val="0"/>
      <w:numFmt w:val="bullet"/>
      <w:lvlText w:val="•"/>
      <w:lvlJc w:val="left"/>
      <w:pPr>
        <w:ind w:left="3805" w:hanging="525"/>
      </w:pPr>
      <w:rPr>
        <w:rFonts w:hint="default"/>
        <w:lang w:val="zh-CN" w:eastAsia="zh-CN" w:bidi="zh-CN"/>
      </w:rPr>
    </w:lvl>
    <w:lvl w:ilvl="4" w:tentative="0">
      <w:start w:val="0"/>
      <w:numFmt w:val="bullet"/>
      <w:lvlText w:val="•"/>
      <w:lvlJc w:val="left"/>
      <w:pPr>
        <w:ind w:left="4720" w:hanging="525"/>
      </w:pPr>
      <w:rPr>
        <w:rFonts w:hint="default"/>
        <w:lang w:val="zh-CN" w:eastAsia="zh-CN" w:bidi="zh-CN"/>
      </w:rPr>
    </w:lvl>
    <w:lvl w:ilvl="5" w:tentative="0">
      <w:start w:val="0"/>
      <w:numFmt w:val="bullet"/>
      <w:lvlText w:val="•"/>
      <w:lvlJc w:val="left"/>
      <w:pPr>
        <w:ind w:left="5635" w:hanging="525"/>
      </w:pPr>
      <w:rPr>
        <w:rFonts w:hint="default"/>
        <w:lang w:val="zh-CN" w:eastAsia="zh-CN" w:bidi="zh-CN"/>
      </w:rPr>
    </w:lvl>
    <w:lvl w:ilvl="6" w:tentative="0">
      <w:start w:val="0"/>
      <w:numFmt w:val="bullet"/>
      <w:lvlText w:val="•"/>
      <w:lvlJc w:val="left"/>
      <w:pPr>
        <w:ind w:left="6550" w:hanging="525"/>
      </w:pPr>
      <w:rPr>
        <w:rFonts w:hint="default"/>
        <w:lang w:val="zh-CN" w:eastAsia="zh-CN" w:bidi="zh-CN"/>
      </w:rPr>
    </w:lvl>
    <w:lvl w:ilvl="7" w:tentative="0">
      <w:start w:val="0"/>
      <w:numFmt w:val="bullet"/>
      <w:lvlText w:val="•"/>
      <w:lvlJc w:val="left"/>
      <w:pPr>
        <w:ind w:left="7465" w:hanging="525"/>
      </w:pPr>
      <w:rPr>
        <w:rFonts w:hint="default"/>
        <w:lang w:val="zh-CN" w:eastAsia="zh-CN" w:bidi="zh-CN"/>
      </w:rPr>
    </w:lvl>
    <w:lvl w:ilvl="8" w:tentative="0">
      <w:start w:val="0"/>
      <w:numFmt w:val="bullet"/>
      <w:lvlText w:val="•"/>
      <w:lvlJc w:val="left"/>
      <w:pPr>
        <w:ind w:left="8380" w:hanging="525"/>
      </w:pPr>
      <w:rPr>
        <w:rFonts w:hint="default"/>
        <w:lang w:val="zh-CN" w:eastAsia="zh-CN" w:bidi="zh-CN"/>
      </w:rPr>
    </w:lvl>
  </w:abstractNum>
  <w:abstractNum w:abstractNumId="17">
    <w:nsid w:val="25B654F3"/>
    <w:multiLevelType w:val="multilevel"/>
    <w:tmpl w:val="25B654F3"/>
    <w:lvl w:ilvl="0" w:tentative="0">
      <w:start w:val="1"/>
      <w:numFmt w:val="decimal"/>
      <w:lvlText w:val="%1."/>
      <w:lvlJc w:val="left"/>
      <w:pPr>
        <w:ind w:left="844" w:hanging="317"/>
        <w:jc w:val="left"/>
      </w:pPr>
      <w:rPr>
        <w:rFonts w:hint="default" w:ascii="宋体" w:hAnsi="宋体" w:eastAsia="宋体" w:cs="宋体"/>
        <w:b/>
        <w:bCs/>
        <w:spacing w:val="0"/>
        <w:w w:val="98"/>
        <w:sz w:val="21"/>
        <w:szCs w:val="21"/>
        <w:lang w:val="zh-CN" w:eastAsia="zh-CN" w:bidi="zh-CN"/>
      </w:rPr>
    </w:lvl>
    <w:lvl w:ilvl="1" w:tentative="0">
      <w:start w:val="0"/>
      <w:numFmt w:val="bullet"/>
      <w:lvlText w:val="•"/>
      <w:lvlJc w:val="left"/>
      <w:pPr>
        <w:ind w:left="1777" w:hanging="317"/>
      </w:pPr>
      <w:rPr>
        <w:rFonts w:hint="default"/>
        <w:lang w:val="zh-CN" w:eastAsia="zh-CN" w:bidi="zh-CN"/>
      </w:rPr>
    </w:lvl>
    <w:lvl w:ilvl="2" w:tentative="0">
      <w:start w:val="0"/>
      <w:numFmt w:val="bullet"/>
      <w:lvlText w:val="•"/>
      <w:lvlJc w:val="left"/>
      <w:pPr>
        <w:ind w:left="2714" w:hanging="317"/>
      </w:pPr>
      <w:rPr>
        <w:rFonts w:hint="default"/>
        <w:lang w:val="zh-CN" w:eastAsia="zh-CN" w:bidi="zh-CN"/>
      </w:rPr>
    </w:lvl>
    <w:lvl w:ilvl="3" w:tentative="0">
      <w:start w:val="0"/>
      <w:numFmt w:val="bullet"/>
      <w:lvlText w:val="•"/>
      <w:lvlJc w:val="left"/>
      <w:pPr>
        <w:ind w:left="3651" w:hanging="317"/>
      </w:pPr>
      <w:rPr>
        <w:rFonts w:hint="default"/>
        <w:lang w:val="zh-CN" w:eastAsia="zh-CN" w:bidi="zh-CN"/>
      </w:rPr>
    </w:lvl>
    <w:lvl w:ilvl="4" w:tentative="0">
      <w:start w:val="0"/>
      <w:numFmt w:val="bullet"/>
      <w:lvlText w:val="•"/>
      <w:lvlJc w:val="left"/>
      <w:pPr>
        <w:ind w:left="4588" w:hanging="317"/>
      </w:pPr>
      <w:rPr>
        <w:rFonts w:hint="default"/>
        <w:lang w:val="zh-CN" w:eastAsia="zh-CN" w:bidi="zh-CN"/>
      </w:rPr>
    </w:lvl>
    <w:lvl w:ilvl="5" w:tentative="0">
      <w:start w:val="0"/>
      <w:numFmt w:val="bullet"/>
      <w:lvlText w:val="•"/>
      <w:lvlJc w:val="left"/>
      <w:pPr>
        <w:ind w:left="5525" w:hanging="317"/>
      </w:pPr>
      <w:rPr>
        <w:rFonts w:hint="default"/>
        <w:lang w:val="zh-CN" w:eastAsia="zh-CN" w:bidi="zh-CN"/>
      </w:rPr>
    </w:lvl>
    <w:lvl w:ilvl="6" w:tentative="0">
      <w:start w:val="0"/>
      <w:numFmt w:val="bullet"/>
      <w:lvlText w:val="•"/>
      <w:lvlJc w:val="left"/>
      <w:pPr>
        <w:ind w:left="6462" w:hanging="317"/>
      </w:pPr>
      <w:rPr>
        <w:rFonts w:hint="default"/>
        <w:lang w:val="zh-CN" w:eastAsia="zh-CN" w:bidi="zh-CN"/>
      </w:rPr>
    </w:lvl>
    <w:lvl w:ilvl="7" w:tentative="0">
      <w:start w:val="0"/>
      <w:numFmt w:val="bullet"/>
      <w:lvlText w:val="•"/>
      <w:lvlJc w:val="left"/>
      <w:pPr>
        <w:ind w:left="7399" w:hanging="317"/>
      </w:pPr>
      <w:rPr>
        <w:rFonts w:hint="default"/>
        <w:lang w:val="zh-CN" w:eastAsia="zh-CN" w:bidi="zh-CN"/>
      </w:rPr>
    </w:lvl>
    <w:lvl w:ilvl="8" w:tentative="0">
      <w:start w:val="0"/>
      <w:numFmt w:val="bullet"/>
      <w:lvlText w:val="•"/>
      <w:lvlJc w:val="left"/>
      <w:pPr>
        <w:ind w:left="8336" w:hanging="317"/>
      </w:pPr>
      <w:rPr>
        <w:rFonts w:hint="default"/>
        <w:lang w:val="zh-CN" w:eastAsia="zh-CN" w:bidi="zh-CN"/>
      </w:rPr>
    </w:lvl>
  </w:abstractNum>
  <w:abstractNum w:abstractNumId="18">
    <w:nsid w:val="2A8F537B"/>
    <w:multiLevelType w:val="multilevel"/>
    <w:tmpl w:val="2A8F537B"/>
    <w:lvl w:ilvl="0" w:tentative="0">
      <w:start w:val="3"/>
      <w:numFmt w:val="decimal"/>
      <w:lvlText w:val="%1."/>
      <w:lvlJc w:val="left"/>
      <w:pPr>
        <w:ind w:left="108" w:hanging="212"/>
        <w:jc w:val="left"/>
      </w:pPr>
      <w:rPr>
        <w:rFonts w:hint="default" w:ascii="宋体" w:hAnsi="宋体" w:eastAsia="宋体" w:cs="宋体"/>
        <w:b/>
        <w:bCs/>
        <w:spacing w:val="-4"/>
        <w:w w:val="98"/>
        <w:sz w:val="19"/>
        <w:szCs w:val="19"/>
        <w:lang w:val="zh-CN" w:eastAsia="zh-CN" w:bidi="zh-CN"/>
      </w:rPr>
    </w:lvl>
    <w:lvl w:ilvl="1" w:tentative="0">
      <w:start w:val="0"/>
      <w:numFmt w:val="bullet"/>
      <w:lvlText w:val="•"/>
      <w:lvlJc w:val="left"/>
      <w:pPr>
        <w:ind w:left="1111" w:hanging="212"/>
      </w:pPr>
      <w:rPr>
        <w:rFonts w:hint="default"/>
        <w:lang w:val="zh-CN" w:eastAsia="zh-CN" w:bidi="zh-CN"/>
      </w:rPr>
    </w:lvl>
    <w:lvl w:ilvl="2" w:tentative="0">
      <w:start w:val="0"/>
      <w:numFmt w:val="bullet"/>
      <w:lvlText w:val="•"/>
      <w:lvlJc w:val="left"/>
      <w:pPr>
        <w:ind w:left="2122" w:hanging="212"/>
      </w:pPr>
      <w:rPr>
        <w:rFonts w:hint="default"/>
        <w:lang w:val="zh-CN" w:eastAsia="zh-CN" w:bidi="zh-CN"/>
      </w:rPr>
    </w:lvl>
    <w:lvl w:ilvl="3" w:tentative="0">
      <w:start w:val="0"/>
      <w:numFmt w:val="bullet"/>
      <w:lvlText w:val="•"/>
      <w:lvlJc w:val="left"/>
      <w:pPr>
        <w:ind w:left="3133" w:hanging="212"/>
      </w:pPr>
      <w:rPr>
        <w:rFonts w:hint="default"/>
        <w:lang w:val="zh-CN" w:eastAsia="zh-CN" w:bidi="zh-CN"/>
      </w:rPr>
    </w:lvl>
    <w:lvl w:ilvl="4" w:tentative="0">
      <w:start w:val="0"/>
      <w:numFmt w:val="bullet"/>
      <w:lvlText w:val="•"/>
      <w:lvlJc w:val="left"/>
      <w:pPr>
        <w:ind w:left="4144" w:hanging="212"/>
      </w:pPr>
      <w:rPr>
        <w:rFonts w:hint="default"/>
        <w:lang w:val="zh-CN" w:eastAsia="zh-CN" w:bidi="zh-CN"/>
      </w:rPr>
    </w:lvl>
    <w:lvl w:ilvl="5" w:tentative="0">
      <w:start w:val="0"/>
      <w:numFmt w:val="bullet"/>
      <w:lvlText w:val="•"/>
      <w:lvlJc w:val="left"/>
      <w:pPr>
        <w:ind w:left="5155" w:hanging="212"/>
      </w:pPr>
      <w:rPr>
        <w:rFonts w:hint="default"/>
        <w:lang w:val="zh-CN" w:eastAsia="zh-CN" w:bidi="zh-CN"/>
      </w:rPr>
    </w:lvl>
    <w:lvl w:ilvl="6" w:tentative="0">
      <w:start w:val="0"/>
      <w:numFmt w:val="bullet"/>
      <w:lvlText w:val="•"/>
      <w:lvlJc w:val="left"/>
      <w:pPr>
        <w:ind w:left="6166" w:hanging="212"/>
      </w:pPr>
      <w:rPr>
        <w:rFonts w:hint="default"/>
        <w:lang w:val="zh-CN" w:eastAsia="zh-CN" w:bidi="zh-CN"/>
      </w:rPr>
    </w:lvl>
    <w:lvl w:ilvl="7" w:tentative="0">
      <w:start w:val="0"/>
      <w:numFmt w:val="bullet"/>
      <w:lvlText w:val="•"/>
      <w:lvlJc w:val="left"/>
      <w:pPr>
        <w:ind w:left="7177" w:hanging="212"/>
      </w:pPr>
      <w:rPr>
        <w:rFonts w:hint="default"/>
        <w:lang w:val="zh-CN" w:eastAsia="zh-CN" w:bidi="zh-CN"/>
      </w:rPr>
    </w:lvl>
    <w:lvl w:ilvl="8" w:tentative="0">
      <w:start w:val="0"/>
      <w:numFmt w:val="bullet"/>
      <w:lvlText w:val="•"/>
      <w:lvlJc w:val="left"/>
      <w:pPr>
        <w:ind w:left="8188" w:hanging="212"/>
      </w:pPr>
      <w:rPr>
        <w:rFonts w:hint="default"/>
        <w:lang w:val="zh-CN" w:eastAsia="zh-CN" w:bidi="zh-CN"/>
      </w:rPr>
    </w:lvl>
  </w:abstractNum>
  <w:abstractNum w:abstractNumId="19">
    <w:nsid w:val="39A0D9AC"/>
    <w:multiLevelType w:val="multilevel"/>
    <w:tmpl w:val="39A0D9AC"/>
    <w:lvl w:ilvl="0" w:tentative="0">
      <w:start w:val="1"/>
      <w:numFmt w:val="decimal"/>
      <w:lvlText w:val="%1."/>
      <w:lvlJc w:val="left"/>
      <w:pPr>
        <w:ind w:left="799"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1741" w:hanging="212"/>
      </w:pPr>
      <w:rPr>
        <w:rFonts w:hint="default"/>
        <w:lang w:val="zh-CN" w:eastAsia="zh-CN" w:bidi="zh-CN"/>
      </w:rPr>
    </w:lvl>
    <w:lvl w:ilvl="2" w:tentative="0">
      <w:start w:val="0"/>
      <w:numFmt w:val="bullet"/>
      <w:lvlText w:val="•"/>
      <w:lvlJc w:val="left"/>
      <w:pPr>
        <w:ind w:left="2682" w:hanging="212"/>
      </w:pPr>
      <w:rPr>
        <w:rFonts w:hint="default"/>
        <w:lang w:val="zh-CN" w:eastAsia="zh-CN" w:bidi="zh-CN"/>
      </w:rPr>
    </w:lvl>
    <w:lvl w:ilvl="3" w:tentative="0">
      <w:start w:val="0"/>
      <w:numFmt w:val="bullet"/>
      <w:lvlText w:val="•"/>
      <w:lvlJc w:val="left"/>
      <w:pPr>
        <w:ind w:left="3623" w:hanging="212"/>
      </w:pPr>
      <w:rPr>
        <w:rFonts w:hint="default"/>
        <w:lang w:val="zh-CN" w:eastAsia="zh-CN" w:bidi="zh-CN"/>
      </w:rPr>
    </w:lvl>
    <w:lvl w:ilvl="4" w:tentative="0">
      <w:start w:val="0"/>
      <w:numFmt w:val="bullet"/>
      <w:lvlText w:val="•"/>
      <w:lvlJc w:val="left"/>
      <w:pPr>
        <w:ind w:left="4564" w:hanging="212"/>
      </w:pPr>
      <w:rPr>
        <w:rFonts w:hint="default"/>
        <w:lang w:val="zh-CN" w:eastAsia="zh-CN" w:bidi="zh-CN"/>
      </w:rPr>
    </w:lvl>
    <w:lvl w:ilvl="5" w:tentative="0">
      <w:start w:val="0"/>
      <w:numFmt w:val="bullet"/>
      <w:lvlText w:val="•"/>
      <w:lvlJc w:val="left"/>
      <w:pPr>
        <w:ind w:left="5505" w:hanging="212"/>
      </w:pPr>
      <w:rPr>
        <w:rFonts w:hint="default"/>
        <w:lang w:val="zh-CN" w:eastAsia="zh-CN" w:bidi="zh-CN"/>
      </w:rPr>
    </w:lvl>
    <w:lvl w:ilvl="6" w:tentative="0">
      <w:start w:val="0"/>
      <w:numFmt w:val="bullet"/>
      <w:lvlText w:val="•"/>
      <w:lvlJc w:val="left"/>
      <w:pPr>
        <w:ind w:left="6446" w:hanging="212"/>
      </w:pPr>
      <w:rPr>
        <w:rFonts w:hint="default"/>
        <w:lang w:val="zh-CN" w:eastAsia="zh-CN" w:bidi="zh-CN"/>
      </w:rPr>
    </w:lvl>
    <w:lvl w:ilvl="7" w:tentative="0">
      <w:start w:val="0"/>
      <w:numFmt w:val="bullet"/>
      <w:lvlText w:val="•"/>
      <w:lvlJc w:val="left"/>
      <w:pPr>
        <w:ind w:left="7387" w:hanging="212"/>
      </w:pPr>
      <w:rPr>
        <w:rFonts w:hint="default"/>
        <w:lang w:val="zh-CN" w:eastAsia="zh-CN" w:bidi="zh-CN"/>
      </w:rPr>
    </w:lvl>
    <w:lvl w:ilvl="8" w:tentative="0">
      <w:start w:val="0"/>
      <w:numFmt w:val="bullet"/>
      <w:lvlText w:val="•"/>
      <w:lvlJc w:val="left"/>
      <w:pPr>
        <w:ind w:left="8328" w:hanging="212"/>
      </w:pPr>
      <w:rPr>
        <w:rFonts w:hint="default"/>
        <w:lang w:val="zh-CN" w:eastAsia="zh-CN" w:bidi="zh-CN"/>
      </w:rPr>
    </w:lvl>
  </w:abstractNum>
  <w:abstractNum w:abstractNumId="20">
    <w:nsid w:val="46A08BB8"/>
    <w:multiLevelType w:val="multilevel"/>
    <w:tmpl w:val="46A08BB8"/>
    <w:lvl w:ilvl="0" w:tentative="0">
      <w:start w:val="1"/>
      <w:numFmt w:val="decimal"/>
      <w:lvlText w:val="（%1）"/>
      <w:lvlJc w:val="left"/>
      <w:pPr>
        <w:ind w:left="105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75" w:hanging="525"/>
      </w:pPr>
      <w:rPr>
        <w:rFonts w:hint="default"/>
        <w:lang w:val="zh-CN" w:eastAsia="zh-CN" w:bidi="zh-CN"/>
      </w:rPr>
    </w:lvl>
    <w:lvl w:ilvl="2" w:tentative="0">
      <w:start w:val="0"/>
      <w:numFmt w:val="bullet"/>
      <w:lvlText w:val="•"/>
      <w:lvlJc w:val="left"/>
      <w:pPr>
        <w:ind w:left="2890" w:hanging="525"/>
      </w:pPr>
      <w:rPr>
        <w:rFonts w:hint="default"/>
        <w:lang w:val="zh-CN" w:eastAsia="zh-CN" w:bidi="zh-CN"/>
      </w:rPr>
    </w:lvl>
    <w:lvl w:ilvl="3" w:tentative="0">
      <w:start w:val="0"/>
      <w:numFmt w:val="bullet"/>
      <w:lvlText w:val="•"/>
      <w:lvlJc w:val="left"/>
      <w:pPr>
        <w:ind w:left="3805" w:hanging="525"/>
      </w:pPr>
      <w:rPr>
        <w:rFonts w:hint="default"/>
        <w:lang w:val="zh-CN" w:eastAsia="zh-CN" w:bidi="zh-CN"/>
      </w:rPr>
    </w:lvl>
    <w:lvl w:ilvl="4" w:tentative="0">
      <w:start w:val="0"/>
      <w:numFmt w:val="bullet"/>
      <w:lvlText w:val="•"/>
      <w:lvlJc w:val="left"/>
      <w:pPr>
        <w:ind w:left="4720" w:hanging="525"/>
      </w:pPr>
      <w:rPr>
        <w:rFonts w:hint="default"/>
        <w:lang w:val="zh-CN" w:eastAsia="zh-CN" w:bidi="zh-CN"/>
      </w:rPr>
    </w:lvl>
    <w:lvl w:ilvl="5" w:tentative="0">
      <w:start w:val="0"/>
      <w:numFmt w:val="bullet"/>
      <w:lvlText w:val="•"/>
      <w:lvlJc w:val="left"/>
      <w:pPr>
        <w:ind w:left="5635" w:hanging="525"/>
      </w:pPr>
      <w:rPr>
        <w:rFonts w:hint="default"/>
        <w:lang w:val="zh-CN" w:eastAsia="zh-CN" w:bidi="zh-CN"/>
      </w:rPr>
    </w:lvl>
    <w:lvl w:ilvl="6" w:tentative="0">
      <w:start w:val="0"/>
      <w:numFmt w:val="bullet"/>
      <w:lvlText w:val="•"/>
      <w:lvlJc w:val="left"/>
      <w:pPr>
        <w:ind w:left="6550" w:hanging="525"/>
      </w:pPr>
      <w:rPr>
        <w:rFonts w:hint="default"/>
        <w:lang w:val="zh-CN" w:eastAsia="zh-CN" w:bidi="zh-CN"/>
      </w:rPr>
    </w:lvl>
    <w:lvl w:ilvl="7" w:tentative="0">
      <w:start w:val="0"/>
      <w:numFmt w:val="bullet"/>
      <w:lvlText w:val="•"/>
      <w:lvlJc w:val="left"/>
      <w:pPr>
        <w:ind w:left="7465" w:hanging="525"/>
      </w:pPr>
      <w:rPr>
        <w:rFonts w:hint="default"/>
        <w:lang w:val="zh-CN" w:eastAsia="zh-CN" w:bidi="zh-CN"/>
      </w:rPr>
    </w:lvl>
    <w:lvl w:ilvl="8" w:tentative="0">
      <w:start w:val="0"/>
      <w:numFmt w:val="bullet"/>
      <w:lvlText w:val="•"/>
      <w:lvlJc w:val="left"/>
      <w:pPr>
        <w:ind w:left="8380" w:hanging="525"/>
      </w:pPr>
      <w:rPr>
        <w:rFonts w:hint="default"/>
        <w:lang w:val="zh-CN" w:eastAsia="zh-CN" w:bidi="zh-CN"/>
      </w:rPr>
    </w:lvl>
  </w:abstractNum>
  <w:abstractNum w:abstractNumId="21">
    <w:nsid w:val="4C1BAE26"/>
    <w:multiLevelType w:val="multilevel"/>
    <w:tmpl w:val="4C1BAE26"/>
    <w:lvl w:ilvl="0" w:tentative="0">
      <w:start w:val="5"/>
      <w:numFmt w:val="decimal"/>
      <w:lvlText w:val="%1."/>
      <w:lvlJc w:val="left"/>
      <w:pPr>
        <w:ind w:left="844" w:hanging="317"/>
        <w:jc w:val="left"/>
      </w:pPr>
      <w:rPr>
        <w:rFonts w:hint="default" w:ascii="宋体" w:hAnsi="宋体" w:eastAsia="宋体" w:cs="宋体"/>
        <w:b/>
        <w:bCs/>
        <w:spacing w:val="0"/>
        <w:w w:val="98"/>
        <w:sz w:val="21"/>
        <w:szCs w:val="21"/>
        <w:lang w:val="zh-CN" w:eastAsia="zh-CN" w:bidi="zh-CN"/>
      </w:rPr>
    </w:lvl>
    <w:lvl w:ilvl="1" w:tentative="0">
      <w:start w:val="0"/>
      <w:numFmt w:val="bullet"/>
      <w:lvlText w:val="•"/>
      <w:lvlJc w:val="left"/>
      <w:pPr>
        <w:ind w:left="1777" w:hanging="317"/>
      </w:pPr>
      <w:rPr>
        <w:rFonts w:hint="default"/>
        <w:lang w:val="zh-CN" w:eastAsia="zh-CN" w:bidi="zh-CN"/>
      </w:rPr>
    </w:lvl>
    <w:lvl w:ilvl="2" w:tentative="0">
      <w:start w:val="0"/>
      <w:numFmt w:val="bullet"/>
      <w:lvlText w:val="•"/>
      <w:lvlJc w:val="left"/>
      <w:pPr>
        <w:ind w:left="2714" w:hanging="317"/>
      </w:pPr>
      <w:rPr>
        <w:rFonts w:hint="default"/>
        <w:lang w:val="zh-CN" w:eastAsia="zh-CN" w:bidi="zh-CN"/>
      </w:rPr>
    </w:lvl>
    <w:lvl w:ilvl="3" w:tentative="0">
      <w:start w:val="0"/>
      <w:numFmt w:val="bullet"/>
      <w:lvlText w:val="•"/>
      <w:lvlJc w:val="left"/>
      <w:pPr>
        <w:ind w:left="3651" w:hanging="317"/>
      </w:pPr>
      <w:rPr>
        <w:rFonts w:hint="default"/>
        <w:lang w:val="zh-CN" w:eastAsia="zh-CN" w:bidi="zh-CN"/>
      </w:rPr>
    </w:lvl>
    <w:lvl w:ilvl="4" w:tentative="0">
      <w:start w:val="0"/>
      <w:numFmt w:val="bullet"/>
      <w:lvlText w:val="•"/>
      <w:lvlJc w:val="left"/>
      <w:pPr>
        <w:ind w:left="4588" w:hanging="317"/>
      </w:pPr>
      <w:rPr>
        <w:rFonts w:hint="default"/>
        <w:lang w:val="zh-CN" w:eastAsia="zh-CN" w:bidi="zh-CN"/>
      </w:rPr>
    </w:lvl>
    <w:lvl w:ilvl="5" w:tentative="0">
      <w:start w:val="0"/>
      <w:numFmt w:val="bullet"/>
      <w:lvlText w:val="•"/>
      <w:lvlJc w:val="left"/>
      <w:pPr>
        <w:ind w:left="5525" w:hanging="317"/>
      </w:pPr>
      <w:rPr>
        <w:rFonts w:hint="default"/>
        <w:lang w:val="zh-CN" w:eastAsia="zh-CN" w:bidi="zh-CN"/>
      </w:rPr>
    </w:lvl>
    <w:lvl w:ilvl="6" w:tentative="0">
      <w:start w:val="0"/>
      <w:numFmt w:val="bullet"/>
      <w:lvlText w:val="•"/>
      <w:lvlJc w:val="left"/>
      <w:pPr>
        <w:ind w:left="6462" w:hanging="317"/>
      </w:pPr>
      <w:rPr>
        <w:rFonts w:hint="default"/>
        <w:lang w:val="zh-CN" w:eastAsia="zh-CN" w:bidi="zh-CN"/>
      </w:rPr>
    </w:lvl>
    <w:lvl w:ilvl="7" w:tentative="0">
      <w:start w:val="0"/>
      <w:numFmt w:val="bullet"/>
      <w:lvlText w:val="•"/>
      <w:lvlJc w:val="left"/>
      <w:pPr>
        <w:ind w:left="7399" w:hanging="317"/>
      </w:pPr>
      <w:rPr>
        <w:rFonts w:hint="default"/>
        <w:lang w:val="zh-CN" w:eastAsia="zh-CN" w:bidi="zh-CN"/>
      </w:rPr>
    </w:lvl>
    <w:lvl w:ilvl="8" w:tentative="0">
      <w:start w:val="0"/>
      <w:numFmt w:val="bullet"/>
      <w:lvlText w:val="•"/>
      <w:lvlJc w:val="left"/>
      <w:pPr>
        <w:ind w:left="8336" w:hanging="317"/>
      </w:pPr>
      <w:rPr>
        <w:rFonts w:hint="default"/>
        <w:lang w:val="zh-CN" w:eastAsia="zh-CN" w:bidi="zh-CN"/>
      </w:rPr>
    </w:lvl>
  </w:abstractNum>
  <w:abstractNum w:abstractNumId="22">
    <w:nsid w:val="4D4DC07F"/>
    <w:multiLevelType w:val="multilevel"/>
    <w:tmpl w:val="4D4DC07F"/>
    <w:lvl w:ilvl="0" w:tentative="0">
      <w:start w:val="1"/>
      <w:numFmt w:val="decimal"/>
      <w:lvlText w:val="%1."/>
      <w:lvlJc w:val="left"/>
      <w:pPr>
        <w:ind w:left="739"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1687" w:hanging="212"/>
      </w:pPr>
      <w:rPr>
        <w:rFonts w:hint="default"/>
        <w:lang w:val="zh-CN" w:eastAsia="zh-CN" w:bidi="zh-CN"/>
      </w:rPr>
    </w:lvl>
    <w:lvl w:ilvl="2" w:tentative="0">
      <w:start w:val="0"/>
      <w:numFmt w:val="bullet"/>
      <w:lvlText w:val="•"/>
      <w:lvlJc w:val="left"/>
      <w:pPr>
        <w:ind w:left="2634" w:hanging="212"/>
      </w:pPr>
      <w:rPr>
        <w:rFonts w:hint="default"/>
        <w:lang w:val="zh-CN" w:eastAsia="zh-CN" w:bidi="zh-CN"/>
      </w:rPr>
    </w:lvl>
    <w:lvl w:ilvl="3" w:tentative="0">
      <w:start w:val="0"/>
      <w:numFmt w:val="bullet"/>
      <w:lvlText w:val="•"/>
      <w:lvlJc w:val="left"/>
      <w:pPr>
        <w:ind w:left="3581" w:hanging="212"/>
      </w:pPr>
      <w:rPr>
        <w:rFonts w:hint="default"/>
        <w:lang w:val="zh-CN" w:eastAsia="zh-CN" w:bidi="zh-CN"/>
      </w:rPr>
    </w:lvl>
    <w:lvl w:ilvl="4" w:tentative="0">
      <w:start w:val="0"/>
      <w:numFmt w:val="bullet"/>
      <w:lvlText w:val="•"/>
      <w:lvlJc w:val="left"/>
      <w:pPr>
        <w:ind w:left="4528" w:hanging="212"/>
      </w:pPr>
      <w:rPr>
        <w:rFonts w:hint="default"/>
        <w:lang w:val="zh-CN" w:eastAsia="zh-CN" w:bidi="zh-CN"/>
      </w:rPr>
    </w:lvl>
    <w:lvl w:ilvl="5" w:tentative="0">
      <w:start w:val="0"/>
      <w:numFmt w:val="bullet"/>
      <w:lvlText w:val="•"/>
      <w:lvlJc w:val="left"/>
      <w:pPr>
        <w:ind w:left="5475" w:hanging="212"/>
      </w:pPr>
      <w:rPr>
        <w:rFonts w:hint="default"/>
        <w:lang w:val="zh-CN" w:eastAsia="zh-CN" w:bidi="zh-CN"/>
      </w:rPr>
    </w:lvl>
    <w:lvl w:ilvl="6" w:tentative="0">
      <w:start w:val="0"/>
      <w:numFmt w:val="bullet"/>
      <w:lvlText w:val="•"/>
      <w:lvlJc w:val="left"/>
      <w:pPr>
        <w:ind w:left="6422" w:hanging="212"/>
      </w:pPr>
      <w:rPr>
        <w:rFonts w:hint="default"/>
        <w:lang w:val="zh-CN" w:eastAsia="zh-CN" w:bidi="zh-CN"/>
      </w:rPr>
    </w:lvl>
    <w:lvl w:ilvl="7" w:tentative="0">
      <w:start w:val="0"/>
      <w:numFmt w:val="bullet"/>
      <w:lvlText w:val="•"/>
      <w:lvlJc w:val="left"/>
      <w:pPr>
        <w:ind w:left="7369" w:hanging="212"/>
      </w:pPr>
      <w:rPr>
        <w:rFonts w:hint="default"/>
        <w:lang w:val="zh-CN" w:eastAsia="zh-CN" w:bidi="zh-CN"/>
      </w:rPr>
    </w:lvl>
    <w:lvl w:ilvl="8" w:tentative="0">
      <w:start w:val="0"/>
      <w:numFmt w:val="bullet"/>
      <w:lvlText w:val="•"/>
      <w:lvlJc w:val="left"/>
      <w:pPr>
        <w:ind w:left="8316" w:hanging="212"/>
      </w:pPr>
      <w:rPr>
        <w:rFonts w:hint="default"/>
        <w:lang w:val="zh-CN" w:eastAsia="zh-CN" w:bidi="zh-CN"/>
      </w:rPr>
    </w:lvl>
  </w:abstractNum>
  <w:abstractNum w:abstractNumId="23">
    <w:nsid w:val="58765686"/>
    <w:multiLevelType w:val="multilevel"/>
    <w:tmpl w:val="58765686"/>
    <w:lvl w:ilvl="0" w:tentative="0">
      <w:start w:val="1"/>
      <w:numFmt w:val="decimal"/>
      <w:lvlText w:val="（%1）"/>
      <w:lvlJc w:val="left"/>
      <w:pPr>
        <w:ind w:left="105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75" w:hanging="525"/>
      </w:pPr>
      <w:rPr>
        <w:rFonts w:hint="default"/>
        <w:lang w:val="zh-CN" w:eastAsia="zh-CN" w:bidi="zh-CN"/>
      </w:rPr>
    </w:lvl>
    <w:lvl w:ilvl="2" w:tentative="0">
      <w:start w:val="0"/>
      <w:numFmt w:val="bullet"/>
      <w:lvlText w:val="•"/>
      <w:lvlJc w:val="left"/>
      <w:pPr>
        <w:ind w:left="2890" w:hanging="525"/>
      </w:pPr>
      <w:rPr>
        <w:rFonts w:hint="default"/>
        <w:lang w:val="zh-CN" w:eastAsia="zh-CN" w:bidi="zh-CN"/>
      </w:rPr>
    </w:lvl>
    <w:lvl w:ilvl="3" w:tentative="0">
      <w:start w:val="0"/>
      <w:numFmt w:val="bullet"/>
      <w:lvlText w:val="•"/>
      <w:lvlJc w:val="left"/>
      <w:pPr>
        <w:ind w:left="3805" w:hanging="525"/>
      </w:pPr>
      <w:rPr>
        <w:rFonts w:hint="default"/>
        <w:lang w:val="zh-CN" w:eastAsia="zh-CN" w:bidi="zh-CN"/>
      </w:rPr>
    </w:lvl>
    <w:lvl w:ilvl="4" w:tentative="0">
      <w:start w:val="0"/>
      <w:numFmt w:val="bullet"/>
      <w:lvlText w:val="•"/>
      <w:lvlJc w:val="left"/>
      <w:pPr>
        <w:ind w:left="4720" w:hanging="525"/>
      </w:pPr>
      <w:rPr>
        <w:rFonts w:hint="default"/>
        <w:lang w:val="zh-CN" w:eastAsia="zh-CN" w:bidi="zh-CN"/>
      </w:rPr>
    </w:lvl>
    <w:lvl w:ilvl="5" w:tentative="0">
      <w:start w:val="0"/>
      <w:numFmt w:val="bullet"/>
      <w:lvlText w:val="•"/>
      <w:lvlJc w:val="left"/>
      <w:pPr>
        <w:ind w:left="5635" w:hanging="525"/>
      </w:pPr>
      <w:rPr>
        <w:rFonts w:hint="default"/>
        <w:lang w:val="zh-CN" w:eastAsia="zh-CN" w:bidi="zh-CN"/>
      </w:rPr>
    </w:lvl>
    <w:lvl w:ilvl="6" w:tentative="0">
      <w:start w:val="0"/>
      <w:numFmt w:val="bullet"/>
      <w:lvlText w:val="•"/>
      <w:lvlJc w:val="left"/>
      <w:pPr>
        <w:ind w:left="6550" w:hanging="525"/>
      </w:pPr>
      <w:rPr>
        <w:rFonts w:hint="default"/>
        <w:lang w:val="zh-CN" w:eastAsia="zh-CN" w:bidi="zh-CN"/>
      </w:rPr>
    </w:lvl>
    <w:lvl w:ilvl="7" w:tentative="0">
      <w:start w:val="0"/>
      <w:numFmt w:val="bullet"/>
      <w:lvlText w:val="•"/>
      <w:lvlJc w:val="left"/>
      <w:pPr>
        <w:ind w:left="7465" w:hanging="525"/>
      </w:pPr>
      <w:rPr>
        <w:rFonts w:hint="default"/>
        <w:lang w:val="zh-CN" w:eastAsia="zh-CN" w:bidi="zh-CN"/>
      </w:rPr>
    </w:lvl>
    <w:lvl w:ilvl="8" w:tentative="0">
      <w:start w:val="0"/>
      <w:numFmt w:val="bullet"/>
      <w:lvlText w:val="•"/>
      <w:lvlJc w:val="left"/>
      <w:pPr>
        <w:ind w:left="8380" w:hanging="525"/>
      </w:pPr>
      <w:rPr>
        <w:rFonts w:hint="default"/>
        <w:lang w:val="zh-CN" w:eastAsia="zh-CN" w:bidi="zh-CN"/>
      </w:rPr>
    </w:lvl>
  </w:abstractNum>
  <w:abstractNum w:abstractNumId="24">
    <w:nsid w:val="59ADCABA"/>
    <w:multiLevelType w:val="multilevel"/>
    <w:tmpl w:val="59ADCABA"/>
    <w:lvl w:ilvl="0" w:tentative="0">
      <w:start w:val="3"/>
      <w:numFmt w:val="decimal"/>
      <w:lvlText w:val="%1."/>
      <w:lvlJc w:val="left"/>
      <w:pPr>
        <w:ind w:left="106" w:hanging="240"/>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51" w:hanging="240"/>
      </w:pPr>
      <w:rPr>
        <w:rFonts w:hint="default"/>
        <w:lang w:val="zh-CN" w:eastAsia="zh-CN" w:bidi="zh-CN"/>
      </w:rPr>
    </w:lvl>
    <w:lvl w:ilvl="2" w:tentative="0">
      <w:start w:val="0"/>
      <w:numFmt w:val="bullet"/>
      <w:lvlText w:val="•"/>
      <w:lvlJc w:val="left"/>
      <w:pPr>
        <w:ind w:left="403" w:hanging="240"/>
      </w:pPr>
      <w:rPr>
        <w:rFonts w:hint="default"/>
        <w:lang w:val="zh-CN" w:eastAsia="zh-CN" w:bidi="zh-CN"/>
      </w:rPr>
    </w:lvl>
    <w:lvl w:ilvl="3" w:tentative="0">
      <w:start w:val="0"/>
      <w:numFmt w:val="bullet"/>
      <w:lvlText w:val="•"/>
      <w:lvlJc w:val="left"/>
      <w:pPr>
        <w:ind w:left="554" w:hanging="240"/>
      </w:pPr>
      <w:rPr>
        <w:rFonts w:hint="default"/>
        <w:lang w:val="zh-CN" w:eastAsia="zh-CN" w:bidi="zh-CN"/>
      </w:rPr>
    </w:lvl>
    <w:lvl w:ilvl="4" w:tentative="0">
      <w:start w:val="0"/>
      <w:numFmt w:val="bullet"/>
      <w:lvlText w:val="•"/>
      <w:lvlJc w:val="left"/>
      <w:pPr>
        <w:ind w:left="706" w:hanging="240"/>
      </w:pPr>
      <w:rPr>
        <w:rFonts w:hint="default"/>
        <w:lang w:val="zh-CN" w:eastAsia="zh-CN" w:bidi="zh-CN"/>
      </w:rPr>
    </w:lvl>
    <w:lvl w:ilvl="5" w:tentative="0">
      <w:start w:val="0"/>
      <w:numFmt w:val="bullet"/>
      <w:lvlText w:val="•"/>
      <w:lvlJc w:val="left"/>
      <w:pPr>
        <w:ind w:left="858" w:hanging="240"/>
      </w:pPr>
      <w:rPr>
        <w:rFonts w:hint="default"/>
        <w:lang w:val="zh-CN" w:eastAsia="zh-CN" w:bidi="zh-CN"/>
      </w:rPr>
    </w:lvl>
    <w:lvl w:ilvl="6" w:tentative="0">
      <w:start w:val="0"/>
      <w:numFmt w:val="bullet"/>
      <w:lvlText w:val="•"/>
      <w:lvlJc w:val="left"/>
      <w:pPr>
        <w:ind w:left="1009" w:hanging="240"/>
      </w:pPr>
      <w:rPr>
        <w:rFonts w:hint="default"/>
        <w:lang w:val="zh-CN" w:eastAsia="zh-CN" w:bidi="zh-CN"/>
      </w:rPr>
    </w:lvl>
    <w:lvl w:ilvl="7" w:tentative="0">
      <w:start w:val="0"/>
      <w:numFmt w:val="bullet"/>
      <w:lvlText w:val="•"/>
      <w:lvlJc w:val="left"/>
      <w:pPr>
        <w:ind w:left="1161" w:hanging="240"/>
      </w:pPr>
      <w:rPr>
        <w:rFonts w:hint="default"/>
        <w:lang w:val="zh-CN" w:eastAsia="zh-CN" w:bidi="zh-CN"/>
      </w:rPr>
    </w:lvl>
    <w:lvl w:ilvl="8" w:tentative="0">
      <w:start w:val="0"/>
      <w:numFmt w:val="bullet"/>
      <w:lvlText w:val="•"/>
      <w:lvlJc w:val="left"/>
      <w:pPr>
        <w:ind w:left="1312" w:hanging="240"/>
      </w:pPr>
      <w:rPr>
        <w:rFonts w:hint="default"/>
        <w:lang w:val="zh-CN" w:eastAsia="zh-CN" w:bidi="zh-CN"/>
      </w:rPr>
    </w:lvl>
  </w:abstractNum>
  <w:abstractNum w:abstractNumId="25">
    <w:nsid w:val="5A241D34"/>
    <w:multiLevelType w:val="multilevel"/>
    <w:tmpl w:val="5A241D34"/>
    <w:lvl w:ilvl="0" w:tentative="0">
      <w:start w:val="6"/>
      <w:numFmt w:val="decimal"/>
      <w:lvlText w:val="%1."/>
      <w:lvlJc w:val="left"/>
      <w:pPr>
        <w:ind w:left="739"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1687" w:hanging="212"/>
      </w:pPr>
      <w:rPr>
        <w:rFonts w:hint="default"/>
        <w:lang w:val="zh-CN" w:eastAsia="zh-CN" w:bidi="zh-CN"/>
      </w:rPr>
    </w:lvl>
    <w:lvl w:ilvl="2" w:tentative="0">
      <w:start w:val="0"/>
      <w:numFmt w:val="bullet"/>
      <w:lvlText w:val="•"/>
      <w:lvlJc w:val="left"/>
      <w:pPr>
        <w:ind w:left="2634" w:hanging="212"/>
      </w:pPr>
      <w:rPr>
        <w:rFonts w:hint="default"/>
        <w:lang w:val="zh-CN" w:eastAsia="zh-CN" w:bidi="zh-CN"/>
      </w:rPr>
    </w:lvl>
    <w:lvl w:ilvl="3" w:tentative="0">
      <w:start w:val="0"/>
      <w:numFmt w:val="bullet"/>
      <w:lvlText w:val="•"/>
      <w:lvlJc w:val="left"/>
      <w:pPr>
        <w:ind w:left="3581" w:hanging="212"/>
      </w:pPr>
      <w:rPr>
        <w:rFonts w:hint="default"/>
        <w:lang w:val="zh-CN" w:eastAsia="zh-CN" w:bidi="zh-CN"/>
      </w:rPr>
    </w:lvl>
    <w:lvl w:ilvl="4" w:tentative="0">
      <w:start w:val="0"/>
      <w:numFmt w:val="bullet"/>
      <w:lvlText w:val="•"/>
      <w:lvlJc w:val="left"/>
      <w:pPr>
        <w:ind w:left="4528" w:hanging="212"/>
      </w:pPr>
      <w:rPr>
        <w:rFonts w:hint="default"/>
        <w:lang w:val="zh-CN" w:eastAsia="zh-CN" w:bidi="zh-CN"/>
      </w:rPr>
    </w:lvl>
    <w:lvl w:ilvl="5" w:tentative="0">
      <w:start w:val="0"/>
      <w:numFmt w:val="bullet"/>
      <w:lvlText w:val="•"/>
      <w:lvlJc w:val="left"/>
      <w:pPr>
        <w:ind w:left="5475" w:hanging="212"/>
      </w:pPr>
      <w:rPr>
        <w:rFonts w:hint="default"/>
        <w:lang w:val="zh-CN" w:eastAsia="zh-CN" w:bidi="zh-CN"/>
      </w:rPr>
    </w:lvl>
    <w:lvl w:ilvl="6" w:tentative="0">
      <w:start w:val="0"/>
      <w:numFmt w:val="bullet"/>
      <w:lvlText w:val="•"/>
      <w:lvlJc w:val="left"/>
      <w:pPr>
        <w:ind w:left="6422" w:hanging="212"/>
      </w:pPr>
      <w:rPr>
        <w:rFonts w:hint="default"/>
        <w:lang w:val="zh-CN" w:eastAsia="zh-CN" w:bidi="zh-CN"/>
      </w:rPr>
    </w:lvl>
    <w:lvl w:ilvl="7" w:tentative="0">
      <w:start w:val="0"/>
      <w:numFmt w:val="bullet"/>
      <w:lvlText w:val="•"/>
      <w:lvlJc w:val="left"/>
      <w:pPr>
        <w:ind w:left="7369" w:hanging="212"/>
      </w:pPr>
      <w:rPr>
        <w:rFonts w:hint="default"/>
        <w:lang w:val="zh-CN" w:eastAsia="zh-CN" w:bidi="zh-CN"/>
      </w:rPr>
    </w:lvl>
    <w:lvl w:ilvl="8" w:tentative="0">
      <w:start w:val="0"/>
      <w:numFmt w:val="bullet"/>
      <w:lvlText w:val="•"/>
      <w:lvlJc w:val="left"/>
      <w:pPr>
        <w:ind w:left="8316" w:hanging="212"/>
      </w:pPr>
      <w:rPr>
        <w:rFonts w:hint="default"/>
        <w:lang w:val="zh-CN" w:eastAsia="zh-CN" w:bidi="zh-CN"/>
      </w:rPr>
    </w:lvl>
  </w:abstractNum>
  <w:abstractNum w:abstractNumId="26">
    <w:nsid w:val="60382F6E"/>
    <w:multiLevelType w:val="multilevel"/>
    <w:tmpl w:val="60382F6E"/>
    <w:lvl w:ilvl="0" w:tentative="0">
      <w:start w:val="1"/>
      <w:numFmt w:val="decimal"/>
      <w:lvlText w:val="（%1）"/>
      <w:lvlJc w:val="left"/>
      <w:pPr>
        <w:ind w:left="108" w:hanging="52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11" w:hanging="526"/>
      </w:pPr>
      <w:rPr>
        <w:rFonts w:hint="default"/>
        <w:lang w:val="zh-CN" w:eastAsia="zh-CN" w:bidi="zh-CN"/>
      </w:rPr>
    </w:lvl>
    <w:lvl w:ilvl="2" w:tentative="0">
      <w:start w:val="0"/>
      <w:numFmt w:val="bullet"/>
      <w:lvlText w:val="•"/>
      <w:lvlJc w:val="left"/>
      <w:pPr>
        <w:ind w:left="2122" w:hanging="526"/>
      </w:pPr>
      <w:rPr>
        <w:rFonts w:hint="default"/>
        <w:lang w:val="zh-CN" w:eastAsia="zh-CN" w:bidi="zh-CN"/>
      </w:rPr>
    </w:lvl>
    <w:lvl w:ilvl="3" w:tentative="0">
      <w:start w:val="0"/>
      <w:numFmt w:val="bullet"/>
      <w:lvlText w:val="•"/>
      <w:lvlJc w:val="left"/>
      <w:pPr>
        <w:ind w:left="3133" w:hanging="526"/>
      </w:pPr>
      <w:rPr>
        <w:rFonts w:hint="default"/>
        <w:lang w:val="zh-CN" w:eastAsia="zh-CN" w:bidi="zh-CN"/>
      </w:rPr>
    </w:lvl>
    <w:lvl w:ilvl="4" w:tentative="0">
      <w:start w:val="0"/>
      <w:numFmt w:val="bullet"/>
      <w:lvlText w:val="•"/>
      <w:lvlJc w:val="left"/>
      <w:pPr>
        <w:ind w:left="4144" w:hanging="526"/>
      </w:pPr>
      <w:rPr>
        <w:rFonts w:hint="default"/>
        <w:lang w:val="zh-CN" w:eastAsia="zh-CN" w:bidi="zh-CN"/>
      </w:rPr>
    </w:lvl>
    <w:lvl w:ilvl="5" w:tentative="0">
      <w:start w:val="0"/>
      <w:numFmt w:val="bullet"/>
      <w:lvlText w:val="•"/>
      <w:lvlJc w:val="left"/>
      <w:pPr>
        <w:ind w:left="5155" w:hanging="526"/>
      </w:pPr>
      <w:rPr>
        <w:rFonts w:hint="default"/>
        <w:lang w:val="zh-CN" w:eastAsia="zh-CN" w:bidi="zh-CN"/>
      </w:rPr>
    </w:lvl>
    <w:lvl w:ilvl="6" w:tentative="0">
      <w:start w:val="0"/>
      <w:numFmt w:val="bullet"/>
      <w:lvlText w:val="•"/>
      <w:lvlJc w:val="left"/>
      <w:pPr>
        <w:ind w:left="6166" w:hanging="526"/>
      </w:pPr>
      <w:rPr>
        <w:rFonts w:hint="default"/>
        <w:lang w:val="zh-CN" w:eastAsia="zh-CN" w:bidi="zh-CN"/>
      </w:rPr>
    </w:lvl>
    <w:lvl w:ilvl="7" w:tentative="0">
      <w:start w:val="0"/>
      <w:numFmt w:val="bullet"/>
      <w:lvlText w:val="•"/>
      <w:lvlJc w:val="left"/>
      <w:pPr>
        <w:ind w:left="7177" w:hanging="526"/>
      </w:pPr>
      <w:rPr>
        <w:rFonts w:hint="default"/>
        <w:lang w:val="zh-CN" w:eastAsia="zh-CN" w:bidi="zh-CN"/>
      </w:rPr>
    </w:lvl>
    <w:lvl w:ilvl="8" w:tentative="0">
      <w:start w:val="0"/>
      <w:numFmt w:val="bullet"/>
      <w:lvlText w:val="•"/>
      <w:lvlJc w:val="left"/>
      <w:pPr>
        <w:ind w:left="8188" w:hanging="526"/>
      </w:pPr>
      <w:rPr>
        <w:rFonts w:hint="default"/>
        <w:lang w:val="zh-CN" w:eastAsia="zh-CN" w:bidi="zh-CN"/>
      </w:rPr>
    </w:lvl>
  </w:abstractNum>
  <w:abstractNum w:abstractNumId="27">
    <w:nsid w:val="629F7852"/>
    <w:multiLevelType w:val="multilevel"/>
    <w:tmpl w:val="629F7852"/>
    <w:lvl w:ilvl="0" w:tentative="0">
      <w:start w:val="1"/>
      <w:numFmt w:val="decimal"/>
      <w:lvlText w:val="%1."/>
      <w:lvlJc w:val="left"/>
      <w:pPr>
        <w:ind w:left="739"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1687" w:hanging="212"/>
      </w:pPr>
      <w:rPr>
        <w:rFonts w:hint="default"/>
        <w:lang w:val="zh-CN" w:eastAsia="zh-CN" w:bidi="zh-CN"/>
      </w:rPr>
    </w:lvl>
    <w:lvl w:ilvl="2" w:tentative="0">
      <w:start w:val="0"/>
      <w:numFmt w:val="bullet"/>
      <w:lvlText w:val="•"/>
      <w:lvlJc w:val="left"/>
      <w:pPr>
        <w:ind w:left="2634" w:hanging="212"/>
      </w:pPr>
      <w:rPr>
        <w:rFonts w:hint="default"/>
        <w:lang w:val="zh-CN" w:eastAsia="zh-CN" w:bidi="zh-CN"/>
      </w:rPr>
    </w:lvl>
    <w:lvl w:ilvl="3" w:tentative="0">
      <w:start w:val="0"/>
      <w:numFmt w:val="bullet"/>
      <w:lvlText w:val="•"/>
      <w:lvlJc w:val="left"/>
      <w:pPr>
        <w:ind w:left="3581" w:hanging="212"/>
      </w:pPr>
      <w:rPr>
        <w:rFonts w:hint="default"/>
        <w:lang w:val="zh-CN" w:eastAsia="zh-CN" w:bidi="zh-CN"/>
      </w:rPr>
    </w:lvl>
    <w:lvl w:ilvl="4" w:tentative="0">
      <w:start w:val="0"/>
      <w:numFmt w:val="bullet"/>
      <w:lvlText w:val="•"/>
      <w:lvlJc w:val="left"/>
      <w:pPr>
        <w:ind w:left="4528" w:hanging="212"/>
      </w:pPr>
      <w:rPr>
        <w:rFonts w:hint="default"/>
        <w:lang w:val="zh-CN" w:eastAsia="zh-CN" w:bidi="zh-CN"/>
      </w:rPr>
    </w:lvl>
    <w:lvl w:ilvl="5" w:tentative="0">
      <w:start w:val="0"/>
      <w:numFmt w:val="bullet"/>
      <w:lvlText w:val="•"/>
      <w:lvlJc w:val="left"/>
      <w:pPr>
        <w:ind w:left="5475" w:hanging="212"/>
      </w:pPr>
      <w:rPr>
        <w:rFonts w:hint="default"/>
        <w:lang w:val="zh-CN" w:eastAsia="zh-CN" w:bidi="zh-CN"/>
      </w:rPr>
    </w:lvl>
    <w:lvl w:ilvl="6" w:tentative="0">
      <w:start w:val="0"/>
      <w:numFmt w:val="bullet"/>
      <w:lvlText w:val="•"/>
      <w:lvlJc w:val="left"/>
      <w:pPr>
        <w:ind w:left="6422" w:hanging="212"/>
      </w:pPr>
      <w:rPr>
        <w:rFonts w:hint="default"/>
        <w:lang w:val="zh-CN" w:eastAsia="zh-CN" w:bidi="zh-CN"/>
      </w:rPr>
    </w:lvl>
    <w:lvl w:ilvl="7" w:tentative="0">
      <w:start w:val="0"/>
      <w:numFmt w:val="bullet"/>
      <w:lvlText w:val="•"/>
      <w:lvlJc w:val="left"/>
      <w:pPr>
        <w:ind w:left="7369" w:hanging="212"/>
      </w:pPr>
      <w:rPr>
        <w:rFonts w:hint="default"/>
        <w:lang w:val="zh-CN" w:eastAsia="zh-CN" w:bidi="zh-CN"/>
      </w:rPr>
    </w:lvl>
    <w:lvl w:ilvl="8" w:tentative="0">
      <w:start w:val="0"/>
      <w:numFmt w:val="bullet"/>
      <w:lvlText w:val="•"/>
      <w:lvlJc w:val="left"/>
      <w:pPr>
        <w:ind w:left="8316" w:hanging="212"/>
      </w:pPr>
      <w:rPr>
        <w:rFonts w:hint="default"/>
        <w:lang w:val="zh-CN" w:eastAsia="zh-CN" w:bidi="zh-CN"/>
      </w:rPr>
    </w:lvl>
  </w:abstractNum>
  <w:abstractNum w:abstractNumId="28">
    <w:nsid w:val="72183CF9"/>
    <w:multiLevelType w:val="multilevel"/>
    <w:tmpl w:val="72183CF9"/>
    <w:lvl w:ilvl="0" w:tentative="0">
      <w:start w:val="1"/>
      <w:numFmt w:val="decimal"/>
      <w:lvlText w:val="%1."/>
      <w:lvlJc w:val="left"/>
      <w:pPr>
        <w:ind w:left="744" w:hanging="216"/>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1687" w:hanging="216"/>
      </w:pPr>
      <w:rPr>
        <w:rFonts w:hint="default"/>
        <w:lang w:val="zh-CN" w:eastAsia="zh-CN" w:bidi="zh-CN"/>
      </w:rPr>
    </w:lvl>
    <w:lvl w:ilvl="2" w:tentative="0">
      <w:start w:val="0"/>
      <w:numFmt w:val="bullet"/>
      <w:lvlText w:val="•"/>
      <w:lvlJc w:val="left"/>
      <w:pPr>
        <w:ind w:left="2634" w:hanging="216"/>
      </w:pPr>
      <w:rPr>
        <w:rFonts w:hint="default"/>
        <w:lang w:val="zh-CN" w:eastAsia="zh-CN" w:bidi="zh-CN"/>
      </w:rPr>
    </w:lvl>
    <w:lvl w:ilvl="3" w:tentative="0">
      <w:start w:val="0"/>
      <w:numFmt w:val="bullet"/>
      <w:lvlText w:val="•"/>
      <w:lvlJc w:val="left"/>
      <w:pPr>
        <w:ind w:left="3581" w:hanging="216"/>
      </w:pPr>
      <w:rPr>
        <w:rFonts w:hint="default"/>
        <w:lang w:val="zh-CN" w:eastAsia="zh-CN" w:bidi="zh-CN"/>
      </w:rPr>
    </w:lvl>
    <w:lvl w:ilvl="4" w:tentative="0">
      <w:start w:val="0"/>
      <w:numFmt w:val="bullet"/>
      <w:lvlText w:val="•"/>
      <w:lvlJc w:val="left"/>
      <w:pPr>
        <w:ind w:left="4528" w:hanging="216"/>
      </w:pPr>
      <w:rPr>
        <w:rFonts w:hint="default"/>
        <w:lang w:val="zh-CN" w:eastAsia="zh-CN" w:bidi="zh-CN"/>
      </w:rPr>
    </w:lvl>
    <w:lvl w:ilvl="5" w:tentative="0">
      <w:start w:val="0"/>
      <w:numFmt w:val="bullet"/>
      <w:lvlText w:val="•"/>
      <w:lvlJc w:val="left"/>
      <w:pPr>
        <w:ind w:left="5475" w:hanging="216"/>
      </w:pPr>
      <w:rPr>
        <w:rFonts w:hint="default"/>
        <w:lang w:val="zh-CN" w:eastAsia="zh-CN" w:bidi="zh-CN"/>
      </w:rPr>
    </w:lvl>
    <w:lvl w:ilvl="6" w:tentative="0">
      <w:start w:val="0"/>
      <w:numFmt w:val="bullet"/>
      <w:lvlText w:val="•"/>
      <w:lvlJc w:val="left"/>
      <w:pPr>
        <w:ind w:left="6422" w:hanging="216"/>
      </w:pPr>
      <w:rPr>
        <w:rFonts w:hint="default"/>
        <w:lang w:val="zh-CN" w:eastAsia="zh-CN" w:bidi="zh-CN"/>
      </w:rPr>
    </w:lvl>
    <w:lvl w:ilvl="7" w:tentative="0">
      <w:start w:val="0"/>
      <w:numFmt w:val="bullet"/>
      <w:lvlText w:val="•"/>
      <w:lvlJc w:val="left"/>
      <w:pPr>
        <w:ind w:left="7369" w:hanging="216"/>
      </w:pPr>
      <w:rPr>
        <w:rFonts w:hint="default"/>
        <w:lang w:val="zh-CN" w:eastAsia="zh-CN" w:bidi="zh-CN"/>
      </w:rPr>
    </w:lvl>
    <w:lvl w:ilvl="8" w:tentative="0">
      <w:start w:val="0"/>
      <w:numFmt w:val="bullet"/>
      <w:lvlText w:val="•"/>
      <w:lvlJc w:val="left"/>
      <w:pPr>
        <w:ind w:left="8316" w:hanging="216"/>
      </w:pPr>
      <w:rPr>
        <w:rFonts w:hint="default"/>
        <w:lang w:val="zh-CN" w:eastAsia="zh-CN" w:bidi="zh-CN"/>
      </w:rPr>
    </w:lvl>
  </w:abstractNum>
  <w:abstractNum w:abstractNumId="29">
    <w:nsid w:val="77ECEA79"/>
    <w:multiLevelType w:val="multilevel"/>
    <w:tmpl w:val="77ECEA79"/>
    <w:lvl w:ilvl="0" w:tentative="0">
      <w:start w:val="4"/>
      <w:numFmt w:val="decimal"/>
      <w:lvlText w:val="%1."/>
      <w:lvlJc w:val="left"/>
      <w:pPr>
        <w:ind w:left="528"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1489" w:hanging="212"/>
      </w:pPr>
      <w:rPr>
        <w:rFonts w:hint="default"/>
        <w:lang w:val="zh-CN" w:eastAsia="zh-CN" w:bidi="zh-CN"/>
      </w:rPr>
    </w:lvl>
    <w:lvl w:ilvl="2" w:tentative="0">
      <w:start w:val="0"/>
      <w:numFmt w:val="bullet"/>
      <w:lvlText w:val="•"/>
      <w:lvlJc w:val="left"/>
      <w:pPr>
        <w:ind w:left="2458" w:hanging="212"/>
      </w:pPr>
      <w:rPr>
        <w:rFonts w:hint="default"/>
        <w:lang w:val="zh-CN" w:eastAsia="zh-CN" w:bidi="zh-CN"/>
      </w:rPr>
    </w:lvl>
    <w:lvl w:ilvl="3" w:tentative="0">
      <w:start w:val="0"/>
      <w:numFmt w:val="bullet"/>
      <w:lvlText w:val="•"/>
      <w:lvlJc w:val="left"/>
      <w:pPr>
        <w:ind w:left="3427" w:hanging="212"/>
      </w:pPr>
      <w:rPr>
        <w:rFonts w:hint="default"/>
        <w:lang w:val="zh-CN" w:eastAsia="zh-CN" w:bidi="zh-CN"/>
      </w:rPr>
    </w:lvl>
    <w:lvl w:ilvl="4" w:tentative="0">
      <w:start w:val="0"/>
      <w:numFmt w:val="bullet"/>
      <w:lvlText w:val="•"/>
      <w:lvlJc w:val="left"/>
      <w:pPr>
        <w:ind w:left="4396" w:hanging="212"/>
      </w:pPr>
      <w:rPr>
        <w:rFonts w:hint="default"/>
        <w:lang w:val="zh-CN" w:eastAsia="zh-CN" w:bidi="zh-CN"/>
      </w:rPr>
    </w:lvl>
    <w:lvl w:ilvl="5" w:tentative="0">
      <w:start w:val="0"/>
      <w:numFmt w:val="bullet"/>
      <w:lvlText w:val="•"/>
      <w:lvlJc w:val="left"/>
      <w:pPr>
        <w:ind w:left="5365" w:hanging="212"/>
      </w:pPr>
      <w:rPr>
        <w:rFonts w:hint="default"/>
        <w:lang w:val="zh-CN" w:eastAsia="zh-CN" w:bidi="zh-CN"/>
      </w:rPr>
    </w:lvl>
    <w:lvl w:ilvl="6" w:tentative="0">
      <w:start w:val="0"/>
      <w:numFmt w:val="bullet"/>
      <w:lvlText w:val="•"/>
      <w:lvlJc w:val="left"/>
      <w:pPr>
        <w:ind w:left="6334" w:hanging="212"/>
      </w:pPr>
      <w:rPr>
        <w:rFonts w:hint="default"/>
        <w:lang w:val="zh-CN" w:eastAsia="zh-CN" w:bidi="zh-CN"/>
      </w:rPr>
    </w:lvl>
    <w:lvl w:ilvl="7" w:tentative="0">
      <w:start w:val="0"/>
      <w:numFmt w:val="bullet"/>
      <w:lvlText w:val="•"/>
      <w:lvlJc w:val="left"/>
      <w:pPr>
        <w:ind w:left="7303" w:hanging="212"/>
      </w:pPr>
      <w:rPr>
        <w:rFonts w:hint="default"/>
        <w:lang w:val="zh-CN" w:eastAsia="zh-CN" w:bidi="zh-CN"/>
      </w:rPr>
    </w:lvl>
    <w:lvl w:ilvl="8" w:tentative="0">
      <w:start w:val="0"/>
      <w:numFmt w:val="bullet"/>
      <w:lvlText w:val="•"/>
      <w:lvlJc w:val="left"/>
      <w:pPr>
        <w:ind w:left="8272" w:hanging="212"/>
      </w:pPr>
      <w:rPr>
        <w:rFonts w:hint="default"/>
        <w:lang w:val="zh-CN" w:eastAsia="zh-CN" w:bidi="zh-CN"/>
      </w:rPr>
    </w:lvl>
  </w:abstractNum>
  <w:abstractNum w:abstractNumId="30">
    <w:nsid w:val="7C246926"/>
    <w:multiLevelType w:val="multilevel"/>
    <w:tmpl w:val="7C246926"/>
    <w:lvl w:ilvl="0" w:tentative="0">
      <w:start w:val="1"/>
      <w:numFmt w:val="decimal"/>
      <w:lvlText w:val="%1."/>
      <w:lvlJc w:val="left"/>
      <w:pPr>
        <w:ind w:left="739"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1687" w:hanging="212"/>
      </w:pPr>
      <w:rPr>
        <w:rFonts w:hint="default"/>
        <w:lang w:val="zh-CN" w:eastAsia="zh-CN" w:bidi="zh-CN"/>
      </w:rPr>
    </w:lvl>
    <w:lvl w:ilvl="2" w:tentative="0">
      <w:start w:val="0"/>
      <w:numFmt w:val="bullet"/>
      <w:lvlText w:val="•"/>
      <w:lvlJc w:val="left"/>
      <w:pPr>
        <w:ind w:left="2634" w:hanging="212"/>
      </w:pPr>
      <w:rPr>
        <w:rFonts w:hint="default"/>
        <w:lang w:val="zh-CN" w:eastAsia="zh-CN" w:bidi="zh-CN"/>
      </w:rPr>
    </w:lvl>
    <w:lvl w:ilvl="3" w:tentative="0">
      <w:start w:val="0"/>
      <w:numFmt w:val="bullet"/>
      <w:lvlText w:val="•"/>
      <w:lvlJc w:val="left"/>
      <w:pPr>
        <w:ind w:left="3581" w:hanging="212"/>
      </w:pPr>
      <w:rPr>
        <w:rFonts w:hint="default"/>
        <w:lang w:val="zh-CN" w:eastAsia="zh-CN" w:bidi="zh-CN"/>
      </w:rPr>
    </w:lvl>
    <w:lvl w:ilvl="4" w:tentative="0">
      <w:start w:val="0"/>
      <w:numFmt w:val="bullet"/>
      <w:lvlText w:val="•"/>
      <w:lvlJc w:val="left"/>
      <w:pPr>
        <w:ind w:left="4528" w:hanging="212"/>
      </w:pPr>
      <w:rPr>
        <w:rFonts w:hint="default"/>
        <w:lang w:val="zh-CN" w:eastAsia="zh-CN" w:bidi="zh-CN"/>
      </w:rPr>
    </w:lvl>
    <w:lvl w:ilvl="5" w:tentative="0">
      <w:start w:val="0"/>
      <w:numFmt w:val="bullet"/>
      <w:lvlText w:val="•"/>
      <w:lvlJc w:val="left"/>
      <w:pPr>
        <w:ind w:left="5475" w:hanging="212"/>
      </w:pPr>
      <w:rPr>
        <w:rFonts w:hint="default"/>
        <w:lang w:val="zh-CN" w:eastAsia="zh-CN" w:bidi="zh-CN"/>
      </w:rPr>
    </w:lvl>
    <w:lvl w:ilvl="6" w:tentative="0">
      <w:start w:val="0"/>
      <w:numFmt w:val="bullet"/>
      <w:lvlText w:val="•"/>
      <w:lvlJc w:val="left"/>
      <w:pPr>
        <w:ind w:left="6422" w:hanging="212"/>
      </w:pPr>
      <w:rPr>
        <w:rFonts w:hint="default"/>
        <w:lang w:val="zh-CN" w:eastAsia="zh-CN" w:bidi="zh-CN"/>
      </w:rPr>
    </w:lvl>
    <w:lvl w:ilvl="7" w:tentative="0">
      <w:start w:val="0"/>
      <w:numFmt w:val="bullet"/>
      <w:lvlText w:val="•"/>
      <w:lvlJc w:val="left"/>
      <w:pPr>
        <w:ind w:left="7369" w:hanging="212"/>
      </w:pPr>
      <w:rPr>
        <w:rFonts w:hint="default"/>
        <w:lang w:val="zh-CN" w:eastAsia="zh-CN" w:bidi="zh-CN"/>
      </w:rPr>
    </w:lvl>
    <w:lvl w:ilvl="8" w:tentative="0">
      <w:start w:val="0"/>
      <w:numFmt w:val="bullet"/>
      <w:lvlText w:val="•"/>
      <w:lvlJc w:val="left"/>
      <w:pPr>
        <w:ind w:left="8316" w:hanging="212"/>
      </w:pPr>
      <w:rPr>
        <w:rFonts w:hint="default"/>
        <w:lang w:val="zh-CN" w:eastAsia="zh-CN" w:bidi="zh-CN"/>
      </w:rPr>
    </w:lvl>
  </w:abstractNum>
  <w:abstractNum w:abstractNumId="31">
    <w:nsid w:val="7DEC2089"/>
    <w:multiLevelType w:val="multilevel"/>
    <w:tmpl w:val="7DEC2089"/>
    <w:lvl w:ilvl="0" w:tentative="0">
      <w:start w:val="1"/>
      <w:numFmt w:val="decimal"/>
      <w:lvlText w:val="%1."/>
      <w:lvlJc w:val="left"/>
      <w:pPr>
        <w:ind w:left="528"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1489" w:hanging="212"/>
      </w:pPr>
      <w:rPr>
        <w:rFonts w:hint="default"/>
        <w:lang w:val="zh-CN" w:eastAsia="zh-CN" w:bidi="zh-CN"/>
      </w:rPr>
    </w:lvl>
    <w:lvl w:ilvl="2" w:tentative="0">
      <w:start w:val="0"/>
      <w:numFmt w:val="bullet"/>
      <w:lvlText w:val="•"/>
      <w:lvlJc w:val="left"/>
      <w:pPr>
        <w:ind w:left="2458" w:hanging="212"/>
      </w:pPr>
      <w:rPr>
        <w:rFonts w:hint="default"/>
        <w:lang w:val="zh-CN" w:eastAsia="zh-CN" w:bidi="zh-CN"/>
      </w:rPr>
    </w:lvl>
    <w:lvl w:ilvl="3" w:tentative="0">
      <w:start w:val="0"/>
      <w:numFmt w:val="bullet"/>
      <w:lvlText w:val="•"/>
      <w:lvlJc w:val="left"/>
      <w:pPr>
        <w:ind w:left="3427" w:hanging="212"/>
      </w:pPr>
      <w:rPr>
        <w:rFonts w:hint="default"/>
        <w:lang w:val="zh-CN" w:eastAsia="zh-CN" w:bidi="zh-CN"/>
      </w:rPr>
    </w:lvl>
    <w:lvl w:ilvl="4" w:tentative="0">
      <w:start w:val="0"/>
      <w:numFmt w:val="bullet"/>
      <w:lvlText w:val="•"/>
      <w:lvlJc w:val="left"/>
      <w:pPr>
        <w:ind w:left="4396" w:hanging="212"/>
      </w:pPr>
      <w:rPr>
        <w:rFonts w:hint="default"/>
        <w:lang w:val="zh-CN" w:eastAsia="zh-CN" w:bidi="zh-CN"/>
      </w:rPr>
    </w:lvl>
    <w:lvl w:ilvl="5" w:tentative="0">
      <w:start w:val="0"/>
      <w:numFmt w:val="bullet"/>
      <w:lvlText w:val="•"/>
      <w:lvlJc w:val="left"/>
      <w:pPr>
        <w:ind w:left="5365" w:hanging="212"/>
      </w:pPr>
      <w:rPr>
        <w:rFonts w:hint="default"/>
        <w:lang w:val="zh-CN" w:eastAsia="zh-CN" w:bidi="zh-CN"/>
      </w:rPr>
    </w:lvl>
    <w:lvl w:ilvl="6" w:tentative="0">
      <w:start w:val="0"/>
      <w:numFmt w:val="bullet"/>
      <w:lvlText w:val="•"/>
      <w:lvlJc w:val="left"/>
      <w:pPr>
        <w:ind w:left="6334" w:hanging="212"/>
      </w:pPr>
      <w:rPr>
        <w:rFonts w:hint="default"/>
        <w:lang w:val="zh-CN" w:eastAsia="zh-CN" w:bidi="zh-CN"/>
      </w:rPr>
    </w:lvl>
    <w:lvl w:ilvl="7" w:tentative="0">
      <w:start w:val="0"/>
      <w:numFmt w:val="bullet"/>
      <w:lvlText w:val="•"/>
      <w:lvlJc w:val="left"/>
      <w:pPr>
        <w:ind w:left="7303" w:hanging="212"/>
      </w:pPr>
      <w:rPr>
        <w:rFonts w:hint="default"/>
        <w:lang w:val="zh-CN" w:eastAsia="zh-CN" w:bidi="zh-CN"/>
      </w:rPr>
    </w:lvl>
    <w:lvl w:ilvl="8" w:tentative="0">
      <w:start w:val="0"/>
      <w:numFmt w:val="bullet"/>
      <w:lvlText w:val="•"/>
      <w:lvlJc w:val="left"/>
      <w:pPr>
        <w:ind w:left="8272" w:hanging="212"/>
      </w:pPr>
      <w:rPr>
        <w:rFonts w:hint="default"/>
        <w:lang w:val="zh-CN" w:eastAsia="zh-CN" w:bidi="zh-CN"/>
      </w:rPr>
    </w:lvl>
  </w:abstractNum>
  <w:num w:numId="1">
    <w:abstractNumId w:val="12"/>
  </w:num>
  <w:num w:numId="2">
    <w:abstractNumId w:val="8"/>
  </w:num>
  <w:num w:numId="3">
    <w:abstractNumId w:val="24"/>
  </w:num>
  <w:num w:numId="4">
    <w:abstractNumId w:val="6"/>
  </w:num>
  <w:num w:numId="5">
    <w:abstractNumId w:val="4"/>
  </w:num>
  <w:num w:numId="6">
    <w:abstractNumId w:val="14"/>
  </w:num>
  <w:num w:numId="7">
    <w:abstractNumId w:val="17"/>
  </w:num>
  <w:num w:numId="8">
    <w:abstractNumId w:val="28"/>
  </w:num>
  <w:num w:numId="9">
    <w:abstractNumId w:val="13"/>
  </w:num>
  <w:num w:numId="10">
    <w:abstractNumId w:val="18"/>
  </w:num>
  <w:num w:numId="11">
    <w:abstractNumId w:val="25"/>
  </w:num>
  <w:num w:numId="12">
    <w:abstractNumId w:val="7"/>
  </w:num>
  <w:num w:numId="13">
    <w:abstractNumId w:val="22"/>
  </w:num>
  <w:num w:numId="14">
    <w:abstractNumId w:val="11"/>
  </w:num>
  <w:num w:numId="15">
    <w:abstractNumId w:val="16"/>
  </w:num>
  <w:num w:numId="16">
    <w:abstractNumId w:val="10"/>
  </w:num>
  <w:num w:numId="17">
    <w:abstractNumId w:val="9"/>
  </w:num>
  <w:num w:numId="18">
    <w:abstractNumId w:val="2"/>
  </w:num>
  <w:num w:numId="19">
    <w:abstractNumId w:val="21"/>
  </w:num>
  <w:num w:numId="20">
    <w:abstractNumId w:val="26"/>
  </w:num>
  <w:num w:numId="21">
    <w:abstractNumId w:val="15"/>
  </w:num>
  <w:num w:numId="22">
    <w:abstractNumId w:val="20"/>
  </w:num>
  <w:num w:numId="23">
    <w:abstractNumId w:val="3"/>
  </w:num>
  <w:num w:numId="24">
    <w:abstractNumId w:val="30"/>
  </w:num>
  <w:num w:numId="25">
    <w:abstractNumId w:val="29"/>
  </w:num>
  <w:num w:numId="26">
    <w:abstractNumId w:val="5"/>
  </w:num>
  <w:num w:numId="27">
    <w:abstractNumId w:val="27"/>
  </w:num>
  <w:num w:numId="28">
    <w:abstractNumId w:val="1"/>
  </w:num>
  <w:num w:numId="29">
    <w:abstractNumId w:val="19"/>
  </w:num>
  <w:num w:numId="30">
    <w:abstractNumId w:val="0"/>
  </w:num>
  <w:num w:numId="31">
    <w:abstractNumId w:val="23"/>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D3314"/>
    <w:rsid w:val="240F03D9"/>
    <w:rsid w:val="46511CEE"/>
    <w:rsid w:val="4ED417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2052" w:right="551" w:hanging="1800"/>
      <w:outlineLvl w:val="1"/>
    </w:pPr>
    <w:rPr>
      <w:rFonts w:ascii="Arial Unicode MS" w:hAnsi="Arial Unicode MS" w:eastAsia="Arial Unicode MS" w:cs="Arial Unicode MS"/>
      <w:sz w:val="40"/>
      <w:szCs w:val="40"/>
      <w:lang w:val="zh-CN" w:eastAsia="zh-CN" w:bidi="zh-CN"/>
    </w:rPr>
  </w:style>
  <w:style w:type="character" w:default="1" w:styleId="5">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Arial Unicode MS" w:hAnsi="Arial Unicode MS" w:eastAsia="Arial Unicode MS" w:cs="Arial Unicode MS"/>
      <w:sz w:val="30"/>
      <w:szCs w:val="30"/>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ScaleCrop>false</ScaleCrop>
  <LinksUpToDate>false</LinksUpToDate>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2020-05-22T06:23:00Z</dcterms:created>
  <dc:creator>高君</dc:creator>
  <cp:lastModifiedBy> 丽  小木  </cp:lastModifiedBy>
  <dcterms:modified xsi:type="dcterms:W3CDTF">2020-09-02T06:42:01Z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WPS Office</vt:lpwstr>
  </property>
  <property fmtid="{D5CDD505-2E9C-101B-9397-08002B2CF9AE}" pid="4" name="LastSaved">
    <vt:filetime>2020-05-22T00:00:00Z</vt:filetime>
  </property>
  <property fmtid="{D5CDD505-2E9C-101B-9397-08002B2CF9AE}" pid="5" name="KSOProductBuildVer">
    <vt:lpwstr>2052-11.1.0.9912</vt:lpwstr>
  </property>
</Properties>
</file>